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26255" w14:textId="2E280540" w:rsidR="003A7142" w:rsidRPr="004A63EC" w:rsidRDefault="003A7142" w:rsidP="001D3E16">
      <w:pPr>
        <w:spacing w:line="480" w:lineRule="auto"/>
        <w:jc w:val="center"/>
        <w:rPr>
          <w:rFonts w:ascii="Times" w:hAnsi="Times"/>
          <w:b/>
          <w:bCs/>
        </w:rPr>
      </w:pPr>
      <w:r w:rsidRPr="004A63EC">
        <w:rPr>
          <w:rFonts w:ascii="Times" w:hAnsi="Times"/>
          <w:b/>
          <w:bCs/>
        </w:rPr>
        <w:t>Supplementary materials</w:t>
      </w:r>
      <w:r w:rsidR="004A63EC">
        <w:rPr>
          <w:rFonts w:ascii="Times" w:hAnsi="Times"/>
          <w:b/>
          <w:bCs/>
        </w:rPr>
        <w:t xml:space="preserve"> for </w:t>
      </w:r>
    </w:p>
    <w:p w14:paraId="4688BB58" w14:textId="68E3941E" w:rsidR="004A63EC" w:rsidRPr="008238B5" w:rsidRDefault="004A63EC" w:rsidP="008238B5">
      <w:pPr>
        <w:pStyle w:val="Heading2"/>
        <w:spacing w:line="480" w:lineRule="auto"/>
        <w:jc w:val="center"/>
        <w:rPr>
          <w:rFonts w:ascii="Times" w:hAnsi="Times"/>
          <w:b/>
          <w:bCs/>
          <w:color w:val="000000" w:themeColor="text1"/>
          <w:sz w:val="32"/>
          <w:szCs w:val="32"/>
        </w:rPr>
      </w:pPr>
      <w:r w:rsidRPr="004A63EC">
        <w:rPr>
          <w:rFonts w:ascii="Times" w:hAnsi="Times"/>
          <w:b/>
          <w:bCs/>
          <w:color w:val="000000" w:themeColor="text1"/>
          <w:sz w:val="32"/>
          <w:szCs w:val="32"/>
        </w:rPr>
        <w:t>Multi-</w:t>
      </w:r>
      <w:r w:rsidR="00AC7517">
        <w:rPr>
          <w:rFonts w:ascii="Times" w:hAnsi="Times"/>
          <w:b/>
          <w:bCs/>
          <w:color w:val="000000" w:themeColor="text1"/>
          <w:sz w:val="32"/>
          <w:szCs w:val="32"/>
        </w:rPr>
        <w:t>decadal</w:t>
      </w:r>
      <w:r w:rsidRPr="004A63EC">
        <w:rPr>
          <w:rFonts w:ascii="Times" w:hAnsi="Times"/>
          <w:b/>
          <w:bCs/>
          <w:color w:val="000000" w:themeColor="text1"/>
          <w:sz w:val="32"/>
          <w:szCs w:val="32"/>
        </w:rPr>
        <w:t xml:space="preserve"> variation of ENSO forecast skill since the late 1800s </w:t>
      </w:r>
    </w:p>
    <w:p w14:paraId="64F81E81" w14:textId="77777777" w:rsidR="005B295F" w:rsidRDefault="005B295F" w:rsidP="005B295F">
      <w:pPr>
        <w:spacing w:line="480" w:lineRule="auto"/>
        <w:jc w:val="center"/>
        <w:rPr>
          <w:rFonts w:ascii="Times" w:hAnsi="Times"/>
          <w:b/>
          <w:bCs/>
          <w:color w:val="000000" w:themeColor="text1"/>
        </w:rPr>
      </w:pPr>
    </w:p>
    <w:p w14:paraId="0E08E6D3" w14:textId="7DACB065" w:rsidR="005B295F" w:rsidRPr="00E97375" w:rsidRDefault="005B295F" w:rsidP="005B295F">
      <w:pPr>
        <w:spacing w:line="480" w:lineRule="auto"/>
        <w:jc w:val="center"/>
        <w:rPr>
          <w:rFonts w:ascii="Times" w:hAnsi="Times"/>
          <w:color w:val="000000" w:themeColor="text1"/>
        </w:rPr>
      </w:pPr>
      <w:r w:rsidRPr="00532C64">
        <w:rPr>
          <w:rFonts w:ascii="Times" w:hAnsi="Times"/>
          <w:b/>
          <w:bCs/>
          <w:color w:val="000000" w:themeColor="text1"/>
        </w:rPr>
        <w:t>Jiale Lou</w:t>
      </w:r>
      <w:r w:rsidRPr="00532C64">
        <w:rPr>
          <w:rFonts w:ascii="Times" w:hAnsi="Times"/>
          <w:b/>
          <w:bCs/>
          <w:color w:val="000000" w:themeColor="text1"/>
          <w:vertAlign w:val="superscript"/>
        </w:rPr>
        <w:t>1,2</w:t>
      </w:r>
      <w:r w:rsidRPr="00532C64">
        <w:rPr>
          <w:rFonts w:ascii="Times" w:hAnsi="Times"/>
          <w:b/>
          <w:bCs/>
          <w:color w:val="000000" w:themeColor="text1"/>
        </w:rPr>
        <w:t>, Matthew Newman</w:t>
      </w:r>
      <w:r w:rsidRPr="00532C64">
        <w:rPr>
          <w:rFonts w:ascii="Times" w:hAnsi="Times"/>
          <w:b/>
          <w:bCs/>
          <w:color w:val="000000" w:themeColor="text1"/>
          <w:vertAlign w:val="superscript"/>
        </w:rPr>
        <w:t>2</w:t>
      </w:r>
      <w:r w:rsidRPr="00532C64">
        <w:rPr>
          <w:rFonts w:ascii="Times" w:hAnsi="Times"/>
          <w:b/>
          <w:bCs/>
          <w:color w:val="000000" w:themeColor="text1"/>
        </w:rPr>
        <w:t xml:space="preserve">, </w:t>
      </w:r>
      <w:r>
        <w:rPr>
          <w:rFonts w:ascii="Times" w:hAnsi="Times"/>
          <w:b/>
          <w:bCs/>
          <w:color w:val="000000" w:themeColor="text1"/>
        </w:rPr>
        <w:t xml:space="preserve">and </w:t>
      </w:r>
      <w:r w:rsidRPr="00532C64">
        <w:rPr>
          <w:rFonts w:ascii="Times" w:hAnsi="Times"/>
          <w:b/>
          <w:bCs/>
          <w:color w:val="000000" w:themeColor="text1"/>
        </w:rPr>
        <w:t>Andrew Hoell</w:t>
      </w:r>
      <w:r w:rsidRPr="00532C64">
        <w:rPr>
          <w:rFonts w:ascii="Times" w:hAnsi="Times"/>
          <w:b/>
          <w:bCs/>
          <w:color w:val="000000" w:themeColor="text1"/>
          <w:vertAlign w:val="superscript"/>
        </w:rPr>
        <w:t>2</w:t>
      </w:r>
    </w:p>
    <w:p w14:paraId="068BF590" w14:textId="77777777" w:rsidR="005B295F" w:rsidRPr="00E97375" w:rsidRDefault="005B295F" w:rsidP="005B295F">
      <w:pPr>
        <w:spacing w:line="480" w:lineRule="auto"/>
        <w:jc w:val="center"/>
        <w:rPr>
          <w:rFonts w:ascii="Times" w:hAnsi="Times"/>
          <w:color w:val="000000" w:themeColor="text1"/>
          <w:sz w:val="18"/>
          <w:szCs w:val="18"/>
          <w:shd w:val="clear" w:color="auto" w:fill="FFFFFF"/>
        </w:rPr>
      </w:pPr>
      <w:r w:rsidRPr="00E97375">
        <w:rPr>
          <w:rFonts w:ascii="Times" w:hAnsi="Times"/>
          <w:color w:val="000000" w:themeColor="text1"/>
          <w:sz w:val="20"/>
          <w:szCs w:val="20"/>
          <w:shd w:val="clear" w:color="auto" w:fill="FFFFFF"/>
          <w:vertAlign w:val="superscript"/>
        </w:rPr>
        <w:t xml:space="preserve">1 </w:t>
      </w:r>
      <w:r w:rsidRPr="00E97375">
        <w:rPr>
          <w:rFonts w:ascii="Times" w:hAnsi="Times"/>
          <w:color w:val="000000" w:themeColor="text1"/>
          <w:sz w:val="18"/>
          <w:szCs w:val="18"/>
          <w:shd w:val="clear" w:color="auto" w:fill="FFFFFF"/>
        </w:rPr>
        <w:t>Cooperative Institute for Research in the Environmental Sciences, University of Colorado Boulder, Boulder, CO, USA</w:t>
      </w:r>
    </w:p>
    <w:p w14:paraId="42583EAC" w14:textId="77777777" w:rsidR="005B295F" w:rsidRPr="00E97375" w:rsidRDefault="005B295F" w:rsidP="005B295F">
      <w:pPr>
        <w:spacing w:line="480" w:lineRule="auto"/>
        <w:jc w:val="center"/>
        <w:rPr>
          <w:rFonts w:ascii="Times" w:hAnsi="Times"/>
          <w:color w:val="000000" w:themeColor="text1"/>
          <w:sz w:val="18"/>
          <w:szCs w:val="18"/>
        </w:rPr>
      </w:pPr>
      <w:r w:rsidRPr="00E97375">
        <w:rPr>
          <w:rFonts w:ascii="Times" w:hAnsi="Times"/>
          <w:color w:val="000000" w:themeColor="text1"/>
          <w:sz w:val="18"/>
          <w:szCs w:val="18"/>
          <w:shd w:val="clear" w:color="auto" w:fill="FFFFFF"/>
          <w:vertAlign w:val="superscript"/>
        </w:rPr>
        <w:t>2</w:t>
      </w:r>
      <w:r w:rsidRPr="00E97375">
        <w:rPr>
          <w:rFonts w:ascii="Times" w:hAnsi="Times"/>
          <w:color w:val="000000" w:themeColor="text1"/>
          <w:sz w:val="18"/>
          <w:szCs w:val="18"/>
          <w:shd w:val="clear" w:color="auto" w:fill="FFFFFF"/>
        </w:rPr>
        <w:t xml:space="preserve"> NOAA Physical Sciences Laboratory, Boulder, CO, USA</w:t>
      </w:r>
    </w:p>
    <w:p w14:paraId="78DAC7CC" w14:textId="77777777" w:rsidR="005B295F" w:rsidRPr="00E97375" w:rsidRDefault="005B295F" w:rsidP="005B295F">
      <w:pPr>
        <w:spacing w:line="480" w:lineRule="auto"/>
        <w:jc w:val="center"/>
        <w:rPr>
          <w:rFonts w:ascii="Times" w:hAnsi="Times"/>
          <w:color w:val="000000" w:themeColor="text1"/>
        </w:rPr>
      </w:pPr>
    </w:p>
    <w:p w14:paraId="7C2FDD02" w14:textId="77777777" w:rsidR="005B295F" w:rsidRDefault="005B295F" w:rsidP="005B295F">
      <w:pPr>
        <w:spacing w:line="480" w:lineRule="auto"/>
        <w:jc w:val="center"/>
        <w:rPr>
          <w:rFonts w:ascii="Times" w:hAnsi="Times"/>
          <w:color w:val="000000" w:themeColor="text1"/>
        </w:rPr>
      </w:pPr>
    </w:p>
    <w:p w14:paraId="533E9853" w14:textId="77777777" w:rsidR="005B295F" w:rsidRDefault="005B295F" w:rsidP="005B295F">
      <w:pPr>
        <w:spacing w:line="480" w:lineRule="auto"/>
        <w:jc w:val="center"/>
        <w:rPr>
          <w:rFonts w:ascii="Times" w:hAnsi="Times"/>
          <w:color w:val="000000" w:themeColor="text1"/>
        </w:rPr>
      </w:pPr>
    </w:p>
    <w:p w14:paraId="23669912" w14:textId="77777777" w:rsidR="005B295F" w:rsidRDefault="005B295F" w:rsidP="005B295F">
      <w:pPr>
        <w:spacing w:line="480" w:lineRule="auto"/>
        <w:jc w:val="center"/>
        <w:rPr>
          <w:rFonts w:ascii="Times" w:hAnsi="Times"/>
          <w:color w:val="000000" w:themeColor="text1"/>
        </w:rPr>
      </w:pPr>
    </w:p>
    <w:p w14:paraId="320B171D" w14:textId="77777777" w:rsidR="005B295F" w:rsidRDefault="005B295F" w:rsidP="005B295F">
      <w:pPr>
        <w:spacing w:line="480" w:lineRule="auto"/>
        <w:jc w:val="center"/>
        <w:rPr>
          <w:rFonts w:ascii="Times" w:hAnsi="Times"/>
          <w:color w:val="000000" w:themeColor="text1"/>
        </w:rPr>
      </w:pPr>
    </w:p>
    <w:p w14:paraId="6E8289A0" w14:textId="77777777" w:rsidR="005B295F" w:rsidRDefault="005B295F" w:rsidP="005B295F">
      <w:pPr>
        <w:spacing w:line="480" w:lineRule="auto"/>
        <w:jc w:val="center"/>
        <w:rPr>
          <w:rFonts w:ascii="Times" w:hAnsi="Times"/>
          <w:color w:val="000000" w:themeColor="text1"/>
        </w:rPr>
      </w:pPr>
    </w:p>
    <w:p w14:paraId="20E6B404" w14:textId="77777777" w:rsidR="005B295F" w:rsidRPr="00E97375" w:rsidRDefault="005B295F" w:rsidP="005B295F">
      <w:pPr>
        <w:spacing w:line="480" w:lineRule="auto"/>
        <w:jc w:val="center"/>
        <w:rPr>
          <w:rFonts w:ascii="Times" w:hAnsi="Times"/>
          <w:color w:val="000000" w:themeColor="text1"/>
        </w:rPr>
      </w:pPr>
      <w:r>
        <w:rPr>
          <w:rFonts w:ascii="Times" w:hAnsi="Times"/>
          <w:color w:val="000000" w:themeColor="text1"/>
        </w:rPr>
        <w:tab/>
        <w:t xml:space="preserve">Submitted to </w:t>
      </w:r>
      <w:proofErr w:type="spellStart"/>
      <w:r>
        <w:rPr>
          <w:rFonts w:ascii="Times" w:hAnsi="Times"/>
          <w:color w:val="000000" w:themeColor="text1"/>
        </w:rPr>
        <w:t>npj</w:t>
      </w:r>
      <w:proofErr w:type="spellEnd"/>
      <w:r>
        <w:rPr>
          <w:rFonts w:ascii="Times" w:hAnsi="Times"/>
          <w:color w:val="000000" w:themeColor="text1"/>
        </w:rPr>
        <w:t xml:space="preserve"> Climate and Atmospheric Sciences</w:t>
      </w:r>
    </w:p>
    <w:p w14:paraId="4D94BEB7" w14:textId="77777777" w:rsidR="005B295F" w:rsidRDefault="005B295F" w:rsidP="005B295F">
      <w:pPr>
        <w:spacing w:line="480" w:lineRule="auto"/>
        <w:rPr>
          <w:rFonts w:ascii="Times" w:hAnsi="Times"/>
          <w:color w:val="000000" w:themeColor="text1"/>
        </w:rPr>
      </w:pPr>
    </w:p>
    <w:p w14:paraId="5E655456" w14:textId="77777777" w:rsidR="005B295F" w:rsidRDefault="005B295F" w:rsidP="005B295F">
      <w:pPr>
        <w:spacing w:line="480" w:lineRule="auto"/>
        <w:rPr>
          <w:rFonts w:ascii="Times" w:hAnsi="Times"/>
          <w:color w:val="000000" w:themeColor="text1"/>
        </w:rPr>
      </w:pPr>
    </w:p>
    <w:p w14:paraId="7061499F" w14:textId="77777777" w:rsidR="005B295F" w:rsidRDefault="005B295F" w:rsidP="005B295F">
      <w:pPr>
        <w:spacing w:line="480" w:lineRule="auto"/>
        <w:rPr>
          <w:rFonts w:ascii="Times" w:hAnsi="Times"/>
          <w:color w:val="000000" w:themeColor="text1"/>
        </w:rPr>
      </w:pPr>
    </w:p>
    <w:p w14:paraId="5F52458E" w14:textId="77777777" w:rsidR="005B295F" w:rsidRDefault="005B295F" w:rsidP="005B295F">
      <w:pPr>
        <w:spacing w:line="480" w:lineRule="auto"/>
        <w:rPr>
          <w:rFonts w:ascii="Times" w:hAnsi="Times"/>
          <w:color w:val="000000" w:themeColor="text1"/>
        </w:rPr>
      </w:pPr>
    </w:p>
    <w:p w14:paraId="72434EE5" w14:textId="77777777" w:rsidR="005B295F" w:rsidRDefault="005B295F" w:rsidP="005B295F">
      <w:pPr>
        <w:spacing w:line="480" w:lineRule="auto"/>
        <w:rPr>
          <w:rFonts w:ascii="Times" w:hAnsi="Times"/>
          <w:color w:val="000000" w:themeColor="text1"/>
        </w:rPr>
      </w:pPr>
    </w:p>
    <w:p w14:paraId="1B36A021" w14:textId="77777777" w:rsidR="005B295F" w:rsidRDefault="005B295F" w:rsidP="005B295F">
      <w:pPr>
        <w:spacing w:line="480" w:lineRule="auto"/>
        <w:rPr>
          <w:rFonts w:ascii="Times" w:hAnsi="Times"/>
          <w:color w:val="000000" w:themeColor="text1"/>
        </w:rPr>
      </w:pPr>
    </w:p>
    <w:p w14:paraId="19A9CC0F" w14:textId="77777777" w:rsidR="005B295F" w:rsidRDefault="005B295F" w:rsidP="005B295F">
      <w:pPr>
        <w:spacing w:line="480" w:lineRule="auto"/>
        <w:rPr>
          <w:rFonts w:ascii="Times" w:hAnsi="Times"/>
          <w:color w:val="000000" w:themeColor="text1"/>
        </w:rPr>
      </w:pPr>
    </w:p>
    <w:p w14:paraId="22062C86" w14:textId="77777777" w:rsidR="005B295F" w:rsidRDefault="005B295F" w:rsidP="005B295F">
      <w:pPr>
        <w:spacing w:line="480" w:lineRule="auto"/>
        <w:rPr>
          <w:rFonts w:ascii="Times" w:hAnsi="Times"/>
          <w:color w:val="000000" w:themeColor="text1"/>
        </w:rPr>
      </w:pPr>
    </w:p>
    <w:p w14:paraId="61E6D8AF" w14:textId="77777777" w:rsidR="005B295F" w:rsidRPr="00E97375" w:rsidRDefault="005B295F" w:rsidP="005B295F">
      <w:pPr>
        <w:spacing w:line="480" w:lineRule="auto"/>
        <w:rPr>
          <w:rFonts w:ascii="Times" w:hAnsi="Times"/>
          <w:color w:val="000000" w:themeColor="text1"/>
        </w:rPr>
      </w:pPr>
      <w:r w:rsidRPr="00E97375">
        <w:rPr>
          <w:rFonts w:ascii="Times" w:hAnsi="Times"/>
          <w:color w:val="000000" w:themeColor="text1"/>
        </w:rPr>
        <w:t>Corresponding author: Jiale Lou (</w:t>
      </w:r>
      <w:hyperlink r:id="rId6" w:history="1">
        <w:r w:rsidRPr="00E97375">
          <w:rPr>
            <w:rStyle w:val="Hyperlink"/>
            <w:rFonts w:ascii="Times" w:hAnsi="Times"/>
            <w:color w:val="000000" w:themeColor="text1"/>
          </w:rPr>
          <w:t>jiale.lou@noaa.gov</w:t>
        </w:r>
      </w:hyperlink>
      <w:r w:rsidRPr="00E97375">
        <w:rPr>
          <w:rFonts w:ascii="Times" w:hAnsi="Times"/>
          <w:color w:val="000000" w:themeColor="text1"/>
        </w:rPr>
        <w:t>)</w:t>
      </w:r>
    </w:p>
    <w:p w14:paraId="0C2AEF99" w14:textId="2DECD104" w:rsidR="00820972" w:rsidRDefault="00820972" w:rsidP="001D3E16">
      <w:pPr>
        <w:spacing w:line="480" w:lineRule="auto"/>
        <w:rPr>
          <w:rFonts w:ascii="Times" w:hAnsi="Times"/>
          <w:sz w:val="28"/>
          <w:szCs w:val="28"/>
        </w:rPr>
      </w:pPr>
    </w:p>
    <w:p w14:paraId="6FAB104B" w14:textId="77777777" w:rsidR="005B295F" w:rsidRDefault="005B295F" w:rsidP="005B295F">
      <w:pPr>
        <w:spacing w:line="480" w:lineRule="auto"/>
        <w:jc w:val="both"/>
        <w:rPr>
          <w:rFonts w:ascii="Times" w:hAnsi="Times"/>
        </w:rPr>
      </w:pPr>
      <w:r>
        <w:rPr>
          <w:rFonts w:ascii="Times" w:hAnsi="Times"/>
          <w:noProof/>
        </w:rPr>
        <w:lastRenderedPageBreak/>
        <w:drawing>
          <wp:inline distT="0" distB="0" distL="0" distR="0" wp14:anchorId="0A85A441" wp14:editId="43FAF966">
            <wp:extent cx="5943600" cy="3749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5943600" cy="3749675"/>
                    </a:xfrm>
                    <a:prstGeom prst="rect">
                      <a:avLst/>
                    </a:prstGeom>
                  </pic:spPr>
                </pic:pic>
              </a:graphicData>
            </a:graphic>
          </wp:inline>
        </w:drawing>
      </w:r>
    </w:p>
    <w:p w14:paraId="109CFEEA" w14:textId="127DC60A" w:rsidR="005B295F" w:rsidRPr="00703EBE" w:rsidRDefault="005B295F" w:rsidP="00935949">
      <w:pPr>
        <w:autoSpaceDE w:val="0"/>
        <w:autoSpaceDN w:val="0"/>
        <w:adjustRightInd w:val="0"/>
        <w:spacing w:line="276" w:lineRule="auto"/>
        <w:jc w:val="both"/>
        <w:rPr>
          <w:rFonts w:ascii="Times" w:hAnsi="Times"/>
          <w:color w:val="000000" w:themeColor="text1"/>
          <w:sz w:val="20"/>
          <w:szCs w:val="20"/>
        </w:rPr>
      </w:pPr>
      <w:r w:rsidRPr="00703EBE">
        <w:rPr>
          <w:rFonts w:ascii="Times" w:hAnsi="Times"/>
          <w:color w:val="000000" w:themeColor="text1"/>
          <w:sz w:val="20"/>
          <w:szCs w:val="20"/>
        </w:rPr>
        <w:t xml:space="preserve">Fig. S1. </w:t>
      </w:r>
      <w:r w:rsidRPr="00703EBE">
        <w:rPr>
          <w:rFonts w:ascii="Times" w:hAnsi="Times"/>
          <w:b/>
          <w:bCs/>
          <w:color w:val="000000" w:themeColor="text1"/>
          <w:sz w:val="20"/>
          <w:szCs w:val="20"/>
        </w:rPr>
        <w:t xml:space="preserve">Comparison of </w:t>
      </w:r>
      <w:r w:rsidRPr="00703EBE">
        <w:rPr>
          <w:rFonts w:ascii="Times" w:hAnsi="Times"/>
          <w:b/>
          <w:bCs/>
          <w:sz w:val="20"/>
          <w:szCs w:val="20"/>
        </w:rPr>
        <w:t>seasonal mean root mean square skill score (RMSSS) skill of NINO3.4 predictions</w:t>
      </w:r>
      <w:r w:rsidRPr="00703EBE">
        <w:rPr>
          <w:rFonts w:ascii="Times" w:hAnsi="Times"/>
          <w:sz w:val="20"/>
          <w:szCs w:val="20"/>
        </w:rPr>
        <w:t>. Seasonal mean RMSSS skill of NINO3.4 predictions as a function of hindcast period on the horizontal axis and forecast lead time on the vertical axis. (</w:t>
      </w:r>
      <w:r w:rsidRPr="00703EBE">
        <w:rPr>
          <w:rFonts w:ascii="Times" w:hAnsi="Times"/>
          <w:b/>
          <w:bCs/>
          <w:sz w:val="20"/>
          <w:szCs w:val="20"/>
        </w:rPr>
        <w:t>a</w:t>
      </w:r>
      <w:r w:rsidRPr="00703EBE">
        <w:rPr>
          <w:rFonts w:ascii="Times" w:hAnsi="Times"/>
          <w:sz w:val="20"/>
          <w:szCs w:val="20"/>
        </w:rPr>
        <w:t>) and (</w:t>
      </w:r>
      <w:r w:rsidRPr="00703EBE">
        <w:rPr>
          <w:rFonts w:ascii="Times" w:hAnsi="Times"/>
          <w:b/>
          <w:bCs/>
          <w:sz w:val="20"/>
          <w:szCs w:val="20"/>
        </w:rPr>
        <w:t>b</w:t>
      </w:r>
      <w:r w:rsidRPr="00703EBE">
        <w:rPr>
          <w:rFonts w:ascii="Times" w:hAnsi="Times"/>
          <w:sz w:val="20"/>
          <w:szCs w:val="20"/>
        </w:rPr>
        <w:t>) Model-analog hindcasts initialized in October and April. (</w:t>
      </w:r>
      <w:r w:rsidRPr="00703EBE">
        <w:rPr>
          <w:rFonts w:ascii="Times" w:hAnsi="Times"/>
          <w:b/>
          <w:bCs/>
          <w:sz w:val="20"/>
          <w:szCs w:val="20"/>
        </w:rPr>
        <w:t>c</w:t>
      </w:r>
      <w:r w:rsidRPr="00703EBE">
        <w:rPr>
          <w:rFonts w:ascii="Times" w:hAnsi="Times"/>
          <w:sz w:val="20"/>
          <w:szCs w:val="20"/>
        </w:rPr>
        <w:t>) and (</w:t>
      </w:r>
      <w:r w:rsidRPr="00703EBE">
        <w:rPr>
          <w:rFonts w:ascii="Times" w:hAnsi="Times"/>
          <w:b/>
          <w:bCs/>
          <w:sz w:val="20"/>
          <w:szCs w:val="20"/>
        </w:rPr>
        <w:t>d</w:t>
      </w:r>
      <w:r w:rsidRPr="00703EBE">
        <w:rPr>
          <w:rFonts w:ascii="Times" w:hAnsi="Times"/>
          <w:sz w:val="20"/>
          <w:szCs w:val="20"/>
        </w:rPr>
        <w:t>) SEAS5-20C hindcasts initialized on November 1</w:t>
      </w:r>
      <w:r w:rsidRPr="00703EBE">
        <w:rPr>
          <w:rFonts w:ascii="Times" w:hAnsi="Times"/>
          <w:sz w:val="20"/>
          <w:szCs w:val="20"/>
          <w:vertAlign w:val="superscript"/>
        </w:rPr>
        <w:t>st</w:t>
      </w:r>
      <w:r w:rsidRPr="00703EBE">
        <w:rPr>
          <w:rFonts w:ascii="Times" w:hAnsi="Times"/>
          <w:sz w:val="20"/>
          <w:szCs w:val="20"/>
        </w:rPr>
        <w:t xml:space="preserve"> and May 1</w:t>
      </w:r>
      <w:r w:rsidRPr="00703EBE">
        <w:rPr>
          <w:rFonts w:ascii="Times" w:hAnsi="Times"/>
          <w:sz w:val="20"/>
          <w:szCs w:val="20"/>
          <w:vertAlign w:val="superscript"/>
        </w:rPr>
        <w:t>st</w:t>
      </w:r>
      <w:r w:rsidRPr="00703EBE">
        <w:rPr>
          <w:rFonts w:ascii="Times" w:hAnsi="Times"/>
          <w:sz w:val="20"/>
          <w:szCs w:val="20"/>
        </w:rPr>
        <w:t xml:space="preserve">, respectively. </w:t>
      </w:r>
      <w:r w:rsidRPr="00703EBE">
        <w:rPr>
          <w:rFonts w:ascii="Times" w:hAnsi="Times"/>
          <w:color w:val="000000" w:themeColor="text1"/>
          <w:sz w:val="20"/>
          <w:szCs w:val="20"/>
        </w:rPr>
        <w:t>RMSSS values for each 30-year moving hindcast window are shown at the central year (for example, the value for 1940 represents skill for the 1926-1955 period).</w:t>
      </w:r>
      <w:r w:rsidR="001E0BDB">
        <w:rPr>
          <w:rFonts w:ascii="Times" w:hAnsi="Times"/>
          <w:color w:val="000000" w:themeColor="text1"/>
          <w:sz w:val="20"/>
          <w:szCs w:val="20"/>
        </w:rPr>
        <w:t xml:space="preserve"> The model-analogs are determined based on SSTA+SSHA</w:t>
      </w:r>
      <w:r w:rsidR="00F2295D">
        <w:rPr>
          <w:rFonts w:ascii="Times" w:hAnsi="Times"/>
          <w:color w:val="000000" w:themeColor="text1"/>
          <w:sz w:val="20"/>
          <w:szCs w:val="20"/>
        </w:rPr>
        <w:t>.</w:t>
      </w:r>
    </w:p>
    <w:p w14:paraId="295865B7" w14:textId="77777777" w:rsidR="005B295F" w:rsidRPr="00935949" w:rsidRDefault="005B295F" w:rsidP="00935949">
      <w:pPr>
        <w:autoSpaceDE w:val="0"/>
        <w:autoSpaceDN w:val="0"/>
        <w:adjustRightInd w:val="0"/>
        <w:spacing w:line="276" w:lineRule="auto"/>
        <w:jc w:val="both"/>
        <w:rPr>
          <w:rFonts w:ascii="Times" w:hAnsi="Times"/>
          <w:color w:val="000000" w:themeColor="text1"/>
          <w:sz w:val="20"/>
          <w:szCs w:val="20"/>
        </w:rPr>
      </w:pPr>
    </w:p>
    <w:p w14:paraId="71EC1F9C" w14:textId="77777777" w:rsidR="005B295F" w:rsidRPr="00703EBE" w:rsidRDefault="005B295F" w:rsidP="00703EBE">
      <w:pPr>
        <w:spacing w:line="276" w:lineRule="auto"/>
        <w:jc w:val="both"/>
        <w:rPr>
          <w:rFonts w:ascii="Times" w:hAnsi="Times"/>
          <w:color w:val="000000" w:themeColor="text1"/>
          <w:sz w:val="20"/>
          <w:szCs w:val="20"/>
        </w:rPr>
      </w:pPr>
    </w:p>
    <w:p w14:paraId="7F29C12C" w14:textId="7B7E610A" w:rsidR="005B295F" w:rsidRPr="00935949" w:rsidRDefault="004C2B04" w:rsidP="00935949">
      <w:pPr>
        <w:spacing w:line="276" w:lineRule="auto"/>
        <w:rPr>
          <w:rFonts w:ascii="Times" w:hAnsi="Times"/>
          <w:color w:val="000000" w:themeColor="text1"/>
          <w:sz w:val="20"/>
          <w:szCs w:val="20"/>
        </w:rPr>
      </w:pPr>
      <w:r w:rsidRPr="00935949">
        <w:rPr>
          <w:rFonts w:ascii="Times" w:hAnsi="Times"/>
          <w:noProof/>
          <w:color w:val="000000" w:themeColor="text1"/>
          <w:sz w:val="20"/>
          <w:szCs w:val="20"/>
        </w:rPr>
        <w:lastRenderedPageBreak/>
        <w:drawing>
          <wp:inline distT="0" distB="0" distL="0" distR="0" wp14:anchorId="3A5DB87E" wp14:editId="54FBF044">
            <wp:extent cx="5943600" cy="381411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8">
                      <a:extLst>
                        <a:ext uri="{28A0092B-C50C-407E-A947-70E740481C1C}">
                          <a14:useLocalDpi xmlns:a14="http://schemas.microsoft.com/office/drawing/2010/main" val="0"/>
                        </a:ext>
                      </a:extLst>
                    </a:blip>
                    <a:srcRect t="19127" r="-10" b="16696"/>
                    <a:stretch/>
                  </pic:blipFill>
                  <pic:spPr bwMode="auto">
                    <a:xfrm>
                      <a:off x="0" y="0"/>
                      <a:ext cx="5944173" cy="3814486"/>
                    </a:xfrm>
                    <a:prstGeom prst="rect">
                      <a:avLst/>
                    </a:prstGeom>
                    <a:ln>
                      <a:noFill/>
                    </a:ln>
                    <a:extLst>
                      <a:ext uri="{53640926-AAD7-44D8-BBD7-CCE9431645EC}">
                        <a14:shadowObscured xmlns:a14="http://schemas.microsoft.com/office/drawing/2010/main"/>
                      </a:ext>
                    </a:extLst>
                  </pic:spPr>
                </pic:pic>
              </a:graphicData>
            </a:graphic>
          </wp:inline>
        </w:drawing>
      </w:r>
    </w:p>
    <w:p w14:paraId="1A167CBF" w14:textId="1C025CD1" w:rsidR="004C2B04" w:rsidRPr="00935949" w:rsidRDefault="004C2B04" w:rsidP="00935949">
      <w:pPr>
        <w:autoSpaceDE w:val="0"/>
        <w:autoSpaceDN w:val="0"/>
        <w:adjustRightInd w:val="0"/>
        <w:spacing w:line="276" w:lineRule="auto"/>
        <w:jc w:val="both"/>
        <w:rPr>
          <w:rFonts w:ascii="Times" w:hAnsi="Times"/>
          <w:color w:val="000000" w:themeColor="text1"/>
          <w:sz w:val="20"/>
          <w:szCs w:val="20"/>
        </w:rPr>
      </w:pPr>
      <w:r w:rsidRPr="00703EBE">
        <w:rPr>
          <w:rFonts w:ascii="Times" w:hAnsi="Times"/>
          <w:sz w:val="20"/>
          <w:szCs w:val="20"/>
        </w:rPr>
        <w:t xml:space="preserve">Fig. S2. </w:t>
      </w:r>
      <w:r w:rsidRPr="00703EBE">
        <w:rPr>
          <w:rFonts w:ascii="Times" w:hAnsi="Times"/>
          <w:b/>
          <w:bCs/>
          <w:sz w:val="20"/>
          <w:szCs w:val="20"/>
        </w:rPr>
        <w:t>Comparison of seasonal-mean anomaly correlation (AC) skill of NINO3.4 predictions</w:t>
      </w:r>
      <w:r w:rsidRPr="00703EBE">
        <w:rPr>
          <w:rFonts w:ascii="Times" w:hAnsi="Times"/>
          <w:sz w:val="20"/>
          <w:szCs w:val="20"/>
        </w:rPr>
        <w:t>. Seasonal mean AC skill of NINO3.4 predictions as a function of hindcast period on the horizontal axis and forecast lead time on the vertical axis. (</w:t>
      </w:r>
      <w:r w:rsidRPr="00703EBE">
        <w:rPr>
          <w:rFonts w:ascii="Times" w:hAnsi="Times"/>
          <w:b/>
          <w:bCs/>
          <w:sz w:val="20"/>
          <w:szCs w:val="20"/>
        </w:rPr>
        <w:t>a</w:t>
      </w:r>
      <w:r w:rsidRPr="00703EBE">
        <w:rPr>
          <w:rFonts w:ascii="Times" w:hAnsi="Times"/>
          <w:sz w:val="20"/>
          <w:szCs w:val="20"/>
        </w:rPr>
        <w:t>) and (</w:t>
      </w:r>
      <w:r w:rsidRPr="00703EBE">
        <w:rPr>
          <w:rFonts w:ascii="Times" w:hAnsi="Times"/>
          <w:b/>
          <w:bCs/>
          <w:sz w:val="20"/>
          <w:szCs w:val="20"/>
        </w:rPr>
        <w:t>b</w:t>
      </w:r>
      <w:r w:rsidRPr="00703EBE">
        <w:rPr>
          <w:rFonts w:ascii="Times" w:hAnsi="Times"/>
          <w:sz w:val="20"/>
          <w:szCs w:val="20"/>
        </w:rPr>
        <w:t>) Model-analog hindcasts initialized in October and April</w:t>
      </w:r>
      <w:r w:rsidR="0047544D" w:rsidRPr="00703EBE">
        <w:rPr>
          <w:rFonts w:ascii="Times" w:hAnsi="Times"/>
          <w:sz w:val="20"/>
          <w:szCs w:val="20"/>
        </w:rPr>
        <w:t xml:space="preserve"> using CESM2 pre-industrial control simulation as the library to search for the model-analogs</w:t>
      </w:r>
      <w:r w:rsidRPr="00703EBE">
        <w:rPr>
          <w:rFonts w:ascii="Times" w:hAnsi="Times"/>
          <w:sz w:val="20"/>
          <w:szCs w:val="20"/>
        </w:rPr>
        <w:t>. (</w:t>
      </w:r>
      <w:r w:rsidRPr="00703EBE">
        <w:rPr>
          <w:rFonts w:ascii="Times" w:hAnsi="Times"/>
          <w:b/>
          <w:bCs/>
          <w:sz w:val="20"/>
          <w:szCs w:val="20"/>
        </w:rPr>
        <w:t>c</w:t>
      </w:r>
      <w:r w:rsidRPr="00703EBE">
        <w:rPr>
          <w:rFonts w:ascii="Times" w:hAnsi="Times"/>
          <w:sz w:val="20"/>
          <w:szCs w:val="20"/>
        </w:rPr>
        <w:t>) and (</w:t>
      </w:r>
      <w:r w:rsidRPr="00703EBE">
        <w:rPr>
          <w:rFonts w:ascii="Times" w:hAnsi="Times"/>
          <w:b/>
          <w:bCs/>
          <w:sz w:val="20"/>
          <w:szCs w:val="20"/>
        </w:rPr>
        <w:t>d</w:t>
      </w:r>
      <w:r w:rsidRPr="00703EBE">
        <w:rPr>
          <w:rFonts w:ascii="Times" w:hAnsi="Times"/>
          <w:sz w:val="20"/>
          <w:szCs w:val="20"/>
        </w:rPr>
        <w:t>) SEAS5-20C hindcasts initialized on November 1</w:t>
      </w:r>
      <w:r w:rsidRPr="00703EBE">
        <w:rPr>
          <w:rFonts w:ascii="Times" w:hAnsi="Times"/>
          <w:sz w:val="20"/>
          <w:szCs w:val="20"/>
          <w:vertAlign w:val="superscript"/>
        </w:rPr>
        <w:t>st</w:t>
      </w:r>
      <w:r w:rsidRPr="00703EBE">
        <w:rPr>
          <w:rFonts w:ascii="Times" w:hAnsi="Times"/>
          <w:sz w:val="20"/>
          <w:szCs w:val="20"/>
        </w:rPr>
        <w:t xml:space="preserve"> and May 1</w:t>
      </w:r>
      <w:r w:rsidRPr="00703EBE">
        <w:rPr>
          <w:rFonts w:ascii="Times" w:hAnsi="Times"/>
          <w:sz w:val="20"/>
          <w:szCs w:val="20"/>
          <w:vertAlign w:val="superscript"/>
        </w:rPr>
        <w:t>st</w:t>
      </w:r>
      <w:r w:rsidRPr="00703EBE">
        <w:rPr>
          <w:rFonts w:ascii="Times" w:hAnsi="Times"/>
          <w:sz w:val="20"/>
          <w:szCs w:val="20"/>
        </w:rPr>
        <w:t xml:space="preserve">, respectively. </w:t>
      </w:r>
      <w:r w:rsidRPr="00703EBE">
        <w:rPr>
          <w:rFonts w:ascii="Times" w:hAnsi="Times"/>
          <w:color w:val="000000" w:themeColor="text1"/>
          <w:sz w:val="20"/>
          <w:szCs w:val="20"/>
        </w:rPr>
        <w:t>Correlation coefficients for each 30-year sliding hindcast window are shown at the central year (for example, the value for 1940 represents skill for the 1926-1955 period). Hatching indicates the correlation coefficients that are not statistically significant at the 95% significance level.</w:t>
      </w:r>
      <w:r w:rsidR="00EF1A9F" w:rsidRPr="00703EBE">
        <w:rPr>
          <w:rFonts w:ascii="Times" w:hAnsi="Times"/>
          <w:color w:val="000000" w:themeColor="text1"/>
          <w:sz w:val="20"/>
          <w:szCs w:val="20"/>
        </w:rPr>
        <w:t xml:space="preserve"> Note that panels (</w:t>
      </w:r>
      <w:r w:rsidR="00EF1A9F" w:rsidRPr="00703EBE">
        <w:rPr>
          <w:rFonts w:ascii="Times" w:hAnsi="Times"/>
          <w:b/>
          <w:bCs/>
          <w:color w:val="000000" w:themeColor="text1"/>
          <w:sz w:val="20"/>
          <w:szCs w:val="20"/>
        </w:rPr>
        <w:t>c</w:t>
      </w:r>
      <w:r w:rsidR="00EF1A9F" w:rsidRPr="00703EBE">
        <w:rPr>
          <w:rFonts w:ascii="Times" w:hAnsi="Times"/>
          <w:color w:val="000000" w:themeColor="text1"/>
          <w:sz w:val="20"/>
          <w:szCs w:val="20"/>
        </w:rPr>
        <w:t>) and (</w:t>
      </w:r>
      <w:r w:rsidR="00EF1A9F" w:rsidRPr="00703EBE">
        <w:rPr>
          <w:rFonts w:ascii="Times" w:hAnsi="Times"/>
          <w:b/>
          <w:bCs/>
          <w:color w:val="000000" w:themeColor="text1"/>
          <w:sz w:val="20"/>
          <w:szCs w:val="20"/>
        </w:rPr>
        <w:t>d</w:t>
      </w:r>
      <w:r w:rsidR="00EF1A9F" w:rsidRPr="00703EBE">
        <w:rPr>
          <w:rFonts w:ascii="Times" w:hAnsi="Times"/>
          <w:color w:val="000000" w:themeColor="text1"/>
          <w:sz w:val="20"/>
          <w:szCs w:val="20"/>
        </w:rPr>
        <w:t>) are identical to Figs. 1c and d.</w:t>
      </w:r>
    </w:p>
    <w:p w14:paraId="2FDAA8EC" w14:textId="4AC5F108" w:rsidR="005B295F" w:rsidRPr="00935949" w:rsidRDefault="005B295F" w:rsidP="00935949">
      <w:pPr>
        <w:spacing w:line="276" w:lineRule="auto"/>
        <w:rPr>
          <w:rFonts w:ascii="Times" w:hAnsi="Times"/>
          <w:color w:val="000000" w:themeColor="text1"/>
          <w:sz w:val="20"/>
          <w:szCs w:val="20"/>
        </w:rPr>
      </w:pPr>
    </w:p>
    <w:p w14:paraId="510B3801" w14:textId="60C56AF0" w:rsidR="005B295F" w:rsidRPr="00935949" w:rsidRDefault="005B295F" w:rsidP="00935949">
      <w:pPr>
        <w:spacing w:line="276" w:lineRule="auto"/>
        <w:rPr>
          <w:rFonts w:ascii="Times" w:hAnsi="Times"/>
          <w:color w:val="000000" w:themeColor="text1"/>
          <w:sz w:val="20"/>
          <w:szCs w:val="20"/>
        </w:rPr>
      </w:pPr>
    </w:p>
    <w:p w14:paraId="10A47113" w14:textId="1A2C3F44" w:rsidR="0047544D" w:rsidRPr="00935949" w:rsidRDefault="00F849B1" w:rsidP="00935949">
      <w:pPr>
        <w:spacing w:line="276" w:lineRule="auto"/>
        <w:jc w:val="center"/>
        <w:rPr>
          <w:rFonts w:ascii="Times" w:hAnsi="Times"/>
          <w:color w:val="000000" w:themeColor="text1"/>
          <w:sz w:val="20"/>
          <w:szCs w:val="20"/>
        </w:rPr>
      </w:pPr>
      <w:r w:rsidRPr="00935949">
        <w:rPr>
          <w:rFonts w:ascii="Times" w:hAnsi="Times"/>
          <w:noProof/>
          <w:color w:val="000000" w:themeColor="text1"/>
          <w:sz w:val="20"/>
          <w:szCs w:val="20"/>
        </w:rPr>
        <w:lastRenderedPageBreak/>
        <w:drawing>
          <wp:inline distT="0" distB="0" distL="0" distR="0" wp14:anchorId="6E978434" wp14:editId="024214A6">
            <wp:extent cx="2788543" cy="5174616"/>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tretch>
                      <a:fillRect/>
                    </a:stretch>
                  </pic:blipFill>
                  <pic:spPr>
                    <a:xfrm>
                      <a:off x="0" y="0"/>
                      <a:ext cx="2801866" cy="5199340"/>
                    </a:xfrm>
                    <a:prstGeom prst="rect">
                      <a:avLst/>
                    </a:prstGeom>
                  </pic:spPr>
                </pic:pic>
              </a:graphicData>
            </a:graphic>
          </wp:inline>
        </w:drawing>
      </w:r>
    </w:p>
    <w:p w14:paraId="3C45ACAD" w14:textId="72BAE920" w:rsidR="0047544D" w:rsidRPr="00703EBE" w:rsidRDefault="00831C81" w:rsidP="00935949">
      <w:pPr>
        <w:autoSpaceDE w:val="0"/>
        <w:autoSpaceDN w:val="0"/>
        <w:adjustRightInd w:val="0"/>
        <w:spacing w:line="276" w:lineRule="auto"/>
        <w:jc w:val="both"/>
        <w:rPr>
          <w:rFonts w:ascii="Times" w:hAnsi="Times"/>
          <w:color w:val="000000" w:themeColor="text1"/>
          <w:sz w:val="20"/>
          <w:szCs w:val="20"/>
        </w:rPr>
      </w:pPr>
      <w:r w:rsidRPr="00703EBE">
        <w:rPr>
          <w:rFonts w:ascii="Times" w:hAnsi="Times"/>
          <w:color w:val="000000" w:themeColor="text1"/>
          <w:sz w:val="20"/>
          <w:szCs w:val="20"/>
        </w:rPr>
        <w:t xml:space="preserve">Fig. S3. </w:t>
      </w:r>
      <w:r w:rsidRPr="00703EBE">
        <w:rPr>
          <w:rFonts w:ascii="Times" w:hAnsi="Times"/>
          <w:b/>
          <w:bCs/>
          <w:color w:val="000000" w:themeColor="text1"/>
          <w:sz w:val="20"/>
          <w:szCs w:val="20"/>
        </w:rPr>
        <w:t>Anomaly correlation (AC) skill of the equatorial SOI (</w:t>
      </w:r>
      <w:proofErr w:type="spellStart"/>
      <w:r w:rsidRPr="00703EBE">
        <w:rPr>
          <w:rFonts w:ascii="Times" w:hAnsi="Times"/>
          <w:b/>
          <w:bCs/>
          <w:color w:val="000000" w:themeColor="text1"/>
          <w:sz w:val="20"/>
          <w:szCs w:val="20"/>
        </w:rPr>
        <w:t>eqSOI</w:t>
      </w:r>
      <w:proofErr w:type="spellEnd"/>
      <w:r w:rsidRPr="00703EBE">
        <w:rPr>
          <w:rFonts w:ascii="Times" w:hAnsi="Times"/>
          <w:b/>
          <w:bCs/>
          <w:color w:val="000000" w:themeColor="text1"/>
          <w:sz w:val="20"/>
          <w:szCs w:val="20"/>
        </w:rPr>
        <w:t>) predictions</w:t>
      </w:r>
      <w:r w:rsidRPr="00703EBE">
        <w:rPr>
          <w:rFonts w:ascii="Times" w:hAnsi="Times"/>
          <w:color w:val="000000" w:themeColor="text1"/>
          <w:sz w:val="20"/>
          <w:szCs w:val="20"/>
        </w:rPr>
        <w:t>. AC skill of (</w:t>
      </w:r>
      <w:r w:rsidRPr="00703EBE">
        <w:rPr>
          <w:rFonts w:ascii="Times" w:hAnsi="Times"/>
          <w:b/>
          <w:bCs/>
          <w:color w:val="000000" w:themeColor="text1"/>
          <w:sz w:val="20"/>
          <w:szCs w:val="20"/>
        </w:rPr>
        <w:t>a</w:t>
      </w:r>
      <w:r w:rsidRPr="00703EBE">
        <w:rPr>
          <w:rFonts w:ascii="Times" w:hAnsi="Times"/>
          <w:color w:val="000000" w:themeColor="text1"/>
          <w:sz w:val="20"/>
          <w:szCs w:val="20"/>
        </w:rPr>
        <w:t>-</w:t>
      </w:r>
      <w:r w:rsidRPr="00703EBE">
        <w:rPr>
          <w:rFonts w:ascii="Times" w:hAnsi="Times"/>
          <w:b/>
          <w:bCs/>
          <w:color w:val="000000" w:themeColor="text1"/>
          <w:sz w:val="20"/>
          <w:szCs w:val="20"/>
        </w:rPr>
        <w:t>d</w:t>
      </w:r>
      <w:r w:rsidRPr="00703EBE">
        <w:rPr>
          <w:rFonts w:ascii="Times" w:hAnsi="Times"/>
          <w:color w:val="000000" w:themeColor="text1"/>
          <w:sz w:val="20"/>
          <w:szCs w:val="20"/>
        </w:rPr>
        <w:t xml:space="preserve">) </w:t>
      </w:r>
      <w:proofErr w:type="spellStart"/>
      <w:r w:rsidRPr="00703EBE">
        <w:rPr>
          <w:rFonts w:ascii="Times" w:hAnsi="Times"/>
          <w:color w:val="000000" w:themeColor="text1"/>
          <w:sz w:val="20"/>
          <w:szCs w:val="20"/>
        </w:rPr>
        <w:t>eqSOI</w:t>
      </w:r>
      <w:proofErr w:type="spellEnd"/>
      <w:r w:rsidRPr="00703EBE">
        <w:rPr>
          <w:rFonts w:ascii="Times" w:hAnsi="Times"/>
          <w:color w:val="000000" w:themeColor="text1"/>
          <w:sz w:val="20"/>
          <w:szCs w:val="20"/>
        </w:rPr>
        <w:t xml:space="preserve"> as a function of the initial months on the vertical axis and the forecast lead times up to 24 months on the horizonal axis. The AC skill is computed based on the entire period of (</w:t>
      </w:r>
      <w:r w:rsidRPr="00703EBE">
        <w:rPr>
          <w:rFonts w:ascii="Times" w:hAnsi="Times"/>
          <w:b/>
          <w:bCs/>
          <w:color w:val="000000" w:themeColor="text1"/>
          <w:sz w:val="20"/>
          <w:szCs w:val="20"/>
        </w:rPr>
        <w:t>a</w:t>
      </w:r>
      <w:r w:rsidRPr="00703EBE">
        <w:rPr>
          <w:rFonts w:ascii="Times" w:hAnsi="Times"/>
          <w:color w:val="000000" w:themeColor="text1"/>
          <w:sz w:val="20"/>
          <w:szCs w:val="20"/>
        </w:rPr>
        <w:t>) 1901-200</w:t>
      </w:r>
      <w:r w:rsidR="000D1E4F" w:rsidRPr="00703EBE">
        <w:rPr>
          <w:rFonts w:ascii="Times" w:hAnsi="Times"/>
          <w:color w:val="000000" w:themeColor="text1"/>
          <w:sz w:val="20"/>
          <w:szCs w:val="20"/>
        </w:rPr>
        <w:t>4</w:t>
      </w:r>
      <w:r w:rsidRPr="00703EBE">
        <w:rPr>
          <w:rFonts w:ascii="Times" w:hAnsi="Times"/>
          <w:color w:val="000000" w:themeColor="text1"/>
          <w:sz w:val="20"/>
          <w:szCs w:val="20"/>
        </w:rPr>
        <w:t>, and three sub-periods of (</w:t>
      </w:r>
      <w:r w:rsidRPr="00703EBE">
        <w:rPr>
          <w:rFonts w:ascii="Times" w:hAnsi="Times"/>
          <w:b/>
          <w:bCs/>
          <w:color w:val="000000" w:themeColor="text1"/>
          <w:sz w:val="20"/>
          <w:szCs w:val="20"/>
        </w:rPr>
        <w:t>b</w:t>
      </w:r>
      <w:r w:rsidRPr="00703EBE">
        <w:rPr>
          <w:rFonts w:ascii="Times" w:hAnsi="Times"/>
          <w:color w:val="000000" w:themeColor="text1"/>
          <w:sz w:val="20"/>
          <w:szCs w:val="20"/>
        </w:rPr>
        <w:t>) 1901-1930, (</w:t>
      </w:r>
      <w:r w:rsidRPr="00703EBE">
        <w:rPr>
          <w:rFonts w:ascii="Times" w:hAnsi="Times"/>
          <w:b/>
          <w:bCs/>
          <w:color w:val="000000" w:themeColor="text1"/>
          <w:sz w:val="20"/>
          <w:szCs w:val="20"/>
        </w:rPr>
        <w:t>c</w:t>
      </w:r>
      <w:r w:rsidRPr="00703EBE">
        <w:rPr>
          <w:rFonts w:ascii="Times" w:hAnsi="Times"/>
          <w:color w:val="000000" w:themeColor="text1"/>
          <w:sz w:val="20"/>
          <w:szCs w:val="20"/>
        </w:rPr>
        <w:t>) 1931-1970, and (</w:t>
      </w:r>
      <w:r w:rsidRPr="00703EBE">
        <w:rPr>
          <w:rFonts w:ascii="Times" w:hAnsi="Times"/>
          <w:b/>
          <w:bCs/>
          <w:color w:val="000000" w:themeColor="text1"/>
          <w:sz w:val="20"/>
          <w:szCs w:val="20"/>
        </w:rPr>
        <w:t>d</w:t>
      </w:r>
      <w:r w:rsidRPr="00703EBE">
        <w:rPr>
          <w:rFonts w:ascii="Times" w:hAnsi="Times"/>
          <w:color w:val="000000" w:themeColor="text1"/>
          <w:sz w:val="20"/>
          <w:szCs w:val="20"/>
        </w:rPr>
        <w:t>) 1971-200</w:t>
      </w:r>
      <w:r w:rsidR="000D1E4F" w:rsidRPr="00703EBE">
        <w:rPr>
          <w:rFonts w:ascii="Times" w:hAnsi="Times"/>
          <w:color w:val="000000" w:themeColor="text1"/>
          <w:sz w:val="20"/>
          <w:szCs w:val="20"/>
        </w:rPr>
        <w:t>4</w:t>
      </w:r>
      <w:r w:rsidRPr="00703EBE">
        <w:rPr>
          <w:rFonts w:ascii="Times" w:hAnsi="Times"/>
          <w:color w:val="000000" w:themeColor="text1"/>
          <w:sz w:val="20"/>
          <w:szCs w:val="20"/>
        </w:rPr>
        <w:t xml:space="preserve">, respectively. The verification dataset is taken from </w:t>
      </w:r>
      <w:r w:rsidR="000D1E4F" w:rsidRPr="00703EBE">
        <w:rPr>
          <w:rFonts w:ascii="Times" w:hAnsi="Times"/>
          <w:color w:val="000000" w:themeColor="text1"/>
          <w:sz w:val="20"/>
          <w:szCs w:val="20"/>
        </w:rPr>
        <w:t>HadSLP2</w:t>
      </w:r>
      <w:r w:rsidRPr="00703EBE">
        <w:rPr>
          <w:rFonts w:ascii="Times" w:hAnsi="Times"/>
          <w:color w:val="000000" w:themeColor="text1"/>
          <w:sz w:val="20"/>
          <w:szCs w:val="20"/>
        </w:rPr>
        <w:t xml:space="preserve">. </w:t>
      </w:r>
    </w:p>
    <w:p w14:paraId="078E7673" w14:textId="77777777" w:rsidR="00011B50" w:rsidRPr="00703EBE" w:rsidRDefault="00011B50" w:rsidP="00935949">
      <w:pPr>
        <w:autoSpaceDE w:val="0"/>
        <w:autoSpaceDN w:val="0"/>
        <w:adjustRightInd w:val="0"/>
        <w:spacing w:line="276" w:lineRule="auto"/>
        <w:jc w:val="both"/>
        <w:rPr>
          <w:rFonts w:ascii="Times" w:hAnsi="Times"/>
          <w:color w:val="000000" w:themeColor="text1"/>
          <w:sz w:val="20"/>
          <w:szCs w:val="20"/>
        </w:rPr>
      </w:pPr>
    </w:p>
    <w:p w14:paraId="5E8BC346" w14:textId="77777777" w:rsidR="00D27FE5" w:rsidRPr="00703EBE" w:rsidRDefault="00D27FE5" w:rsidP="00935949">
      <w:pPr>
        <w:autoSpaceDE w:val="0"/>
        <w:autoSpaceDN w:val="0"/>
        <w:adjustRightInd w:val="0"/>
        <w:spacing w:line="276" w:lineRule="auto"/>
        <w:jc w:val="both"/>
        <w:rPr>
          <w:rFonts w:ascii="Times" w:hAnsi="Times"/>
          <w:color w:val="000000" w:themeColor="text1"/>
          <w:sz w:val="20"/>
          <w:szCs w:val="20"/>
        </w:rPr>
      </w:pPr>
    </w:p>
    <w:p w14:paraId="33379FF8" w14:textId="35672EDB" w:rsidR="00FD7410" w:rsidRPr="00703EBE" w:rsidRDefault="00011B50" w:rsidP="00935949">
      <w:pPr>
        <w:autoSpaceDE w:val="0"/>
        <w:autoSpaceDN w:val="0"/>
        <w:adjustRightInd w:val="0"/>
        <w:spacing w:line="276" w:lineRule="auto"/>
        <w:jc w:val="both"/>
        <w:rPr>
          <w:rFonts w:ascii="Times" w:hAnsi="Times"/>
          <w:color w:val="000000" w:themeColor="text1"/>
          <w:sz w:val="20"/>
          <w:szCs w:val="20"/>
        </w:rPr>
      </w:pPr>
      <w:r w:rsidRPr="00703EBE">
        <w:rPr>
          <w:rFonts w:ascii="Times" w:hAnsi="Times"/>
          <w:noProof/>
          <w:color w:val="000000" w:themeColor="text1"/>
          <w:sz w:val="20"/>
          <w:szCs w:val="20"/>
        </w:rPr>
        <w:lastRenderedPageBreak/>
        <w:drawing>
          <wp:inline distT="0" distB="0" distL="0" distR="0" wp14:anchorId="16C86E6B" wp14:editId="3B642348">
            <wp:extent cx="5943600" cy="21221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extLst>
                        <a:ext uri="{28A0092B-C50C-407E-A947-70E740481C1C}">
                          <a14:useLocalDpi xmlns:a14="http://schemas.microsoft.com/office/drawing/2010/main" val="0"/>
                        </a:ext>
                      </a:extLst>
                    </a:blip>
                    <a:stretch>
                      <a:fillRect/>
                    </a:stretch>
                  </pic:blipFill>
                  <pic:spPr>
                    <a:xfrm>
                      <a:off x="0" y="0"/>
                      <a:ext cx="5943600" cy="2122170"/>
                    </a:xfrm>
                    <a:prstGeom prst="rect">
                      <a:avLst/>
                    </a:prstGeom>
                  </pic:spPr>
                </pic:pic>
              </a:graphicData>
            </a:graphic>
          </wp:inline>
        </w:drawing>
      </w:r>
    </w:p>
    <w:p w14:paraId="40817AA0" w14:textId="5FB70DA8" w:rsidR="00D27FE5" w:rsidRPr="00703EBE" w:rsidRDefault="00011B50" w:rsidP="00935949">
      <w:pPr>
        <w:autoSpaceDE w:val="0"/>
        <w:autoSpaceDN w:val="0"/>
        <w:adjustRightInd w:val="0"/>
        <w:spacing w:line="276" w:lineRule="auto"/>
        <w:jc w:val="both"/>
        <w:rPr>
          <w:rFonts w:ascii="Times" w:hAnsi="Times"/>
          <w:color w:val="000000" w:themeColor="text1"/>
          <w:sz w:val="20"/>
          <w:szCs w:val="20"/>
        </w:rPr>
      </w:pPr>
      <w:r w:rsidRPr="00703EBE">
        <w:rPr>
          <w:rFonts w:ascii="Times" w:hAnsi="Times"/>
          <w:color w:val="000000" w:themeColor="text1"/>
          <w:sz w:val="20"/>
          <w:szCs w:val="20"/>
        </w:rPr>
        <w:t xml:space="preserve">Fig. S4. </w:t>
      </w:r>
      <w:r w:rsidR="0076199B" w:rsidRPr="0076199B">
        <w:rPr>
          <w:rFonts w:ascii="Times" w:hAnsi="Times"/>
          <w:b/>
          <w:bCs/>
          <w:color w:val="000000" w:themeColor="text1"/>
          <w:sz w:val="20"/>
          <w:szCs w:val="20"/>
        </w:rPr>
        <w:t xml:space="preserve">Skill </w:t>
      </w:r>
      <w:r w:rsidR="0076199B">
        <w:rPr>
          <w:rFonts w:ascii="Times" w:hAnsi="Times"/>
          <w:b/>
          <w:bCs/>
          <w:color w:val="000000" w:themeColor="text1"/>
          <w:sz w:val="20"/>
          <w:szCs w:val="20"/>
        </w:rPr>
        <w:t>d</w:t>
      </w:r>
      <w:r w:rsidRPr="00703EBE">
        <w:rPr>
          <w:rFonts w:ascii="Times" w:hAnsi="Times"/>
          <w:b/>
          <w:bCs/>
          <w:color w:val="000000" w:themeColor="text1"/>
          <w:sz w:val="20"/>
          <w:szCs w:val="20"/>
        </w:rPr>
        <w:t>ifference maps of the reconstruction skill for</w:t>
      </w:r>
      <w:r w:rsidR="00D27FE5" w:rsidRPr="00703EBE">
        <w:rPr>
          <w:rFonts w:ascii="Times" w:hAnsi="Times"/>
          <w:b/>
          <w:bCs/>
          <w:color w:val="000000" w:themeColor="text1"/>
          <w:sz w:val="20"/>
          <w:szCs w:val="20"/>
        </w:rPr>
        <w:t xml:space="preserve"> (a-c)</w:t>
      </w:r>
      <w:r w:rsidRPr="00703EBE">
        <w:rPr>
          <w:rFonts w:ascii="Times" w:hAnsi="Times"/>
          <w:b/>
          <w:bCs/>
          <w:color w:val="000000" w:themeColor="text1"/>
          <w:sz w:val="20"/>
          <w:szCs w:val="20"/>
        </w:rPr>
        <w:t xml:space="preserve"> SSTA and </w:t>
      </w:r>
      <w:r w:rsidR="00D27FE5" w:rsidRPr="00703EBE">
        <w:rPr>
          <w:rFonts w:ascii="Times" w:hAnsi="Times"/>
          <w:b/>
          <w:bCs/>
          <w:color w:val="000000" w:themeColor="text1"/>
          <w:sz w:val="20"/>
          <w:szCs w:val="20"/>
        </w:rPr>
        <w:t xml:space="preserve">(d-h) </w:t>
      </w:r>
      <w:r w:rsidRPr="00703EBE">
        <w:rPr>
          <w:rFonts w:ascii="Times" w:hAnsi="Times"/>
          <w:b/>
          <w:bCs/>
          <w:color w:val="000000" w:themeColor="text1"/>
          <w:sz w:val="20"/>
          <w:szCs w:val="20"/>
        </w:rPr>
        <w:t xml:space="preserve">SSHA. </w:t>
      </w:r>
      <w:r w:rsidR="00D27FE5" w:rsidRPr="00703EBE">
        <w:rPr>
          <w:rFonts w:ascii="Times" w:hAnsi="Times"/>
          <w:color w:val="000000" w:themeColor="text1"/>
          <w:sz w:val="20"/>
          <w:szCs w:val="20"/>
        </w:rPr>
        <w:t>The reconstruction skill is computed based on three sub-periods of (</w:t>
      </w:r>
      <w:r w:rsidR="00D27FE5" w:rsidRPr="00703EBE">
        <w:rPr>
          <w:rFonts w:ascii="Times" w:hAnsi="Times"/>
          <w:b/>
          <w:bCs/>
          <w:color w:val="000000" w:themeColor="text1"/>
          <w:sz w:val="20"/>
          <w:szCs w:val="20"/>
        </w:rPr>
        <w:t xml:space="preserve">a </w:t>
      </w:r>
      <w:r w:rsidR="00D27FE5" w:rsidRPr="00703EBE">
        <w:rPr>
          <w:rFonts w:ascii="Times" w:hAnsi="Times"/>
          <w:color w:val="000000" w:themeColor="text1"/>
          <w:sz w:val="20"/>
          <w:szCs w:val="20"/>
        </w:rPr>
        <w:t xml:space="preserve">and </w:t>
      </w:r>
      <w:r w:rsidR="00D27FE5" w:rsidRPr="00703EBE">
        <w:rPr>
          <w:rFonts w:ascii="Times" w:hAnsi="Times"/>
          <w:b/>
          <w:bCs/>
          <w:color w:val="000000" w:themeColor="text1"/>
          <w:sz w:val="20"/>
          <w:szCs w:val="20"/>
        </w:rPr>
        <w:t>d</w:t>
      </w:r>
      <w:r w:rsidR="00D27FE5" w:rsidRPr="00703EBE">
        <w:rPr>
          <w:rFonts w:ascii="Times" w:hAnsi="Times"/>
          <w:color w:val="000000" w:themeColor="text1"/>
          <w:sz w:val="20"/>
          <w:szCs w:val="20"/>
        </w:rPr>
        <w:t>) 1901-1930, (</w:t>
      </w:r>
      <w:r w:rsidR="00D27FE5" w:rsidRPr="00703EBE">
        <w:rPr>
          <w:rFonts w:ascii="Times" w:hAnsi="Times"/>
          <w:b/>
          <w:bCs/>
          <w:color w:val="000000" w:themeColor="text1"/>
          <w:sz w:val="20"/>
          <w:szCs w:val="20"/>
        </w:rPr>
        <w:t>b</w:t>
      </w:r>
      <w:r w:rsidR="00D27FE5" w:rsidRPr="00703EBE">
        <w:rPr>
          <w:rFonts w:ascii="Times" w:hAnsi="Times"/>
          <w:color w:val="000000" w:themeColor="text1"/>
          <w:sz w:val="20"/>
          <w:szCs w:val="20"/>
        </w:rPr>
        <w:t xml:space="preserve"> and </w:t>
      </w:r>
      <w:r w:rsidR="00D27FE5" w:rsidRPr="00703EBE">
        <w:rPr>
          <w:rFonts w:ascii="Times" w:hAnsi="Times"/>
          <w:b/>
          <w:bCs/>
          <w:color w:val="000000" w:themeColor="text1"/>
          <w:sz w:val="20"/>
          <w:szCs w:val="20"/>
        </w:rPr>
        <w:t>e</w:t>
      </w:r>
      <w:r w:rsidR="00D27FE5" w:rsidRPr="00703EBE">
        <w:rPr>
          <w:rFonts w:ascii="Times" w:hAnsi="Times"/>
          <w:color w:val="000000" w:themeColor="text1"/>
          <w:sz w:val="20"/>
          <w:szCs w:val="20"/>
        </w:rPr>
        <w:t>) 1931-1970, and (</w:t>
      </w:r>
      <w:r w:rsidR="00D27FE5" w:rsidRPr="00703EBE">
        <w:rPr>
          <w:rFonts w:ascii="Times" w:hAnsi="Times"/>
          <w:b/>
          <w:bCs/>
          <w:color w:val="000000" w:themeColor="text1"/>
          <w:sz w:val="20"/>
          <w:szCs w:val="20"/>
        </w:rPr>
        <w:t>c</w:t>
      </w:r>
      <w:r w:rsidR="00D27FE5" w:rsidRPr="00703EBE">
        <w:rPr>
          <w:rFonts w:ascii="Times" w:hAnsi="Times"/>
          <w:color w:val="000000" w:themeColor="text1"/>
          <w:sz w:val="20"/>
          <w:szCs w:val="20"/>
        </w:rPr>
        <w:t xml:space="preserve"> and </w:t>
      </w:r>
      <w:r w:rsidR="00D27FE5" w:rsidRPr="00703EBE">
        <w:rPr>
          <w:rFonts w:ascii="Times" w:hAnsi="Times"/>
          <w:b/>
          <w:bCs/>
          <w:color w:val="000000" w:themeColor="text1"/>
          <w:sz w:val="20"/>
          <w:szCs w:val="20"/>
        </w:rPr>
        <w:t>f</w:t>
      </w:r>
      <w:r w:rsidR="00D27FE5" w:rsidRPr="00703EBE">
        <w:rPr>
          <w:rFonts w:ascii="Times" w:hAnsi="Times"/>
          <w:color w:val="000000" w:themeColor="text1"/>
          <w:sz w:val="20"/>
          <w:szCs w:val="20"/>
        </w:rPr>
        <w:t xml:space="preserve">) 1971-2009, respectively. The verification dataset is taken from CERA-20C. Model-analogs are determined from SSTA+SSHA and SSTA-only. The difference maps are computed using SSTA+SSHA </w:t>
      </w:r>
      <w:r w:rsidR="00BD08F2" w:rsidRPr="00703EBE">
        <w:rPr>
          <w:rFonts w:ascii="Times" w:hAnsi="Times"/>
          <w:color w:val="000000" w:themeColor="text1"/>
          <w:sz w:val="20"/>
          <w:szCs w:val="20"/>
        </w:rPr>
        <w:t xml:space="preserve">experiment </w:t>
      </w:r>
      <w:r w:rsidR="00D27FE5" w:rsidRPr="00703EBE">
        <w:rPr>
          <w:rFonts w:ascii="Times" w:hAnsi="Times"/>
          <w:color w:val="000000" w:themeColor="text1"/>
          <w:sz w:val="20"/>
          <w:szCs w:val="20"/>
        </w:rPr>
        <w:t>minus SST-only</w:t>
      </w:r>
      <w:r w:rsidR="00BD08F2" w:rsidRPr="00703EBE">
        <w:rPr>
          <w:rFonts w:ascii="Times" w:hAnsi="Times"/>
          <w:color w:val="000000" w:themeColor="text1"/>
          <w:sz w:val="20"/>
          <w:szCs w:val="20"/>
        </w:rPr>
        <w:t xml:space="preserve"> experiment. The black boxed indicate NINO3.4 region.</w:t>
      </w:r>
    </w:p>
    <w:p w14:paraId="14F2E65E" w14:textId="77777777" w:rsidR="000D1E4F" w:rsidRPr="00935949" w:rsidRDefault="000D1E4F" w:rsidP="00935949">
      <w:pPr>
        <w:spacing w:line="276" w:lineRule="auto"/>
        <w:jc w:val="center"/>
        <w:rPr>
          <w:rFonts w:ascii="Times" w:hAnsi="Times"/>
          <w:sz w:val="20"/>
          <w:szCs w:val="20"/>
        </w:rPr>
      </w:pPr>
      <w:r w:rsidRPr="00935949">
        <w:rPr>
          <w:rFonts w:ascii="Times" w:hAnsi="Times"/>
          <w:noProof/>
          <w:sz w:val="20"/>
          <w:szCs w:val="20"/>
        </w:rPr>
        <w:lastRenderedPageBreak/>
        <w:drawing>
          <wp:inline distT="0" distB="0" distL="0" distR="0" wp14:anchorId="4D740FB8" wp14:editId="788BEF0A">
            <wp:extent cx="4786175" cy="6766183"/>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extLst>
                        <a:ext uri="{28A0092B-C50C-407E-A947-70E740481C1C}">
                          <a14:useLocalDpi xmlns:a14="http://schemas.microsoft.com/office/drawing/2010/main" val="0"/>
                        </a:ext>
                      </a:extLst>
                    </a:blip>
                    <a:srcRect l="13853" t="-865" r="14799"/>
                    <a:stretch/>
                  </pic:blipFill>
                  <pic:spPr bwMode="auto">
                    <a:xfrm>
                      <a:off x="0" y="0"/>
                      <a:ext cx="4841069" cy="6843787"/>
                    </a:xfrm>
                    <a:prstGeom prst="rect">
                      <a:avLst/>
                    </a:prstGeom>
                    <a:ln>
                      <a:noFill/>
                    </a:ln>
                    <a:extLst>
                      <a:ext uri="{53640926-AAD7-44D8-BBD7-CCE9431645EC}">
                        <a14:shadowObscured xmlns:a14="http://schemas.microsoft.com/office/drawing/2010/main"/>
                      </a:ext>
                    </a:extLst>
                  </pic:spPr>
                </pic:pic>
              </a:graphicData>
            </a:graphic>
          </wp:inline>
        </w:drawing>
      </w:r>
    </w:p>
    <w:p w14:paraId="457C5274" w14:textId="78CC21A7" w:rsidR="000D1E4F" w:rsidRPr="00703EBE" w:rsidRDefault="000D1E4F" w:rsidP="00703EBE">
      <w:pPr>
        <w:spacing w:line="276" w:lineRule="auto"/>
        <w:jc w:val="both"/>
        <w:rPr>
          <w:rFonts w:ascii="Times" w:hAnsi="Times"/>
          <w:color w:val="000000" w:themeColor="text1"/>
          <w:sz w:val="20"/>
          <w:szCs w:val="20"/>
        </w:rPr>
      </w:pPr>
      <w:r w:rsidRPr="00703EBE">
        <w:rPr>
          <w:rFonts w:ascii="Times" w:hAnsi="Times"/>
          <w:color w:val="000000" w:themeColor="text1"/>
          <w:sz w:val="20"/>
          <w:szCs w:val="20"/>
        </w:rPr>
        <w:t>Fig. S</w:t>
      </w:r>
      <w:r w:rsidR="00104C02" w:rsidRPr="00703EBE">
        <w:rPr>
          <w:rFonts w:ascii="Times" w:hAnsi="Times"/>
          <w:color w:val="000000" w:themeColor="text1"/>
          <w:sz w:val="20"/>
          <w:szCs w:val="20"/>
        </w:rPr>
        <w:t>5</w:t>
      </w:r>
      <w:r w:rsidRPr="00703EBE">
        <w:rPr>
          <w:rFonts w:ascii="Times" w:hAnsi="Times"/>
          <w:color w:val="000000" w:themeColor="text1"/>
          <w:sz w:val="20"/>
          <w:szCs w:val="20"/>
        </w:rPr>
        <w:t xml:space="preserve">: </w:t>
      </w:r>
      <w:r w:rsidRPr="00703EBE">
        <w:rPr>
          <w:rFonts w:ascii="Times" w:hAnsi="Times"/>
          <w:b/>
          <w:bCs/>
          <w:color w:val="000000" w:themeColor="text1"/>
          <w:sz w:val="20"/>
          <w:szCs w:val="20"/>
        </w:rPr>
        <w:t>Anomaly correlation (</w:t>
      </w:r>
      <w:r w:rsidRPr="00703EBE">
        <w:rPr>
          <w:rFonts w:ascii="Times" w:hAnsi="Times"/>
          <w:b/>
          <w:bCs/>
          <w:sz w:val="20"/>
          <w:szCs w:val="20"/>
        </w:rPr>
        <w:t>AC) skill variation of NINO3.4 predictions.</w:t>
      </w:r>
      <w:r w:rsidRPr="00703EBE">
        <w:rPr>
          <w:rFonts w:ascii="Times" w:hAnsi="Times"/>
          <w:color w:val="000000" w:themeColor="text1"/>
          <w:sz w:val="20"/>
          <w:szCs w:val="20"/>
        </w:rPr>
        <w:t xml:space="preserve"> Predictive AC skill evolution of NINO3.4 time series over the sliding 30-year hindcast windows for the lead times up to 24 months. The AC skill is verified over seven SST datasets, (</w:t>
      </w:r>
      <w:r w:rsidRPr="00703EBE">
        <w:rPr>
          <w:rFonts w:ascii="Times" w:hAnsi="Times"/>
          <w:b/>
          <w:bCs/>
          <w:color w:val="000000" w:themeColor="text1"/>
          <w:sz w:val="20"/>
          <w:szCs w:val="20"/>
        </w:rPr>
        <w:t>a</w:t>
      </w:r>
      <w:r w:rsidRPr="00703EBE">
        <w:rPr>
          <w:rFonts w:ascii="Times" w:hAnsi="Times"/>
          <w:color w:val="000000" w:themeColor="text1"/>
          <w:sz w:val="20"/>
          <w:szCs w:val="20"/>
        </w:rPr>
        <w:t>) ERSSTv5, (</w:t>
      </w:r>
      <w:r w:rsidRPr="00703EBE">
        <w:rPr>
          <w:rFonts w:ascii="Times" w:hAnsi="Times"/>
          <w:b/>
          <w:bCs/>
          <w:color w:val="000000" w:themeColor="text1"/>
          <w:sz w:val="20"/>
          <w:szCs w:val="20"/>
        </w:rPr>
        <w:t>b</w:t>
      </w:r>
      <w:r w:rsidRPr="00703EBE">
        <w:rPr>
          <w:rFonts w:ascii="Times" w:hAnsi="Times"/>
          <w:color w:val="000000" w:themeColor="text1"/>
          <w:sz w:val="20"/>
          <w:szCs w:val="20"/>
        </w:rPr>
        <w:t>) Kaplan, (</w:t>
      </w:r>
      <w:r w:rsidRPr="00703EBE">
        <w:rPr>
          <w:rFonts w:ascii="Times" w:hAnsi="Times"/>
          <w:b/>
          <w:bCs/>
          <w:color w:val="000000" w:themeColor="text1"/>
          <w:sz w:val="20"/>
          <w:szCs w:val="20"/>
        </w:rPr>
        <w:t>c</w:t>
      </w:r>
      <w:r w:rsidRPr="00703EBE">
        <w:rPr>
          <w:rFonts w:ascii="Times" w:hAnsi="Times"/>
          <w:color w:val="000000" w:themeColor="text1"/>
          <w:sz w:val="20"/>
          <w:szCs w:val="20"/>
        </w:rPr>
        <w:t>) COBE2, (</w:t>
      </w:r>
      <w:r w:rsidRPr="00703EBE">
        <w:rPr>
          <w:rFonts w:ascii="Times" w:hAnsi="Times"/>
          <w:b/>
          <w:bCs/>
          <w:color w:val="000000" w:themeColor="text1"/>
          <w:sz w:val="20"/>
          <w:szCs w:val="20"/>
        </w:rPr>
        <w:t>d</w:t>
      </w:r>
      <w:r w:rsidRPr="00703EBE">
        <w:rPr>
          <w:rFonts w:ascii="Times" w:hAnsi="Times"/>
          <w:color w:val="000000" w:themeColor="text1"/>
          <w:sz w:val="20"/>
          <w:szCs w:val="20"/>
        </w:rPr>
        <w:t xml:space="preserve">) </w:t>
      </w:r>
      <w:proofErr w:type="spellStart"/>
      <w:r w:rsidRPr="00703EBE">
        <w:rPr>
          <w:rFonts w:ascii="Times" w:hAnsi="Times"/>
          <w:color w:val="000000" w:themeColor="text1"/>
          <w:sz w:val="20"/>
          <w:szCs w:val="20"/>
        </w:rPr>
        <w:t>HadISST</w:t>
      </w:r>
      <w:proofErr w:type="spellEnd"/>
      <w:r w:rsidRPr="00703EBE">
        <w:rPr>
          <w:rFonts w:ascii="Times" w:hAnsi="Times"/>
          <w:color w:val="000000" w:themeColor="text1"/>
          <w:sz w:val="20"/>
          <w:szCs w:val="20"/>
        </w:rPr>
        <w:t>, (</w:t>
      </w:r>
      <w:r w:rsidRPr="00703EBE">
        <w:rPr>
          <w:rFonts w:ascii="Times" w:hAnsi="Times"/>
          <w:b/>
          <w:bCs/>
          <w:color w:val="000000" w:themeColor="text1"/>
          <w:sz w:val="20"/>
          <w:szCs w:val="20"/>
        </w:rPr>
        <w:t>e</w:t>
      </w:r>
      <w:r w:rsidRPr="00703EBE">
        <w:rPr>
          <w:rFonts w:ascii="Times" w:hAnsi="Times"/>
          <w:color w:val="000000" w:themeColor="text1"/>
          <w:sz w:val="20"/>
          <w:szCs w:val="20"/>
        </w:rPr>
        <w:t>) ERSSTv3b, (</w:t>
      </w:r>
      <w:r w:rsidRPr="00703EBE">
        <w:rPr>
          <w:rFonts w:ascii="Times" w:hAnsi="Times"/>
          <w:b/>
          <w:bCs/>
          <w:color w:val="000000" w:themeColor="text1"/>
          <w:sz w:val="20"/>
          <w:szCs w:val="20"/>
        </w:rPr>
        <w:t>f</w:t>
      </w:r>
      <w:r w:rsidRPr="00703EBE">
        <w:rPr>
          <w:rFonts w:ascii="Times" w:hAnsi="Times"/>
          <w:color w:val="000000" w:themeColor="text1"/>
          <w:sz w:val="20"/>
          <w:szCs w:val="20"/>
        </w:rPr>
        <w:t>) CERA-20C, and (</w:t>
      </w:r>
      <w:r w:rsidRPr="00703EBE">
        <w:rPr>
          <w:rFonts w:ascii="Times" w:hAnsi="Times"/>
          <w:b/>
          <w:bCs/>
          <w:color w:val="000000" w:themeColor="text1"/>
          <w:sz w:val="20"/>
          <w:szCs w:val="20"/>
        </w:rPr>
        <w:t>g</w:t>
      </w:r>
      <w:r w:rsidRPr="00703EBE">
        <w:rPr>
          <w:rFonts w:ascii="Times" w:hAnsi="Times"/>
          <w:color w:val="000000" w:themeColor="text1"/>
          <w:sz w:val="20"/>
          <w:szCs w:val="20"/>
        </w:rPr>
        <w:t xml:space="preserve">) COBE, respectively. Correlation coefficients for each 30-year hindcast window are shown at the central year. Those correlation coefficients that are not statistically significant at the 95% significance level are slashed. The model-analogs are determined based on the corresponding SST anomalies and the CERA-20C SSH anomalies for the period of 1901-2009. </w:t>
      </w:r>
      <w:r w:rsidR="00EF1A9F" w:rsidRPr="00703EBE">
        <w:rPr>
          <w:rFonts w:ascii="Times" w:hAnsi="Times"/>
          <w:color w:val="000000" w:themeColor="text1"/>
          <w:sz w:val="20"/>
          <w:szCs w:val="20"/>
        </w:rPr>
        <w:t>Note that</w:t>
      </w:r>
      <w:r w:rsidRPr="00703EBE">
        <w:rPr>
          <w:rFonts w:ascii="Times" w:hAnsi="Times"/>
          <w:color w:val="000000" w:themeColor="text1"/>
          <w:sz w:val="20"/>
          <w:szCs w:val="20"/>
        </w:rPr>
        <w:t xml:space="preserve"> panel</w:t>
      </w:r>
      <w:r w:rsidR="00EF1A9F" w:rsidRPr="00703EBE">
        <w:rPr>
          <w:rFonts w:ascii="Times" w:hAnsi="Times"/>
          <w:color w:val="000000" w:themeColor="text1"/>
          <w:sz w:val="20"/>
          <w:szCs w:val="20"/>
        </w:rPr>
        <w:t xml:space="preserve"> (</w:t>
      </w:r>
      <w:r w:rsidR="00EF1A9F" w:rsidRPr="00703EBE">
        <w:rPr>
          <w:rFonts w:ascii="Times" w:hAnsi="Times"/>
          <w:b/>
          <w:bCs/>
          <w:color w:val="000000" w:themeColor="text1"/>
          <w:sz w:val="20"/>
          <w:szCs w:val="20"/>
        </w:rPr>
        <w:t>f</w:t>
      </w:r>
      <w:r w:rsidR="00EF1A9F" w:rsidRPr="00703EBE">
        <w:rPr>
          <w:rFonts w:ascii="Times" w:hAnsi="Times"/>
          <w:color w:val="000000" w:themeColor="text1"/>
          <w:sz w:val="20"/>
          <w:szCs w:val="20"/>
        </w:rPr>
        <w:t>)</w:t>
      </w:r>
      <w:r w:rsidRPr="00703EBE">
        <w:rPr>
          <w:rFonts w:ascii="Times" w:hAnsi="Times"/>
          <w:color w:val="000000" w:themeColor="text1"/>
          <w:sz w:val="20"/>
          <w:szCs w:val="20"/>
        </w:rPr>
        <w:t xml:space="preserve"> is identical to Fig. 3a.</w:t>
      </w:r>
    </w:p>
    <w:p w14:paraId="4D1B3E5B" w14:textId="00C9C64C" w:rsidR="00BD08F2" w:rsidRPr="00935949" w:rsidRDefault="00703EBE" w:rsidP="00935949">
      <w:pPr>
        <w:spacing w:line="276" w:lineRule="auto"/>
        <w:jc w:val="center"/>
        <w:rPr>
          <w:rFonts w:ascii="Times" w:hAnsi="Times"/>
          <w:sz w:val="20"/>
          <w:szCs w:val="20"/>
        </w:rPr>
      </w:pPr>
      <w:r w:rsidRPr="00935949">
        <w:rPr>
          <w:rFonts w:ascii="Times" w:hAnsi="Times"/>
          <w:noProof/>
          <w:sz w:val="20"/>
          <w:szCs w:val="20"/>
        </w:rPr>
        <w:lastRenderedPageBreak/>
        <w:drawing>
          <wp:inline distT="0" distB="0" distL="0" distR="0" wp14:anchorId="4DB76A34" wp14:editId="3F5167F2">
            <wp:extent cx="5943600" cy="28168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816860"/>
                    </a:xfrm>
                    <a:prstGeom prst="rect">
                      <a:avLst/>
                    </a:prstGeom>
                  </pic:spPr>
                </pic:pic>
              </a:graphicData>
            </a:graphic>
          </wp:inline>
        </w:drawing>
      </w:r>
    </w:p>
    <w:p w14:paraId="57C90D8D" w14:textId="72A0DE96" w:rsidR="00703EBE" w:rsidRPr="00935949" w:rsidRDefault="00703EBE" w:rsidP="00935949">
      <w:pPr>
        <w:spacing w:line="276" w:lineRule="auto"/>
        <w:jc w:val="both"/>
        <w:rPr>
          <w:rFonts w:ascii="Times" w:hAnsi="Times"/>
          <w:sz w:val="20"/>
          <w:szCs w:val="20"/>
        </w:rPr>
      </w:pPr>
      <w:r w:rsidRPr="00935949">
        <w:rPr>
          <w:rFonts w:ascii="Times" w:hAnsi="Times"/>
          <w:sz w:val="20"/>
          <w:szCs w:val="20"/>
        </w:rPr>
        <w:t>Fig. S</w:t>
      </w:r>
      <w:r>
        <w:rPr>
          <w:rFonts w:ascii="Times" w:hAnsi="Times"/>
          <w:sz w:val="20"/>
          <w:szCs w:val="20"/>
        </w:rPr>
        <w:t>6: Same as in Fig. 7 but using ERSSTv5 and 20CRv3 as verification datasets.</w:t>
      </w:r>
    </w:p>
    <w:p w14:paraId="47C5BA23" w14:textId="37D6F900" w:rsidR="000D1E4F" w:rsidRPr="00935949" w:rsidRDefault="000D1E4F" w:rsidP="00935949">
      <w:pPr>
        <w:spacing w:line="276" w:lineRule="auto"/>
        <w:jc w:val="center"/>
        <w:rPr>
          <w:rFonts w:ascii="Times" w:hAnsi="Times"/>
          <w:sz w:val="20"/>
          <w:szCs w:val="20"/>
        </w:rPr>
      </w:pPr>
      <w:r w:rsidRPr="00935949">
        <w:rPr>
          <w:rFonts w:ascii="Times" w:hAnsi="Times"/>
          <w:noProof/>
          <w:sz w:val="20"/>
          <w:szCs w:val="20"/>
        </w:rPr>
        <w:lastRenderedPageBreak/>
        <w:drawing>
          <wp:inline distT="0" distB="0" distL="0" distR="0" wp14:anchorId="39A528F8" wp14:editId="102173F5">
            <wp:extent cx="5000367" cy="5924581"/>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8383" cy="6005168"/>
                    </a:xfrm>
                    <a:prstGeom prst="rect">
                      <a:avLst/>
                    </a:prstGeom>
                  </pic:spPr>
                </pic:pic>
              </a:graphicData>
            </a:graphic>
          </wp:inline>
        </w:drawing>
      </w:r>
    </w:p>
    <w:p w14:paraId="0782A29E" w14:textId="64458377" w:rsidR="000D1E4F" w:rsidRPr="00703EBE" w:rsidRDefault="000D1E4F" w:rsidP="00703EBE">
      <w:pPr>
        <w:spacing w:line="276" w:lineRule="auto"/>
        <w:jc w:val="both"/>
        <w:rPr>
          <w:rFonts w:ascii="Times" w:hAnsi="Times"/>
          <w:color w:val="000000" w:themeColor="text1"/>
          <w:sz w:val="20"/>
          <w:szCs w:val="20"/>
        </w:rPr>
      </w:pPr>
      <w:r w:rsidRPr="00703EBE">
        <w:rPr>
          <w:rFonts w:ascii="Times" w:hAnsi="Times"/>
          <w:color w:val="000000" w:themeColor="text1"/>
          <w:sz w:val="20"/>
          <w:szCs w:val="20"/>
        </w:rPr>
        <w:t>Fig. S</w:t>
      </w:r>
      <w:r w:rsidR="00ED367C" w:rsidRPr="00703EBE">
        <w:rPr>
          <w:rFonts w:ascii="Times" w:hAnsi="Times"/>
          <w:color w:val="000000" w:themeColor="text1"/>
          <w:sz w:val="20"/>
          <w:szCs w:val="20"/>
        </w:rPr>
        <w:t>7</w:t>
      </w:r>
      <w:r w:rsidRPr="00703EBE">
        <w:rPr>
          <w:rFonts w:ascii="Times" w:hAnsi="Times"/>
          <w:color w:val="000000" w:themeColor="text1"/>
          <w:sz w:val="20"/>
          <w:szCs w:val="20"/>
        </w:rPr>
        <w:t xml:space="preserve">. </w:t>
      </w:r>
      <w:r w:rsidRPr="00703EBE">
        <w:rPr>
          <w:rFonts w:ascii="Times" w:hAnsi="Times"/>
          <w:b/>
          <w:bCs/>
          <w:color w:val="000000" w:themeColor="text1"/>
          <w:sz w:val="20"/>
          <w:szCs w:val="20"/>
        </w:rPr>
        <w:t>El Niño-Southern Oscillation over the historical record</w:t>
      </w:r>
      <w:r w:rsidRPr="00703EBE">
        <w:rPr>
          <w:rFonts w:ascii="Times" w:hAnsi="Times"/>
          <w:color w:val="000000" w:themeColor="text1"/>
          <w:sz w:val="20"/>
          <w:szCs w:val="20"/>
        </w:rPr>
        <w:t>. (</w:t>
      </w:r>
      <w:r w:rsidRPr="00703EBE">
        <w:rPr>
          <w:rFonts w:ascii="Times" w:hAnsi="Times"/>
          <w:b/>
          <w:bCs/>
          <w:color w:val="000000" w:themeColor="text1"/>
          <w:sz w:val="20"/>
          <w:szCs w:val="20"/>
        </w:rPr>
        <w:t>a</w:t>
      </w:r>
      <w:r w:rsidRPr="00703EBE">
        <w:rPr>
          <w:rFonts w:ascii="Times" w:hAnsi="Times"/>
          <w:color w:val="000000" w:themeColor="text1"/>
          <w:sz w:val="20"/>
          <w:szCs w:val="20"/>
        </w:rPr>
        <w:t>) Regression map of near-global (70</w:t>
      </w:r>
      <w:r w:rsidRPr="00703EBE">
        <w:rPr>
          <w:rFonts w:ascii="Times" w:hAnsi="Times"/>
          <w:color w:val="000000" w:themeColor="text1"/>
          <w:sz w:val="20"/>
          <w:szCs w:val="20"/>
          <w:vertAlign w:val="superscript"/>
        </w:rPr>
        <w:t>o</w:t>
      </w:r>
      <w:r w:rsidRPr="00703EBE">
        <w:rPr>
          <w:rFonts w:ascii="Times" w:hAnsi="Times"/>
          <w:color w:val="000000" w:themeColor="text1"/>
          <w:sz w:val="20"/>
          <w:szCs w:val="20"/>
        </w:rPr>
        <w:t>S-70</w:t>
      </w:r>
      <w:r w:rsidRPr="00703EBE">
        <w:rPr>
          <w:rFonts w:ascii="Times" w:hAnsi="Times"/>
          <w:color w:val="000000" w:themeColor="text1"/>
          <w:sz w:val="20"/>
          <w:szCs w:val="20"/>
          <w:vertAlign w:val="superscript"/>
        </w:rPr>
        <w:t>o</w:t>
      </w:r>
      <w:r w:rsidRPr="00703EBE">
        <w:rPr>
          <w:rFonts w:ascii="Times" w:hAnsi="Times"/>
          <w:color w:val="000000" w:themeColor="text1"/>
          <w:sz w:val="20"/>
          <w:szCs w:val="20"/>
        </w:rPr>
        <w:t>N) monthly SST anomalies onto the NINO3.4 time series from the ERSSTv5 dataset (1854-2020). (</w:t>
      </w:r>
      <w:r w:rsidRPr="00703EBE">
        <w:rPr>
          <w:rFonts w:ascii="Times" w:hAnsi="Times"/>
          <w:b/>
          <w:bCs/>
          <w:color w:val="000000" w:themeColor="text1"/>
          <w:sz w:val="20"/>
          <w:szCs w:val="20"/>
        </w:rPr>
        <w:t>b</w:t>
      </w:r>
      <w:r w:rsidRPr="00703EBE">
        <w:rPr>
          <w:rFonts w:ascii="Times" w:hAnsi="Times"/>
          <w:color w:val="000000" w:themeColor="text1"/>
          <w:sz w:val="20"/>
          <w:szCs w:val="20"/>
        </w:rPr>
        <w:t xml:space="preserve">) NINO3.4 time series determined from the SST datasets, ERSSTv5, Kaplan, COBE2, </w:t>
      </w:r>
      <w:proofErr w:type="spellStart"/>
      <w:r w:rsidRPr="00703EBE">
        <w:rPr>
          <w:rFonts w:ascii="Times" w:hAnsi="Times"/>
          <w:color w:val="000000" w:themeColor="text1"/>
          <w:sz w:val="20"/>
          <w:szCs w:val="20"/>
        </w:rPr>
        <w:t>HadISST</w:t>
      </w:r>
      <w:proofErr w:type="spellEnd"/>
      <w:r w:rsidRPr="00703EBE">
        <w:rPr>
          <w:rFonts w:ascii="Times" w:hAnsi="Times"/>
          <w:color w:val="000000" w:themeColor="text1"/>
          <w:sz w:val="20"/>
          <w:szCs w:val="20"/>
        </w:rPr>
        <w:t>, ERSSTv3b, CERA-20C, and COBE. (</w:t>
      </w:r>
      <w:r w:rsidRPr="00703EBE">
        <w:rPr>
          <w:rFonts w:ascii="Times" w:hAnsi="Times"/>
          <w:b/>
          <w:bCs/>
          <w:color w:val="000000" w:themeColor="text1"/>
          <w:sz w:val="20"/>
          <w:szCs w:val="20"/>
        </w:rPr>
        <w:t>c</w:t>
      </w:r>
      <w:r w:rsidRPr="00703EBE">
        <w:rPr>
          <w:rFonts w:ascii="Times" w:hAnsi="Times"/>
          <w:color w:val="000000" w:themeColor="text1"/>
          <w:sz w:val="20"/>
          <w:szCs w:val="20"/>
        </w:rPr>
        <w:t xml:space="preserve">, and </w:t>
      </w:r>
      <w:r w:rsidRPr="00703EBE">
        <w:rPr>
          <w:rFonts w:ascii="Times" w:hAnsi="Times"/>
          <w:b/>
          <w:bCs/>
          <w:color w:val="000000" w:themeColor="text1"/>
          <w:sz w:val="20"/>
          <w:szCs w:val="20"/>
        </w:rPr>
        <w:t>d</w:t>
      </w:r>
      <w:r w:rsidRPr="00703EBE">
        <w:rPr>
          <w:rFonts w:ascii="Times" w:hAnsi="Times"/>
          <w:color w:val="000000" w:themeColor="text1"/>
          <w:sz w:val="20"/>
          <w:szCs w:val="20"/>
        </w:rPr>
        <w:t>) Regression maps of near-global monthly SLP anomalies from 20CR</w:t>
      </w:r>
      <w:r w:rsidR="00EF1A9F" w:rsidRPr="00703EBE">
        <w:rPr>
          <w:rFonts w:ascii="Times" w:hAnsi="Times"/>
          <w:color w:val="000000" w:themeColor="text1"/>
          <w:sz w:val="20"/>
          <w:szCs w:val="20"/>
        </w:rPr>
        <w:t>v3</w:t>
      </w:r>
      <w:r w:rsidRPr="00703EBE">
        <w:rPr>
          <w:rFonts w:ascii="Times" w:hAnsi="Times"/>
          <w:color w:val="000000" w:themeColor="text1"/>
          <w:sz w:val="20"/>
          <w:szCs w:val="20"/>
        </w:rPr>
        <w:t xml:space="preserve"> onto the Southern Oscillation Index [SOI: Standardized SLP difference between Tahiti and Darwin (the locations are indicated in </w:t>
      </w:r>
      <w:r w:rsidRPr="00703EBE">
        <w:rPr>
          <w:rFonts w:ascii="Times" w:hAnsi="Times"/>
          <w:b/>
          <w:bCs/>
          <w:color w:val="000000" w:themeColor="text1"/>
          <w:sz w:val="20"/>
          <w:szCs w:val="20"/>
        </w:rPr>
        <w:t>c</w:t>
      </w:r>
      <w:r w:rsidRPr="00703EBE">
        <w:rPr>
          <w:rFonts w:ascii="Times" w:hAnsi="Times"/>
          <w:color w:val="000000" w:themeColor="text1"/>
          <w:sz w:val="20"/>
          <w:szCs w:val="20"/>
        </w:rPr>
        <w:t xml:space="preserve">.)] time series for the period of 1855-2020 and the equatorial SOI timeseries [standardized SLP difference between the eastern equatorial Pacific and Indonesia region (the regions are indicated in the boxes in </w:t>
      </w:r>
      <w:r w:rsidRPr="00703EBE">
        <w:rPr>
          <w:rFonts w:ascii="Times" w:hAnsi="Times"/>
          <w:b/>
          <w:bCs/>
          <w:color w:val="000000" w:themeColor="text1"/>
          <w:sz w:val="20"/>
          <w:szCs w:val="20"/>
        </w:rPr>
        <w:t>d</w:t>
      </w:r>
      <w:r w:rsidRPr="00703EBE">
        <w:rPr>
          <w:rFonts w:ascii="Times" w:hAnsi="Times"/>
          <w:color w:val="000000" w:themeColor="text1"/>
          <w:sz w:val="20"/>
          <w:szCs w:val="20"/>
        </w:rPr>
        <w:t>.)] for the period of 1836-2015. (</w:t>
      </w:r>
      <w:r w:rsidRPr="00703EBE">
        <w:rPr>
          <w:rFonts w:ascii="Times" w:hAnsi="Times"/>
          <w:b/>
          <w:bCs/>
          <w:color w:val="000000" w:themeColor="text1"/>
          <w:sz w:val="20"/>
          <w:szCs w:val="20"/>
        </w:rPr>
        <w:t>e</w:t>
      </w:r>
      <w:r w:rsidRPr="00703EBE">
        <w:rPr>
          <w:rFonts w:ascii="Times" w:hAnsi="Times"/>
          <w:color w:val="000000" w:themeColor="text1"/>
          <w:sz w:val="20"/>
          <w:szCs w:val="20"/>
        </w:rPr>
        <w:t>) The standardized equatorial SOI time series determined from the SLP datasets, 20CR</w:t>
      </w:r>
      <w:r w:rsidR="00EF1A9F" w:rsidRPr="00703EBE">
        <w:rPr>
          <w:rFonts w:ascii="Times" w:hAnsi="Times"/>
          <w:color w:val="000000" w:themeColor="text1"/>
          <w:sz w:val="20"/>
          <w:szCs w:val="20"/>
        </w:rPr>
        <w:t>v3</w:t>
      </w:r>
      <w:r w:rsidRPr="00703EBE">
        <w:rPr>
          <w:rFonts w:ascii="Times" w:hAnsi="Times"/>
          <w:color w:val="000000" w:themeColor="text1"/>
          <w:sz w:val="20"/>
          <w:szCs w:val="20"/>
        </w:rPr>
        <w:t xml:space="preserve">, HadISLP2, and CERA-20C. The hatching in </w:t>
      </w:r>
      <w:r w:rsidRPr="00703EBE">
        <w:rPr>
          <w:rFonts w:ascii="Times" w:hAnsi="Times"/>
          <w:b/>
          <w:bCs/>
          <w:color w:val="000000" w:themeColor="text1"/>
          <w:sz w:val="20"/>
          <w:szCs w:val="20"/>
        </w:rPr>
        <w:t>a</w:t>
      </w:r>
      <w:r w:rsidRPr="00703EBE">
        <w:rPr>
          <w:rFonts w:ascii="Times" w:hAnsi="Times"/>
          <w:color w:val="000000" w:themeColor="text1"/>
          <w:sz w:val="20"/>
          <w:szCs w:val="20"/>
        </w:rPr>
        <w:t xml:space="preserve">, </w:t>
      </w:r>
      <w:r w:rsidRPr="00703EBE">
        <w:rPr>
          <w:rFonts w:ascii="Times" w:hAnsi="Times"/>
          <w:b/>
          <w:bCs/>
          <w:color w:val="000000" w:themeColor="text1"/>
          <w:sz w:val="20"/>
          <w:szCs w:val="20"/>
        </w:rPr>
        <w:t>c</w:t>
      </w:r>
      <w:r w:rsidRPr="00703EBE">
        <w:rPr>
          <w:rFonts w:ascii="Times" w:hAnsi="Times"/>
          <w:color w:val="000000" w:themeColor="text1"/>
          <w:sz w:val="20"/>
          <w:szCs w:val="20"/>
        </w:rPr>
        <w:t xml:space="preserve">, and </w:t>
      </w:r>
      <w:r w:rsidRPr="00703EBE">
        <w:rPr>
          <w:rFonts w:ascii="Times" w:hAnsi="Times"/>
          <w:b/>
          <w:bCs/>
          <w:color w:val="000000" w:themeColor="text1"/>
          <w:sz w:val="20"/>
          <w:szCs w:val="20"/>
        </w:rPr>
        <w:t>d</w:t>
      </w:r>
      <w:r w:rsidRPr="00703EBE">
        <w:rPr>
          <w:rFonts w:ascii="Times" w:hAnsi="Times"/>
          <w:color w:val="000000" w:themeColor="text1"/>
          <w:sz w:val="20"/>
          <w:szCs w:val="20"/>
        </w:rPr>
        <w:t xml:space="preserve"> indicates the regression coefficients that are statistically significant (</w:t>
      </w:r>
      <w:r w:rsidRPr="00703EBE">
        <w:rPr>
          <w:rFonts w:ascii="Times" w:hAnsi="Times"/>
          <w:i/>
          <w:iCs/>
          <w:color w:val="000000" w:themeColor="text1"/>
          <w:sz w:val="20"/>
          <w:szCs w:val="20"/>
        </w:rPr>
        <w:t>p</w:t>
      </w:r>
      <w:r w:rsidRPr="00703EBE">
        <w:rPr>
          <w:rFonts w:ascii="Times" w:hAnsi="Times"/>
          <w:color w:val="000000" w:themeColor="text1"/>
          <w:sz w:val="20"/>
          <w:szCs w:val="20"/>
        </w:rPr>
        <w:t xml:space="preserve"> value </w:t>
      </w:r>
      <w:r w:rsidRPr="00703EBE">
        <w:rPr>
          <w:rFonts w:ascii="Times" w:hAnsi="Times"/>
          <w:color w:val="000000" w:themeColor="text1"/>
          <w:sz w:val="20"/>
          <w:szCs w:val="20"/>
        </w:rPr>
        <w:sym w:font="Symbol" w:char="F03C"/>
      </w:r>
      <w:r w:rsidRPr="00703EBE">
        <w:rPr>
          <w:rFonts w:ascii="Times" w:hAnsi="Times"/>
          <w:color w:val="000000" w:themeColor="text1"/>
          <w:sz w:val="20"/>
          <w:szCs w:val="20"/>
        </w:rPr>
        <w:t xml:space="preserve"> 0.05).  The last series in </w:t>
      </w:r>
      <w:r w:rsidRPr="00703EBE">
        <w:rPr>
          <w:rFonts w:ascii="Times" w:hAnsi="Times"/>
          <w:b/>
          <w:bCs/>
          <w:color w:val="000000" w:themeColor="text1"/>
          <w:sz w:val="20"/>
          <w:szCs w:val="20"/>
        </w:rPr>
        <w:t>b</w:t>
      </w:r>
      <w:r w:rsidRPr="00703EBE">
        <w:rPr>
          <w:rFonts w:ascii="Times" w:hAnsi="Times"/>
          <w:color w:val="000000" w:themeColor="text1"/>
          <w:sz w:val="20"/>
          <w:szCs w:val="20"/>
        </w:rPr>
        <w:t xml:space="preserve"> and </w:t>
      </w:r>
      <w:r w:rsidRPr="00703EBE">
        <w:rPr>
          <w:rFonts w:ascii="Times" w:hAnsi="Times"/>
          <w:b/>
          <w:bCs/>
          <w:color w:val="000000" w:themeColor="text1"/>
          <w:sz w:val="20"/>
          <w:szCs w:val="20"/>
        </w:rPr>
        <w:t>e</w:t>
      </w:r>
      <w:r w:rsidRPr="00703EBE">
        <w:rPr>
          <w:rFonts w:ascii="Times" w:hAnsi="Times"/>
          <w:color w:val="000000" w:themeColor="text1"/>
          <w:sz w:val="20"/>
          <w:szCs w:val="20"/>
        </w:rPr>
        <w:t xml:space="preserve"> shows the departure of each time series from the mean of all seven SST and three SLP time series. </w:t>
      </w:r>
    </w:p>
    <w:p w14:paraId="758E131F" w14:textId="77777777" w:rsidR="000D1E4F" w:rsidRPr="00935949" w:rsidRDefault="000D1E4F" w:rsidP="00935949">
      <w:pPr>
        <w:autoSpaceDE w:val="0"/>
        <w:autoSpaceDN w:val="0"/>
        <w:adjustRightInd w:val="0"/>
        <w:spacing w:line="276" w:lineRule="auto"/>
        <w:jc w:val="both"/>
        <w:rPr>
          <w:rFonts w:ascii="Times" w:hAnsi="Times"/>
          <w:sz w:val="20"/>
          <w:szCs w:val="20"/>
        </w:rPr>
      </w:pPr>
    </w:p>
    <w:p w14:paraId="049937BE" w14:textId="3ACA87DE" w:rsidR="00E9720E" w:rsidRPr="00935949" w:rsidRDefault="00E9720E" w:rsidP="00935949">
      <w:pPr>
        <w:spacing w:line="276" w:lineRule="auto"/>
        <w:rPr>
          <w:rFonts w:ascii="Times" w:hAnsi="Times"/>
          <w:sz w:val="20"/>
          <w:szCs w:val="20"/>
        </w:rPr>
      </w:pPr>
    </w:p>
    <w:sectPr w:rsidR="00E9720E" w:rsidRPr="00935949" w:rsidSect="003A7142">
      <w:footerReference w:type="even" r:id="rId14"/>
      <w:footerReference w:type="default" r:id="rId15"/>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ACB9D" w14:textId="77777777" w:rsidR="00EE6AF4" w:rsidRDefault="00EE6AF4" w:rsidP="003A7142">
      <w:r>
        <w:separator/>
      </w:r>
    </w:p>
  </w:endnote>
  <w:endnote w:type="continuationSeparator" w:id="0">
    <w:p w14:paraId="671F97A3" w14:textId="77777777" w:rsidR="00EE6AF4" w:rsidRDefault="00EE6AF4" w:rsidP="003A7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3926258"/>
      <w:docPartObj>
        <w:docPartGallery w:val="Page Numbers (Bottom of Page)"/>
        <w:docPartUnique/>
      </w:docPartObj>
    </w:sdtPr>
    <w:sdtContent>
      <w:p w14:paraId="773394AB" w14:textId="49125397" w:rsidR="003A7142" w:rsidRDefault="003A71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5568AF" w14:textId="77777777" w:rsidR="003A7142" w:rsidRDefault="003A7142" w:rsidP="003A71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8660521"/>
      <w:docPartObj>
        <w:docPartGallery w:val="Page Numbers (Bottom of Page)"/>
        <w:docPartUnique/>
      </w:docPartObj>
    </w:sdtPr>
    <w:sdtContent>
      <w:p w14:paraId="744A5BCB" w14:textId="2366FDB0" w:rsidR="003A7142" w:rsidRDefault="003A71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9940FF" w14:textId="77777777" w:rsidR="003A7142" w:rsidRDefault="003A7142" w:rsidP="003A714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85F62" w14:textId="77777777" w:rsidR="00EE6AF4" w:rsidRDefault="00EE6AF4" w:rsidP="003A7142">
      <w:r>
        <w:separator/>
      </w:r>
    </w:p>
  </w:footnote>
  <w:footnote w:type="continuationSeparator" w:id="0">
    <w:p w14:paraId="2C606DA6" w14:textId="77777777" w:rsidR="00EE6AF4" w:rsidRDefault="00EE6AF4" w:rsidP="003A71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42"/>
    <w:rsid w:val="00011B50"/>
    <w:rsid w:val="00036BE0"/>
    <w:rsid w:val="000D1E4F"/>
    <w:rsid w:val="001040F5"/>
    <w:rsid w:val="00104C02"/>
    <w:rsid w:val="0012359E"/>
    <w:rsid w:val="001248D7"/>
    <w:rsid w:val="00153B7B"/>
    <w:rsid w:val="001724FE"/>
    <w:rsid w:val="00186AA7"/>
    <w:rsid w:val="001946FC"/>
    <w:rsid w:val="001947F0"/>
    <w:rsid w:val="001C463B"/>
    <w:rsid w:val="001D3E16"/>
    <w:rsid w:val="001E0BDB"/>
    <w:rsid w:val="00211326"/>
    <w:rsid w:val="00257FEF"/>
    <w:rsid w:val="00265C68"/>
    <w:rsid w:val="002862FB"/>
    <w:rsid w:val="002C1994"/>
    <w:rsid w:val="002D2005"/>
    <w:rsid w:val="002F4945"/>
    <w:rsid w:val="0036759E"/>
    <w:rsid w:val="0039665F"/>
    <w:rsid w:val="003A224F"/>
    <w:rsid w:val="003A359D"/>
    <w:rsid w:val="003A7142"/>
    <w:rsid w:val="003B687E"/>
    <w:rsid w:val="003C0FC6"/>
    <w:rsid w:val="003F6D52"/>
    <w:rsid w:val="00433BC6"/>
    <w:rsid w:val="00447D68"/>
    <w:rsid w:val="0047544D"/>
    <w:rsid w:val="004A63EC"/>
    <w:rsid w:val="004B385A"/>
    <w:rsid w:val="004C2B04"/>
    <w:rsid w:val="00515BF8"/>
    <w:rsid w:val="00531AD0"/>
    <w:rsid w:val="005A70A4"/>
    <w:rsid w:val="005B295F"/>
    <w:rsid w:val="005B39A0"/>
    <w:rsid w:val="005B5E0F"/>
    <w:rsid w:val="005E26F9"/>
    <w:rsid w:val="0060150F"/>
    <w:rsid w:val="006A4BB8"/>
    <w:rsid w:val="007015C4"/>
    <w:rsid w:val="00703EBE"/>
    <w:rsid w:val="0076199B"/>
    <w:rsid w:val="007F6E9D"/>
    <w:rsid w:val="00812362"/>
    <w:rsid w:val="00820972"/>
    <w:rsid w:val="008238B5"/>
    <w:rsid w:val="00831C81"/>
    <w:rsid w:val="0084104E"/>
    <w:rsid w:val="0087755D"/>
    <w:rsid w:val="008962C5"/>
    <w:rsid w:val="00914B3E"/>
    <w:rsid w:val="00922E91"/>
    <w:rsid w:val="00933FFE"/>
    <w:rsid w:val="00935949"/>
    <w:rsid w:val="00942F43"/>
    <w:rsid w:val="0094694F"/>
    <w:rsid w:val="009A48BA"/>
    <w:rsid w:val="009A64E2"/>
    <w:rsid w:val="009B2EF0"/>
    <w:rsid w:val="009D5BAC"/>
    <w:rsid w:val="009D7562"/>
    <w:rsid w:val="009F4E7E"/>
    <w:rsid w:val="00A24E41"/>
    <w:rsid w:val="00A3315B"/>
    <w:rsid w:val="00A64B2B"/>
    <w:rsid w:val="00A91AC4"/>
    <w:rsid w:val="00AC3E8E"/>
    <w:rsid w:val="00AC7517"/>
    <w:rsid w:val="00AD2C4E"/>
    <w:rsid w:val="00AE087F"/>
    <w:rsid w:val="00B33EA6"/>
    <w:rsid w:val="00B54D9F"/>
    <w:rsid w:val="00B85641"/>
    <w:rsid w:val="00B86C84"/>
    <w:rsid w:val="00B877D5"/>
    <w:rsid w:val="00BB14C2"/>
    <w:rsid w:val="00BB24B3"/>
    <w:rsid w:val="00BC31DA"/>
    <w:rsid w:val="00BD08F2"/>
    <w:rsid w:val="00BD5B38"/>
    <w:rsid w:val="00C20E81"/>
    <w:rsid w:val="00C252C9"/>
    <w:rsid w:val="00C36040"/>
    <w:rsid w:val="00C92876"/>
    <w:rsid w:val="00CC7CAF"/>
    <w:rsid w:val="00CF0D6C"/>
    <w:rsid w:val="00D01CFF"/>
    <w:rsid w:val="00D27FE5"/>
    <w:rsid w:val="00D47FE5"/>
    <w:rsid w:val="00E0489E"/>
    <w:rsid w:val="00E2053C"/>
    <w:rsid w:val="00E20B51"/>
    <w:rsid w:val="00E2127A"/>
    <w:rsid w:val="00E239F8"/>
    <w:rsid w:val="00E3086C"/>
    <w:rsid w:val="00E364A9"/>
    <w:rsid w:val="00E74533"/>
    <w:rsid w:val="00E9720E"/>
    <w:rsid w:val="00E97222"/>
    <w:rsid w:val="00ED1A58"/>
    <w:rsid w:val="00ED367C"/>
    <w:rsid w:val="00ED3CA5"/>
    <w:rsid w:val="00ED7059"/>
    <w:rsid w:val="00EE6AF4"/>
    <w:rsid w:val="00EF1A9F"/>
    <w:rsid w:val="00F2295D"/>
    <w:rsid w:val="00F26CFB"/>
    <w:rsid w:val="00F54439"/>
    <w:rsid w:val="00F6050A"/>
    <w:rsid w:val="00F7105E"/>
    <w:rsid w:val="00F849B1"/>
    <w:rsid w:val="00FA48C8"/>
    <w:rsid w:val="00FD3A97"/>
    <w:rsid w:val="00FD7410"/>
    <w:rsid w:val="00FE3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ADC893"/>
  <w15:docId w15:val="{60FEAD03-6A7D-5B4B-A7C0-38C3E6F4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A63E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7142"/>
    <w:rPr>
      <w:color w:val="0563C1" w:themeColor="hyperlink"/>
      <w:u w:val="single"/>
    </w:rPr>
  </w:style>
  <w:style w:type="character" w:styleId="LineNumber">
    <w:name w:val="line number"/>
    <w:basedOn w:val="DefaultParagraphFont"/>
    <w:uiPriority w:val="99"/>
    <w:semiHidden/>
    <w:unhideWhenUsed/>
    <w:rsid w:val="003A7142"/>
  </w:style>
  <w:style w:type="paragraph" w:styleId="Header">
    <w:name w:val="header"/>
    <w:basedOn w:val="Normal"/>
    <w:link w:val="HeaderChar"/>
    <w:uiPriority w:val="99"/>
    <w:unhideWhenUsed/>
    <w:rsid w:val="003A7142"/>
    <w:pPr>
      <w:tabs>
        <w:tab w:val="center" w:pos="4680"/>
        <w:tab w:val="right" w:pos="9360"/>
      </w:tabs>
    </w:pPr>
  </w:style>
  <w:style w:type="character" w:customStyle="1" w:styleId="HeaderChar">
    <w:name w:val="Header Char"/>
    <w:basedOn w:val="DefaultParagraphFont"/>
    <w:link w:val="Header"/>
    <w:uiPriority w:val="99"/>
    <w:rsid w:val="003A7142"/>
  </w:style>
  <w:style w:type="paragraph" w:styleId="Footer">
    <w:name w:val="footer"/>
    <w:basedOn w:val="Normal"/>
    <w:link w:val="FooterChar"/>
    <w:uiPriority w:val="99"/>
    <w:unhideWhenUsed/>
    <w:rsid w:val="003A7142"/>
    <w:pPr>
      <w:tabs>
        <w:tab w:val="center" w:pos="4680"/>
        <w:tab w:val="right" w:pos="9360"/>
      </w:tabs>
    </w:pPr>
  </w:style>
  <w:style w:type="character" w:customStyle="1" w:styleId="FooterChar">
    <w:name w:val="Footer Char"/>
    <w:basedOn w:val="DefaultParagraphFont"/>
    <w:link w:val="Footer"/>
    <w:uiPriority w:val="99"/>
    <w:rsid w:val="003A7142"/>
  </w:style>
  <w:style w:type="character" w:styleId="PageNumber">
    <w:name w:val="page number"/>
    <w:basedOn w:val="DefaultParagraphFont"/>
    <w:uiPriority w:val="99"/>
    <w:semiHidden/>
    <w:unhideWhenUsed/>
    <w:rsid w:val="003A7142"/>
  </w:style>
  <w:style w:type="character" w:customStyle="1" w:styleId="Heading2Char">
    <w:name w:val="Heading 2 Char"/>
    <w:basedOn w:val="DefaultParagraphFont"/>
    <w:link w:val="Heading2"/>
    <w:uiPriority w:val="9"/>
    <w:rsid w:val="004A63EC"/>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FD7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981643">
      <w:bodyDiv w:val="1"/>
      <w:marLeft w:val="0"/>
      <w:marRight w:val="0"/>
      <w:marTop w:val="0"/>
      <w:marBottom w:val="0"/>
      <w:divBdr>
        <w:top w:val="none" w:sz="0" w:space="0" w:color="auto"/>
        <w:left w:val="none" w:sz="0" w:space="0" w:color="auto"/>
        <w:bottom w:val="none" w:sz="0" w:space="0" w:color="auto"/>
        <w:right w:val="none" w:sz="0" w:space="0" w:color="auto"/>
      </w:divBdr>
      <w:divsChild>
        <w:div w:id="1082213908">
          <w:marLeft w:val="0"/>
          <w:marRight w:val="0"/>
          <w:marTop w:val="0"/>
          <w:marBottom w:val="0"/>
          <w:divBdr>
            <w:top w:val="none" w:sz="0" w:space="0" w:color="auto"/>
            <w:left w:val="none" w:sz="0" w:space="0" w:color="auto"/>
            <w:bottom w:val="none" w:sz="0" w:space="0" w:color="auto"/>
            <w:right w:val="none" w:sz="0" w:space="0" w:color="auto"/>
          </w:divBdr>
          <w:divsChild>
            <w:div w:id="265308560">
              <w:marLeft w:val="0"/>
              <w:marRight w:val="0"/>
              <w:marTop w:val="0"/>
              <w:marBottom w:val="0"/>
              <w:divBdr>
                <w:top w:val="none" w:sz="0" w:space="0" w:color="auto"/>
                <w:left w:val="none" w:sz="0" w:space="0" w:color="auto"/>
                <w:bottom w:val="none" w:sz="0" w:space="0" w:color="auto"/>
                <w:right w:val="none" w:sz="0" w:space="0" w:color="auto"/>
              </w:divBdr>
              <w:divsChild>
                <w:div w:id="1680888995">
                  <w:marLeft w:val="0"/>
                  <w:marRight w:val="0"/>
                  <w:marTop w:val="0"/>
                  <w:marBottom w:val="0"/>
                  <w:divBdr>
                    <w:top w:val="none" w:sz="0" w:space="0" w:color="auto"/>
                    <w:left w:val="none" w:sz="0" w:space="0" w:color="auto"/>
                    <w:bottom w:val="none" w:sz="0" w:space="0" w:color="auto"/>
                    <w:right w:val="none" w:sz="0" w:space="0" w:color="auto"/>
                  </w:divBdr>
                  <w:divsChild>
                    <w:div w:id="104683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773409">
          <w:marLeft w:val="0"/>
          <w:marRight w:val="0"/>
          <w:marTop w:val="0"/>
          <w:marBottom w:val="0"/>
          <w:divBdr>
            <w:top w:val="none" w:sz="0" w:space="0" w:color="auto"/>
            <w:left w:val="none" w:sz="0" w:space="0" w:color="auto"/>
            <w:bottom w:val="none" w:sz="0" w:space="0" w:color="auto"/>
            <w:right w:val="none" w:sz="0" w:space="0" w:color="auto"/>
          </w:divBdr>
          <w:divsChild>
            <w:div w:id="1496147788">
              <w:marLeft w:val="0"/>
              <w:marRight w:val="0"/>
              <w:marTop w:val="0"/>
              <w:marBottom w:val="0"/>
              <w:divBdr>
                <w:top w:val="none" w:sz="0" w:space="0" w:color="auto"/>
                <w:left w:val="none" w:sz="0" w:space="0" w:color="auto"/>
                <w:bottom w:val="none" w:sz="0" w:space="0" w:color="auto"/>
                <w:right w:val="none" w:sz="0" w:space="0" w:color="auto"/>
              </w:divBdr>
              <w:divsChild>
                <w:div w:id="1789467872">
                  <w:marLeft w:val="0"/>
                  <w:marRight w:val="0"/>
                  <w:marTop w:val="0"/>
                  <w:marBottom w:val="0"/>
                  <w:divBdr>
                    <w:top w:val="none" w:sz="0" w:space="0" w:color="auto"/>
                    <w:left w:val="none" w:sz="0" w:space="0" w:color="auto"/>
                    <w:bottom w:val="none" w:sz="0" w:space="0" w:color="auto"/>
                    <w:right w:val="none" w:sz="0" w:space="0" w:color="auto"/>
                  </w:divBdr>
                  <w:divsChild>
                    <w:div w:id="202775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jiale.lou@noaa.gov"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4.jp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721</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Jiale Lou</cp:lastModifiedBy>
  <cp:revision>3</cp:revision>
  <dcterms:created xsi:type="dcterms:W3CDTF">2023-02-02T22:04:00Z</dcterms:created>
  <dcterms:modified xsi:type="dcterms:W3CDTF">2023-02-02T22:08:00Z</dcterms:modified>
</cp:coreProperties>
</file>