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240" w:after="120" w:line="228" w:lineRule="auto"/>
        <w:ind w:left="0" w:leftChars="0" w:firstLine="0" w:firstLineChars="0"/>
        <w:jc w:val="both"/>
        <w:rPr>
          <w:rFonts w:hint="default" w:ascii="Times New Roman" w:hAnsi="Times New Roman" w:eastAsia="Times New Roman" w:cs="Times New Roman"/>
          <w:b/>
          <w:color w:val="000000"/>
          <w:sz w:val="18"/>
          <w:szCs w:val="22"/>
          <w:lang w:val="en-US" w:eastAsia="zh-CN" w:bidi="en-US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18"/>
          <w:szCs w:val="22"/>
          <w:lang w:val="en-US" w:eastAsia="zh-CN" w:bidi="en-US"/>
        </w:rPr>
        <w:t xml:space="preserve">Table 2. </w:t>
      </w:r>
      <w:r>
        <w:rPr>
          <w:rFonts w:hint="default" w:ascii="Times New Roman" w:hAnsi="Times New Roman" w:eastAsia="Times New Roman" w:cs="Times New Roman"/>
          <w:color w:val="000000"/>
          <w:sz w:val="18"/>
          <w:szCs w:val="22"/>
          <w:lang w:val="en-US" w:eastAsia="zh-CN" w:bidi="en-US"/>
        </w:rPr>
        <w:t>The quality assessment of the 17 studies using the CHEERS 2022 checklist..</w:t>
      </w:r>
    </w:p>
    <w:tbl>
      <w:tblPr>
        <w:tblStyle w:val="4"/>
        <w:tblW w:w="1586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4" w:hRule="atLeast"/>
          <w:jc w:val="center"/>
        </w:trPr>
        <w:tc>
          <w:tcPr>
            <w:tcW w:w="223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atLeas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87" w:type="dxa"/>
            <w:tcBorders>
              <w:bottom w:val="single" w:color="auto" w:sz="4" w:space="0"/>
            </w:tcBorders>
            <w:noWrap w:val="0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113" w:leftChars="0" w:right="113" w:rightChars="0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  <w:t>Title</w:t>
            </w:r>
          </w:p>
        </w:tc>
        <w:tc>
          <w:tcPr>
            <w:tcW w:w="487" w:type="dxa"/>
            <w:tcBorders>
              <w:bottom w:val="single" w:color="auto" w:sz="4" w:space="0"/>
            </w:tcBorders>
            <w:noWrap w:val="0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113" w:leftChars="0" w:right="113" w:rightChars="0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  <w:t>Abstract</w:t>
            </w:r>
          </w:p>
        </w:tc>
        <w:tc>
          <w:tcPr>
            <w:tcW w:w="487" w:type="dxa"/>
            <w:tcBorders>
              <w:bottom w:val="single" w:color="auto" w:sz="4" w:space="0"/>
            </w:tcBorders>
            <w:noWrap w:val="0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113" w:leftChars="0" w:right="113" w:rightChars="0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  <w:t>Background and objectives</w:t>
            </w:r>
          </w:p>
        </w:tc>
        <w:tc>
          <w:tcPr>
            <w:tcW w:w="487" w:type="dxa"/>
            <w:tcBorders>
              <w:bottom w:val="single" w:color="auto" w:sz="4" w:space="0"/>
            </w:tcBorders>
            <w:noWrap w:val="0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113" w:leftChars="0" w:right="113" w:rightChars="0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  <w:t>Health economic analysis plan</w:t>
            </w:r>
          </w:p>
        </w:tc>
        <w:tc>
          <w:tcPr>
            <w:tcW w:w="487" w:type="dxa"/>
            <w:tcBorders>
              <w:bottom w:val="single" w:color="auto" w:sz="4" w:space="0"/>
            </w:tcBorders>
            <w:noWrap w:val="0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113" w:leftChars="0" w:right="113" w:rightChars="0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  <w:t>Study population</w:t>
            </w:r>
          </w:p>
        </w:tc>
        <w:tc>
          <w:tcPr>
            <w:tcW w:w="487" w:type="dxa"/>
            <w:tcBorders>
              <w:bottom w:val="single" w:color="auto" w:sz="4" w:space="0"/>
            </w:tcBorders>
            <w:noWrap w:val="0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113" w:leftChars="0" w:right="113" w:rightChars="0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  <w:t>Setting and location</w:t>
            </w:r>
          </w:p>
        </w:tc>
        <w:tc>
          <w:tcPr>
            <w:tcW w:w="487" w:type="dxa"/>
            <w:tcBorders>
              <w:bottom w:val="single" w:color="auto" w:sz="4" w:space="0"/>
            </w:tcBorders>
            <w:noWrap w:val="0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113" w:leftChars="0" w:right="113" w:rightChars="0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  <w:t>Comparators</w:t>
            </w:r>
          </w:p>
        </w:tc>
        <w:tc>
          <w:tcPr>
            <w:tcW w:w="487" w:type="dxa"/>
            <w:tcBorders>
              <w:bottom w:val="single" w:color="auto" w:sz="4" w:space="0"/>
            </w:tcBorders>
            <w:noWrap w:val="0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113" w:leftChars="0" w:right="113" w:rightChars="0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  <w:t>Perspective</w:t>
            </w:r>
          </w:p>
        </w:tc>
        <w:tc>
          <w:tcPr>
            <w:tcW w:w="487" w:type="dxa"/>
            <w:tcBorders>
              <w:bottom w:val="single" w:color="auto" w:sz="4" w:space="0"/>
            </w:tcBorders>
            <w:noWrap w:val="0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113" w:leftChars="0" w:right="113" w:rightChars="0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  <w:t>Time horizon</w:t>
            </w:r>
          </w:p>
        </w:tc>
        <w:tc>
          <w:tcPr>
            <w:tcW w:w="487" w:type="dxa"/>
            <w:tcBorders>
              <w:bottom w:val="single" w:color="auto" w:sz="4" w:space="0"/>
            </w:tcBorders>
            <w:noWrap w:val="0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113" w:leftChars="0" w:right="113" w:rightChars="0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  <w:t>Discount rate</w:t>
            </w:r>
          </w:p>
        </w:tc>
        <w:tc>
          <w:tcPr>
            <w:tcW w:w="487" w:type="dxa"/>
            <w:tcBorders>
              <w:bottom w:val="single" w:color="auto" w:sz="4" w:space="0"/>
            </w:tcBorders>
            <w:noWrap w:val="0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113" w:leftChars="0" w:right="113" w:rightChars="0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  <w:t>Selection of outcomes</w:t>
            </w:r>
          </w:p>
        </w:tc>
        <w:tc>
          <w:tcPr>
            <w:tcW w:w="487" w:type="dxa"/>
            <w:tcBorders>
              <w:bottom w:val="single" w:color="auto" w:sz="4" w:space="0"/>
            </w:tcBorders>
            <w:noWrap w:val="0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113" w:leftChars="0" w:right="113" w:rightChars="0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  <w:t>Measurement of outcomes</w:t>
            </w:r>
          </w:p>
        </w:tc>
        <w:tc>
          <w:tcPr>
            <w:tcW w:w="487" w:type="dxa"/>
            <w:tcBorders>
              <w:bottom w:val="single" w:color="auto" w:sz="4" w:space="0"/>
            </w:tcBorders>
            <w:noWrap w:val="0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113" w:leftChars="0" w:right="113" w:rightChars="0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  <w:t>Valuation of outcomes</w:t>
            </w:r>
          </w:p>
        </w:tc>
        <w:tc>
          <w:tcPr>
            <w:tcW w:w="487" w:type="dxa"/>
            <w:tcBorders>
              <w:bottom w:val="single" w:color="auto" w:sz="4" w:space="0"/>
            </w:tcBorders>
            <w:noWrap w:val="0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3" w:leftChars="0" w:right="113" w:rightChars="0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  <w:t>Measurement and valuation of resources and costs</w:t>
            </w:r>
          </w:p>
        </w:tc>
        <w:tc>
          <w:tcPr>
            <w:tcW w:w="487" w:type="dxa"/>
            <w:tcBorders>
              <w:bottom w:val="single" w:color="auto" w:sz="4" w:space="0"/>
            </w:tcBorders>
            <w:noWrap w:val="0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113" w:leftChars="0" w:right="113" w:rightChars="0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  <w:t>Currency, price date, and conversion</w:t>
            </w:r>
          </w:p>
        </w:tc>
        <w:tc>
          <w:tcPr>
            <w:tcW w:w="487" w:type="dxa"/>
            <w:tcBorders>
              <w:bottom w:val="single" w:color="auto" w:sz="4" w:space="0"/>
            </w:tcBorders>
            <w:noWrap w:val="0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113" w:leftChars="0" w:right="113" w:rightChars="0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  <w:t>Rationale and description of model</w:t>
            </w:r>
          </w:p>
        </w:tc>
        <w:tc>
          <w:tcPr>
            <w:tcW w:w="487" w:type="dxa"/>
            <w:tcBorders>
              <w:bottom w:val="single" w:color="auto" w:sz="4" w:space="0"/>
            </w:tcBorders>
            <w:noWrap w:val="0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113" w:leftChars="0" w:right="113" w:rightChars="0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  <w:t>Analytics and assumptions</w:t>
            </w:r>
          </w:p>
        </w:tc>
        <w:tc>
          <w:tcPr>
            <w:tcW w:w="487" w:type="dxa"/>
            <w:tcBorders>
              <w:bottom w:val="single" w:color="auto" w:sz="4" w:space="0"/>
            </w:tcBorders>
            <w:noWrap w:val="0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113" w:leftChars="0" w:right="113" w:rightChars="0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  <w:t>Characterising heterogeneity</w:t>
            </w:r>
          </w:p>
        </w:tc>
        <w:tc>
          <w:tcPr>
            <w:tcW w:w="487" w:type="dxa"/>
            <w:tcBorders>
              <w:bottom w:val="single" w:color="auto" w:sz="4" w:space="0"/>
            </w:tcBorders>
            <w:noWrap w:val="0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113" w:leftChars="0" w:right="113" w:rightChars="0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  <w:t>Characterising distributional effects</w:t>
            </w:r>
          </w:p>
        </w:tc>
        <w:tc>
          <w:tcPr>
            <w:tcW w:w="487" w:type="dxa"/>
            <w:tcBorders>
              <w:bottom w:val="single" w:color="auto" w:sz="4" w:space="0"/>
            </w:tcBorders>
            <w:noWrap w:val="0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113" w:leftChars="0" w:right="113" w:rightChars="0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  <w:t xml:space="preserve">Characterising uncertainty </w:t>
            </w:r>
          </w:p>
        </w:tc>
        <w:tc>
          <w:tcPr>
            <w:tcW w:w="487" w:type="dxa"/>
            <w:tcBorders>
              <w:bottom w:val="single" w:color="auto" w:sz="4" w:space="0"/>
            </w:tcBorders>
            <w:noWrap w:val="0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113" w:leftChars="0" w:right="113" w:rightChars="0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  <w:t>Approach to engagement with patients and others affected by the study</w:t>
            </w:r>
          </w:p>
        </w:tc>
        <w:tc>
          <w:tcPr>
            <w:tcW w:w="487" w:type="dxa"/>
            <w:tcBorders>
              <w:bottom w:val="single" w:color="auto" w:sz="4" w:space="0"/>
            </w:tcBorders>
            <w:noWrap w:val="0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113" w:leftChars="0" w:right="113" w:rightChars="0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  <w:t>Study parameters</w:t>
            </w:r>
          </w:p>
        </w:tc>
        <w:tc>
          <w:tcPr>
            <w:tcW w:w="487" w:type="dxa"/>
            <w:tcBorders>
              <w:bottom w:val="single" w:color="auto" w:sz="4" w:space="0"/>
            </w:tcBorders>
            <w:noWrap w:val="0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113" w:leftChars="0" w:right="113" w:rightChars="0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  <w:t>Summary of main results</w:t>
            </w:r>
          </w:p>
        </w:tc>
        <w:tc>
          <w:tcPr>
            <w:tcW w:w="487" w:type="dxa"/>
            <w:tcBorders>
              <w:bottom w:val="single" w:color="auto" w:sz="4" w:space="0"/>
            </w:tcBorders>
            <w:noWrap w:val="0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113" w:leftChars="0" w:right="113" w:rightChars="0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  <w:t>Effect of uncertainty</w:t>
            </w:r>
          </w:p>
        </w:tc>
        <w:tc>
          <w:tcPr>
            <w:tcW w:w="487" w:type="dxa"/>
            <w:tcBorders>
              <w:bottom w:val="single" w:color="auto" w:sz="4" w:space="0"/>
            </w:tcBorders>
            <w:noWrap w:val="0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113" w:leftChars="0" w:right="113" w:rightChars="0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  <w:t>Effect of engagement with patients and others affected by the study</w:t>
            </w:r>
          </w:p>
        </w:tc>
        <w:tc>
          <w:tcPr>
            <w:tcW w:w="487" w:type="dxa"/>
            <w:tcBorders>
              <w:bottom w:val="single" w:color="auto" w:sz="4" w:space="0"/>
            </w:tcBorders>
            <w:noWrap w:val="0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113" w:leftChars="0" w:right="113" w:rightChars="0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  <w:t>Study findings, limitations, generalisability, and current knowledge</w:t>
            </w:r>
          </w:p>
        </w:tc>
        <w:tc>
          <w:tcPr>
            <w:tcW w:w="487" w:type="dxa"/>
            <w:tcBorders>
              <w:bottom w:val="single" w:color="auto" w:sz="4" w:space="0"/>
            </w:tcBorders>
            <w:noWrap w:val="0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113" w:leftChars="0" w:right="113" w:rightChars="0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  <w:t>Source of funding</w:t>
            </w:r>
          </w:p>
        </w:tc>
        <w:tc>
          <w:tcPr>
            <w:tcW w:w="487" w:type="dxa"/>
            <w:tcBorders>
              <w:bottom w:val="single" w:color="auto" w:sz="4" w:space="0"/>
            </w:tcBorders>
            <w:noWrap w:val="0"/>
            <w:textDirection w:val="btLr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113" w:leftChars="0" w:right="113" w:rightChars="0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napToGrid/>
                <w:color w:val="000000"/>
                <w:kern w:val="0"/>
                <w:sz w:val="18"/>
                <w:szCs w:val="18"/>
                <w:lang w:val="en-US" w:eastAsia="zh-CN" w:bidi="en-US"/>
              </w:rPr>
              <w:t>Conflicts of interest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22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  <w:t>Vickerman 2006[25]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  <w:t>Blandfod 2007[26]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EAAAA" w:themeFill="background2" w:themeFillShade="BF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NA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  <w:t>Schackman2007[27]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center" w:pos="1018"/>
                <w:tab w:val="right" w:pos="1918"/>
              </w:tabs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  <w:t>Rydzak 2008[28]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  <w:t>Owusu-Edusei 2011[29]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  <w:t>Kuznik 2013[30]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  <w:t>Kahn 2014[31]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  <w:t>Larson 2014[22]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  <w:t>Owusu-Edusei 2014[19]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AEAAAA" w:themeFill="background2" w:themeFillShade="BF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NA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  <w:t>Albright 2015[32]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EAAAA" w:themeFill="background2" w:themeFillShade="BF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NA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  <w:t>Kuznik 2015[33]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  <w:t>Terris-Prestholt 2015[21]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  <w:t>Bristow 2016[17]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  <w:t>Hersh 2018[34]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EAAAA" w:themeFill="background2" w:themeFillShade="BF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NA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  <w:t>Huntington 2020[35]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EAAAA" w:themeFill="background2" w:themeFillShade="BF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NA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  <w:t>Romero 2020[36]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23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sz w:val="18"/>
                <w:szCs w:val="18"/>
                <w:lang w:val="en-US" w:eastAsia="zh-CN" w:bidi="en-US"/>
              </w:rPr>
              <w:t>Rodriguez 2021[18]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top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FF000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N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  <w:tc>
          <w:tcPr>
            <w:tcW w:w="487" w:type="dxa"/>
            <w:tcBorders>
              <w:top w:val="single" w:color="auto" w:sz="4" w:space="0"/>
            </w:tcBorders>
            <w:shd w:val="clear" w:color="auto" w:fill="00B050"/>
            <w:noWrap w:val="0"/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18"/>
                <w:szCs w:val="18"/>
                <w:lang w:val="en-US" w:eastAsia="zh-CN" w:bidi="en-US"/>
              </w:rPr>
              <w:t>Y</w:t>
            </w:r>
          </w:p>
        </w:tc>
      </w:tr>
    </w:tbl>
    <w:p>
      <w:r>
        <w:rPr>
          <w:rFonts w:hint="default" w:ascii="Times New Roman" w:hAnsi="Times New Roman" w:eastAsia="Times New Roman" w:cs="Times New Roman"/>
          <w:b w:val="0"/>
          <w:bCs w:val="0"/>
          <w:i/>
          <w:iCs/>
          <w:color w:val="000000"/>
          <w:sz w:val="20"/>
          <w:szCs w:val="20"/>
          <w:lang w:val="en-US" w:eastAsia="de-DE" w:bidi="en-US"/>
        </w:rPr>
        <w:t>Y</w:t>
      </w:r>
      <w:r>
        <w:rPr>
          <w:rFonts w:hint="eastAsia" w:ascii="Times New Roman" w:hAnsi="Times New Roman" w:eastAsia="宋体" w:cs="Times New Roman"/>
          <w:color w:val="000000"/>
          <w:sz w:val="20"/>
          <w:szCs w:val="20"/>
          <w:lang w:val="en-US" w:eastAsia="zh-CN" w:bidi="en-US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0"/>
          <w:szCs w:val="20"/>
          <w:lang w:val="en-US" w:eastAsia="de-DE" w:bidi="en-US"/>
        </w:rPr>
        <w:t xml:space="preserve">the paper met the quality criterion, </w:t>
      </w:r>
      <w:r>
        <w:rPr>
          <w:rFonts w:hint="default" w:ascii="Times New Roman" w:hAnsi="Times New Roman" w:eastAsia="Times New Roman" w:cs="Times New Roman"/>
          <w:i/>
          <w:iCs/>
          <w:color w:val="000000"/>
          <w:sz w:val="20"/>
          <w:szCs w:val="20"/>
          <w:lang w:val="en-US" w:eastAsia="de-DE" w:bidi="en-US"/>
        </w:rPr>
        <w:t>N</w:t>
      </w:r>
      <w:r>
        <w:rPr>
          <w:rFonts w:hint="default" w:ascii="Times New Roman" w:hAnsi="Times New Roman" w:eastAsia="宋体" w:cs="Times New Roman"/>
          <w:i/>
          <w:iCs/>
          <w:color w:val="000000"/>
          <w:sz w:val="20"/>
          <w:szCs w:val="20"/>
          <w:lang w:val="en-US" w:eastAsia="zh-CN" w:bidi="en-US"/>
        </w:rPr>
        <w:t>A</w:t>
      </w:r>
      <w:r>
        <w:rPr>
          <w:rFonts w:hint="eastAsia" w:ascii="Times New Roman" w:hAnsi="Times New Roman" w:eastAsia="宋体" w:cs="Times New Roman"/>
          <w:color w:val="000000"/>
          <w:sz w:val="20"/>
          <w:szCs w:val="20"/>
          <w:lang w:val="en-US" w:eastAsia="zh-CN" w:bidi="en-US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0"/>
          <w:szCs w:val="20"/>
          <w:lang w:val="en-US" w:eastAsia="de-DE" w:bidi="en-US"/>
        </w:rPr>
        <w:t>the item dose not apply to a particular economic evaluation</w:t>
      </w:r>
      <w:r>
        <w:rPr>
          <w:rFonts w:hint="default" w:ascii="Times New Roman" w:hAnsi="Times New Roman" w:eastAsia="宋体" w:cs="Times New Roman"/>
          <w:color w:val="000000"/>
          <w:sz w:val="20"/>
          <w:szCs w:val="20"/>
          <w:lang w:val="en-US" w:eastAsia="zh-CN" w:bidi="en-US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0"/>
          <w:szCs w:val="20"/>
          <w:lang w:val="en-US" w:eastAsia="de-DE" w:bidi="en-US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sz w:val="20"/>
          <w:szCs w:val="20"/>
          <w:lang w:val="en-US" w:eastAsia="de-DE" w:bidi="en-US"/>
        </w:rPr>
        <w:t>N</w:t>
      </w:r>
      <w:r>
        <w:rPr>
          <w:rFonts w:hint="eastAsia" w:ascii="Times New Roman" w:hAnsi="Times New Roman" w:eastAsia="宋体" w:cs="Times New Roman"/>
          <w:color w:val="000000"/>
          <w:sz w:val="20"/>
          <w:szCs w:val="20"/>
          <w:lang w:val="en-US" w:eastAsia="zh-CN" w:bidi="en-US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0"/>
          <w:szCs w:val="20"/>
          <w:lang w:val="en-US" w:eastAsia="de-DE" w:bidi="en-US"/>
        </w:rPr>
        <w:t>information is otherwise not reported.</w:t>
      </w: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yMzk4MDlhZWEzNzE3MWE0MGJhOWU3YWM3ZjdjM2EifQ=="/>
  </w:docVars>
  <w:rsids>
    <w:rsidRoot w:val="00000000"/>
    <w:rsid w:val="0FC1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qFormat/>
    <w:uiPriority w:val="59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2023-01-29T07:26:02Z</dcterms:created>
  <dc:creator>Administrator</dc:creator>
  <cp:lastModifiedBy>ZHANG MENG</cp:lastModifiedBy>
  <dcterms:modified xsi:type="dcterms:W3CDTF">2023-01-29T07:26:33Z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5BD215BFA5CD455C8489AA2FB403D495</vt:lpwstr>
  </property>
</Properties>
</file>