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5362C" w14:textId="41383595" w:rsidR="002F7865" w:rsidRDefault="002F7865" w:rsidP="002F7865">
      <w:pPr>
        <w:pStyle w:val="Titel"/>
        <w:spacing w:line="480" w:lineRule="auto"/>
        <w:jc w:val="center"/>
        <w:rPr>
          <w:rFonts w:ascii="Times New Roman" w:hAnsi="Times New Roman" w:cs="Times New Roman"/>
          <w:b/>
          <w:sz w:val="24"/>
          <w:szCs w:val="24"/>
        </w:rPr>
      </w:pPr>
      <w:r>
        <w:rPr>
          <w:rFonts w:ascii="Times New Roman" w:hAnsi="Times New Roman" w:cs="Times New Roman"/>
          <w:b/>
          <w:sz w:val="24"/>
          <w:szCs w:val="24"/>
        </w:rPr>
        <w:tab/>
      </w:r>
      <w:r w:rsidR="00E65BB3">
        <w:rPr>
          <w:rFonts w:ascii="Times New Roman" w:hAnsi="Times New Roman" w:cs="Times New Roman"/>
          <w:b/>
          <w:sz w:val="24"/>
          <w:szCs w:val="24"/>
        </w:rPr>
        <w:t>SUPPLEMENTARY</w:t>
      </w:r>
      <w:r>
        <w:rPr>
          <w:rFonts w:ascii="Times New Roman" w:hAnsi="Times New Roman" w:cs="Times New Roman"/>
          <w:b/>
          <w:sz w:val="24"/>
          <w:szCs w:val="24"/>
        </w:rPr>
        <w:t xml:space="preserve"> </w:t>
      </w:r>
      <w:r w:rsidR="00BA47FB">
        <w:rPr>
          <w:rFonts w:ascii="Times New Roman" w:hAnsi="Times New Roman" w:cs="Times New Roman"/>
          <w:b/>
          <w:sz w:val="24"/>
          <w:szCs w:val="24"/>
        </w:rPr>
        <w:t>INFORMATION</w:t>
      </w:r>
    </w:p>
    <w:p w14:paraId="5231007F" w14:textId="5371F79D" w:rsidR="002F7865" w:rsidRPr="002F7865" w:rsidRDefault="002F7865" w:rsidP="002F7865">
      <w:pPr>
        <w:pStyle w:val="Titel"/>
        <w:spacing w:line="480" w:lineRule="auto"/>
        <w:jc w:val="center"/>
        <w:rPr>
          <w:rFonts w:ascii="Times New Roman" w:hAnsi="Times New Roman" w:cs="Times New Roman"/>
          <w:b/>
          <w:sz w:val="24"/>
          <w:szCs w:val="24"/>
        </w:rPr>
      </w:pPr>
      <w:r w:rsidRPr="002F7865">
        <w:rPr>
          <w:rFonts w:ascii="Times New Roman" w:hAnsi="Times New Roman" w:cs="Times New Roman"/>
          <w:b/>
          <w:sz w:val="24"/>
          <w:szCs w:val="24"/>
        </w:rPr>
        <w:t>Metabolomics signatures of depression: the role of symptom profiles</w:t>
      </w:r>
    </w:p>
    <w:p w14:paraId="4D71DDFC" w14:textId="77777777" w:rsidR="002F7865" w:rsidRDefault="002F7865"/>
    <w:p w14:paraId="440E2D9A" w14:textId="77777777" w:rsidR="002F7865" w:rsidRDefault="002F7865"/>
    <w:sdt>
      <w:sdtPr>
        <w:rPr>
          <w:rFonts w:ascii="Times New Roman" w:eastAsia="Times New Roman" w:hAnsi="Times New Roman" w:cs="Times New Roman"/>
          <w:b w:val="0"/>
          <w:bCs w:val="0"/>
          <w:color w:val="auto"/>
          <w:sz w:val="24"/>
          <w:szCs w:val="24"/>
        </w:rPr>
        <w:id w:val="-2113580196"/>
        <w:docPartObj>
          <w:docPartGallery w:val="Table of Contents"/>
          <w:docPartUnique/>
        </w:docPartObj>
      </w:sdtPr>
      <w:sdtEndPr>
        <w:rPr>
          <w:noProof/>
        </w:rPr>
      </w:sdtEndPr>
      <w:sdtContent>
        <w:p w14:paraId="62685F53" w14:textId="2E2448A0" w:rsidR="002F7865" w:rsidRDefault="002F7865">
          <w:pPr>
            <w:pStyle w:val="Kopvaninhoudsopgave"/>
          </w:pPr>
          <w:r>
            <w:t>Table of Contents</w:t>
          </w:r>
        </w:p>
        <w:p w14:paraId="33F8DF1F" w14:textId="1D9E357B" w:rsidR="00E65BB3" w:rsidRDefault="002F7865">
          <w:pPr>
            <w:pStyle w:val="Inhopg1"/>
            <w:tabs>
              <w:tab w:val="right" w:leader="dot" w:pos="9010"/>
            </w:tabs>
            <w:rPr>
              <w:rFonts w:eastAsiaTheme="minorEastAsia" w:cstheme="minorBidi"/>
              <w:b w:val="0"/>
              <w:bCs w:val="0"/>
              <w:i w:val="0"/>
              <w:iCs w:val="0"/>
              <w:noProof/>
              <w:lang w:val="nl-NL" w:eastAsia="nl-NL"/>
            </w:rPr>
          </w:pPr>
          <w:r>
            <w:rPr>
              <w:b w:val="0"/>
              <w:bCs w:val="0"/>
            </w:rPr>
            <w:fldChar w:fldCharType="begin"/>
          </w:r>
          <w:r>
            <w:instrText xml:space="preserve"> TOC \o "1-3" \h \z \u </w:instrText>
          </w:r>
          <w:r>
            <w:rPr>
              <w:b w:val="0"/>
              <w:bCs w:val="0"/>
            </w:rPr>
            <w:fldChar w:fldCharType="separate"/>
          </w:r>
          <w:hyperlink w:anchor="_Toc126263635" w:history="1">
            <w:r w:rsidR="00E65BB3" w:rsidRPr="00620E9F">
              <w:rPr>
                <w:rStyle w:val="Hyperlink"/>
                <w:rFonts w:ascii="Times New Roman" w:hAnsi="Times New Roman"/>
                <w:noProof/>
              </w:rPr>
              <w:t>Supplementary methods</w:t>
            </w:r>
            <w:r w:rsidR="00E65BB3">
              <w:rPr>
                <w:noProof/>
                <w:webHidden/>
              </w:rPr>
              <w:tab/>
            </w:r>
            <w:r w:rsidR="00E65BB3">
              <w:rPr>
                <w:noProof/>
                <w:webHidden/>
              </w:rPr>
              <w:fldChar w:fldCharType="begin"/>
            </w:r>
            <w:r w:rsidR="00E65BB3">
              <w:rPr>
                <w:noProof/>
                <w:webHidden/>
              </w:rPr>
              <w:instrText xml:space="preserve"> PAGEREF _Toc126263635 \h </w:instrText>
            </w:r>
            <w:r w:rsidR="00E65BB3">
              <w:rPr>
                <w:noProof/>
                <w:webHidden/>
              </w:rPr>
            </w:r>
            <w:r w:rsidR="00E65BB3">
              <w:rPr>
                <w:noProof/>
                <w:webHidden/>
              </w:rPr>
              <w:fldChar w:fldCharType="separate"/>
            </w:r>
            <w:r w:rsidR="00E65BB3">
              <w:rPr>
                <w:noProof/>
                <w:webHidden/>
              </w:rPr>
              <w:t>2</w:t>
            </w:r>
            <w:r w:rsidR="00E65BB3">
              <w:rPr>
                <w:noProof/>
                <w:webHidden/>
              </w:rPr>
              <w:fldChar w:fldCharType="end"/>
            </w:r>
          </w:hyperlink>
        </w:p>
        <w:p w14:paraId="6D947B81" w14:textId="7C808257" w:rsidR="00E65BB3" w:rsidRDefault="00BA47FB">
          <w:pPr>
            <w:pStyle w:val="Inhopg2"/>
            <w:tabs>
              <w:tab w:val="right" w:leader="dot" w:pos="9010"/>
            </w:tabs>
            <w:rPr>
              <w:rFonts w:eastAsiaTheme="minorEastAsia" w:cstheme="minorBidi"/>
              <w:b w:val="0"/>
              <w:bCs w:val="0"/>
              <w:noProof/>
              <w:sz w:val="24"/>
              <w:szCs w:val="24"/>
              <w:lang w:val="nl-NL" w:eastAsia="nl-NL"/>
            </w:rPr>
          </w:pPr>
          <w:hyperlink w:anchor="_Toc126263636" w:history="1">
            <w:r w:rsidR="00E65BB3" w:rsidRPr="00620E9F">
              <w:rPr>
                <w:rStyle w:val="Hyperlink"/>
                <w:rFonts w:ascii="Times New Roman" w:hAnsi="Times New Roman"/>
                <w:noProof/>
              </w:rPr>
              <w:t>Construction of ‘other-IDS symptoms severity’</w:t>
            </w:r>
            <w:r w:rsidR="00E65BB3">
              <w:rPr>
                <w:noProof/>
                <w:webHidden/>
              </w:rPr>
              <w:tab/>
            </w:r>
            <w:r w:rsidR="00E65BB3">
              <w:rPr>
                <w:noProof/>
                <w:webHidden/>
              </w:rPr>
              <w:fldChar w:fldCharType="begin"/>
            </w:r>
            <w:r w:rsidR="00E65BB3">
              <w:rPr>
                <w:noProof/>
                <w:webHidden/>
              </w:rPr>
              <w:instrText xml:space="preserve"> PAGEREF _Toc126263636 \h </w:instrText>
            </w:r>
            <w:r w:rsidR="00E65BB3">
              <w:rPr>
                <w:noProof/>
                <w:webHidden/>
              </w:rPr>
            </w:r>
            <w:r w:rsidR="00E65BB3">
              <w:rPr>
                <w:noProof/>
                <w:webHidden/>
              </w:rPr>
              <w:fldChar w:fldCharType="separate"/>
            </w:r>
            <w:r w:rsidR="00E65BB3">
              <w:rPr>
                <w:noProof/>
                <w:webHidden/>
              </w:rPr>
              <w:t>2</w:t>
            </w:r>
            <w:r w:rsidR="00E65BB3">
              <w:rPr>
                <w:noProof/>
                <w:webHidden/>
              </w:rPr>
              <w:fldChar w:fldCharType="end"/>
            </w:r>
          </w:hyperlink>
        </w:p>
        <w:p w14:paraId="7452FC7F" w14:textId="05F1485F" w:rsidR="00E65BB3" w:rsidRDefault="00BA47FB">
          <w:pPr>
            <w:pStyle w:val="Inhopg2"/>
            <w:tabs>
              <w:tab w:val="right" w:leader="dot" w:pos="9010"/>
            </w:tabs>
            <w:rPr>
              <w:rFonts w:eastAsiaTheme="minorEastAsia" w:cstheme="minorBidi"/>
              <w:b w:val="0"/>
              <w:bCs w:val="0"/>
              <w:noProof/>
              <w:sz w:val="24"/>
              <w:szCs w:val="24"/>
              <w:lang w:val="nl-NL" w:eastAsia="nl-NL"/>
            </w:rPr>
          </w:pPr>
          <w:hyperlink w:anchor="_Toc126263637" w:history="1">
            <w:r w:rsidR="00E65BB3" w:rsidRPr="00620E9F">
              <w:rPr>
                <w:rStyle w:val="Hyperlink"/>
                <w:rFonts w:ascii="Times New Roman" w:hAnsi="Times New Roman"/>
                <w:noProof/>
              </w:rPr>
              <w:t>Construction of ‘potential non-AES profiles’ and comparisons of statistical significance of their association with metabolites</w:t>
            </w:r>
            <w:r w:rsidR="00E65BB3">
              <w:rPr>
                <w:noProof/>
                <w:webHidden/>
              </w:rPr>
              <w:tab/>
            </w:r>
            <w:r w:rsidR="00E65BB3">
              <w:rPr>
                <w:noProof/>
                <w:webHidden/>
              </w:rPr>
              <w:fldChar w:fldCharType="begin"/>
            </w:r>
            <w:r w:rsidR="00E65BB3">
              <w:rPr>
                <w:noProof/>
                <w:webHidden/>
              </w:rPr>
              <w:instrText xml:space="preserve"> PAGEREF _Toc126263637 \h </w:instrText>
            </w:r>
            <w:r w:rsidR="00E65BB3">
              <w:rPr>
                <w:noProof/>
                <w:webHidden/>
              </w:rPr>
            </w:r>
            <w:r w:rsidR="00E65BB3">
              <w:rPr>
                <w:noProof/>
                <w:webHidden/>
              </w:rPr>
              <w:fldChar w:fldCharType="separate"/>
            </w:r>
            <w:r w:rsidR="00E65BB3">
              <w:rPr>
                <w:noProof/>
                <w:webHidden/>
              </w:rPr>
              <w:t>2</w:t>
            </w:r>
            <w:r w:rsidR="00E65BB3">
              <w:rPr>
                <w:noProof/>
                <w:webHidden/>
              </w:rPr>
              <w:fldChar w:fldCharType="end"/>
            </w:r>
          </w:hyperlink>
        </w:p>
        <w:p w14:paraId="2EAD7F10" w14:textId="390B871D" w:rsidR="00E65BB3" w:rsidRDefault="00BA47FB">
          <w:pPr>
            <w:pStyle w:val="Inhopg1"/>
            <w:tabs>
              <w:tab w:val="right" w:leader="dot" w:pos="9010"/>
            </w:tabs>
            <w:rPr>
              <w:rFonts w:eastAsiaTheme="minorEastAsia" w:cstheme="minorBidi"/>
              <w:b w:val="0"/>
              <w:bCs w:val="0"/>
              <w:i w:val="0"/>
              <w:iCs w:val="0"/>
              <w:noProof/>
              <w:lang w:val="nl-NL" w:eastAsia="nl-NL"/>
            </w:rPr>
          </w:pPr>
          <w:hyperlink w:anchor="_Toc126263638" w:history="1">
            <w:r w:rsidR="00E65BB3" w:rsidRPr="00620E9F">
              <w:rPr>
                <w:rStyle w:val="Hyperlink"/>
                <w:rFonts w:ascii="Times New Roman" w:hAnsi="Times New Roman"/>
                <w:noProof/>
              </w:rPr>
              <w:t>Supplementary Figures</w:t>
            </w:r>
            <w:r w:rsidR="00E65BB3">
              <w:rPr>
                <w:noProof/>
                <w:webHidden/>
              </w:rPr>
              <w:tab/>
            </w:r>
            <w:r w:rsidR="00E65BB3">
              <w:rPr>
                <w:noProof/>
                <w:webHidden/>
              </w:rPr>
              <w:fldChar w:fldCharType="begin"/>
            </w:r>
            <w:r w:rsidR="00E65BB3">
              <w:rPr>
                <w:noProof/>
                <w:webHidden/>
              </w:rPr>
              <w:instrText xml:space="preserve"> PAGEREF _Toc126263638 \h </w:instrText>
            </w:r>
            <w:r w:rsidR="00E65BB3">
              <w:rPr>
                <w:noProof/>
                <w:webHidden/>
              </w:rPr>
            </w:r>
            <w:r w:rsidR="00E65BB3">
              <w:rPr>
                <w:noProof/>
                <w:webHidden/>
              </w:rPr>
              <w:fldChar w:fldCharType="separate"/>
            </w:r>
            <w:r w:rsidR="00E65BB3">
              <w:rPr>
                <w:noProof/>
                <w:webHidden/>
              </w:rPr>
              <w:t>3</w:t>
            </w:r>
            <w:r w:rsidR="00E65BB3">
              <w:rPr>
                <w:noProof/>
                <w:webHidden/>
              </w:rPr>
              <w:fldChar w:fldCharType="end"/>
            </w:r>
          </w:hyperlink>
        </w:p>
        <w:p w14:paraId="50F04414" w14:textId="0CBBC1FA" w:rsidR="00E65BB3" w:rsidRDefault="00BA47FB">
          <w:pPr>
            <w:pStyle w:val="Inhopg2"/>
            <w:tabs>
              <w:tab w:val="right" w:leader="dot" w:pos="9010"/>
            </w:tabs>
            <w:rPr>
              <w:rFonts w:eastAsiaTheme="minorEastAsia" w:cstheme="minorBidi"/>
              <w:b w:val="0"/>
              <w:bCs w:val="0"/>
              <w:noProof/>
              <w:sz w:val="24"/>
              <w:szCs w:val="24"/>
              <w:lang w:val="nl-NL" w:eastAsia="nl-NL"/>
            </w:rPr>
          </w:pPr>
          <w:hyperlink w:anchor="_Toc126263639" w:history="1">
            <w:r w:rsidR="00E65BB3" w:rsidRPr="00620E9F">
              <w:rPr>
                <w:rStyle w:val="Hyperlink"/>
                <w:rFonts w:ascii="Times New Roman" w:hAnsi="Times New Roman"/>
                <w:noProof/>
              </w:rPr>
              <w:t>Supplementary Figure 1. Correlation between 31 metabolite-symptom association estimates at baseline and 6-year follow-up</w:t>
            </w:r>
            <w:r w:rsidR="00E65BB3">
              <w:rPr>
                <w:noProof/>
                <w:webHidden/>
              </w:rPr>
              <w:tab/>
            </w:r>
            <w:r w:rsidR="00E65BB3">
              <w:rPr>
                <w:noProof/>
                <w:webHidden/>
              </w:rPr>
              <w:fldChar w:fldCharType="begin"/>
            </w:r>
            <w:r w:rsidR="00E65BB3">
              <w:rPr>
                <w:noProof/>
                <w:webHidden/>
              </w:rPr>
              <w:instrText xml:space="preserve"> PAGEREF _Toc126263639 \h </w:instrText>
            </w:r>
            <w:r w:rsidR="00E65BB3">
              <w:rPr>
                <w:noProof/>
                <w:webHidden/>
              </w:rPr>
            </w:r>
            <w:r w:rsidR="00E65BB3">
              <w:rPr>
                <w:noProof/>
                <w:webHidden/>
              </w:rPr>
              <w:fldChar w:fldCharType="separate"/>
            </w:r>
            <w:r w:rsidR="00E65BB3">
              <w:rPr>
                <w:noProof/>
                <w:webHidden/>
              </w:rPr>
              <w:t>3</w:t>
            </w:r>
            <w:r w:rsidR="00E65BB3">
              <w:rPr>
                <w:noProof/>
                <w:webHidden/>
              </w:rPr>
              <w:fldChar w:fldCharType="end"/>
            </w:r>
          </w:hyperlink>
        </w:p>
        <w:p w14:paraId="2C70A71B" w14:textId="0AB1A6D2" w:rsidR="00E65BB3" w:rsidRDefault="00BA47FB">
          <w:pPr>
            <w:pStyle w:val="Inhopg2"/>
            <w:tabs>
              <w:tab w:val="right" w:leader="dot" w:pos="9010"/>
            </w:tabs>
            <w:rPr>
              <w:rFonts w:eastAsiaTheme="minorEastAsia" w:cstheme="minorBidi"/>
              <w:b w:val="0"/>
              <w:bCs w:val="0"/>
              <w:noProof/>
              <w:sz w:val="24"/>
              <w:szCs w:val="24"/>
              <w:lang w:val="nl-NL" w:eastAsia="nl-NL"/>
            </w:rPr>
          </w:pPr>
          <w:hyperlink w:anchor="_Toc126263640" w:history="1">
            <w:r w:rsidR="00E65BB3" w:rsidRPr="00620E9F">
              <w:rPr>
                <w:rStyle w:val="Hyperlink"/>
                <w:rFonts w:ascii="Times New Roman" w:hAnsi="Times New Roman"/>
                <w:noProof/>
              </w:rPr>
              <w:t>Supplementary Figure 2. Correlations between levels of the 31 metabolites associated with atypical, energy-related symptom profile</w:t>
            </w:r>
            <w:r w:rsidR="00E65BB3">
              <w:rPr>
                <w:noProof/>
                <w:webHidden/>
              </w:rPr>
              <w:tab/>
            </w:r>
            <w:r w:rsidR="00E65BB3">
              <w:rPr>
                <w:noProof/>
                <w:webHidden/>
              </w:rPr>
              <w:fldChar w:fldCharType="begin"/>
            </w:r>
            <w:r w:rsidR="00E65BB3">
              <w:rPr>
                <w:noProof/>
                <w:webHidden/>
              </w:rPr>
              <w:instrText xml:space="preserve"> PAGEREF _Toc126263640 \h </w:instrText>
            </w:r>
            <w:r w:rsidR="00E65BB3">
              <w:rPr>
                <w:noProof/>
                <w:webHidden/>
              </w:rPr>
            </w:r>
            <w:r w:rsidR="00E65BB3">
              <w:rPr>
                <w:noProof/>
                <w:webHidden/>
              </w:rPr>
              <w:fldChar w:fldCharType="separate"/>
            </w:r>
            <w:r w:rsidR="00E65BB3">
              <w:rPr>
                <w:noProof/>
                <w:webHidden/>
              </w:rPr>
              <w:t>4</w:t>
            </w:r>
            <w:r w:rsidR="00E65BB3">
              <w:rPr>
                <w:noProof/>
                <w:webHidden/>
              </w:rPr>
              <w:fldChar w:fldCharType="end"/>
            </w:r>
          </w:hyperlink>
        </w:p>
        <w:p w14:paraId="591DD070" w14:textId="78C7899A" w:rsidR="002F7865" w:rsidRDefault="002F7865">
          <w:r>
            <w:rPr>
              <w:b/>
              <w:bCs/>
              <w:noProof/>
            </w:rPr>
            <w:fldChar w:fldCharType="end"/>
          </w:r>
        </w:p>
      </w:sdtContent>
    </w:sdt>
    <w:p w14:paraId="391B016F" w14:textId="245DF85F" w:rsidR="002F7865" w:rsidRDefault="002F7865">
      <w:pPr>
        <w:sectPr w:rsidR="002F7865" w:rsidSect="00CF21BE">
          <w:pgSz w:w="11900" w:h="16840"/>
          <w:pgMar w:top="1440" w:right="1440" w:bottom="1440" w:left="1440" w:header="708" w:footer="708" w:gutter="0"/>
          <w:cols w:space="708"/>
          <w:docGrid w:linePitch="360"/>
        </w:sectPr>
      </w:pPr>
    </w:p>
    <w:p w14:paraId="7C1D275F" w14:textId="657E904E" w:rsidR="002E3F21" w:rsidRPr="00702059" w:rsidRDefault="00E65BB3" w:rsidP="00CB31EC">
      <w:pPr>
        <w:pStyle w:val="Kop1"/>
        <w:spacing w:line="360" w:lineRule="auto"/>
        <w:rPr>
          <w:rFonts w:ascii="Times New Roman" w:hAnsi="Times New Roman" w:cs="Times New Roman"/>
          <w:b/>
          <w:i/>
          <w:color w:val="000000" w:themeColor="text1"/>
          <w:sz w:val="24"/>
          <w:szCs w:val="24"/>
        </w:rPr>
      </w:pPr>
      <w:bookmarkStart w:id="0" w:name="_Toc126263635"/>
      <w:r>
        <w:rPr>
          <w:rFonts w:ascii="Times New Roman" w:hAnsi="Times New Roman" w:cs="Times New Roman"/>
          <w:b/>
          <w:i/>
          <w:color w:val="000000" w:themeColor="text1"/>
          <w:sz w:val="24"/>
          <w:szCs w:val="24"/>
        </w:rPr>
        <w:lastRenderedPageBreak/>
        <w:t>Supplementary</w:t>
      </w:r>
      <w:r w:rsidR="002F7865" w:rsidRPr="00702059">
        <w:rPr>
          <w:rFonts w:ascii="Times New Roman" w:hAnsi="Times New Roman" w:cs="Times New Roman"/>
          <w:b/>
          <w:i/>
          <w:color w:val="000000" w:themeColor="text1"/>
          <w:sz w:val="24"/>
          <w:szCs w:val="24"/>
        </w:rPr>
        <w:t xml:space="preserve"> methods</w:t>
      </w:r>
      <w:bookmarkEnd w:id="0"/>
    </w:p>
    <w:p w14:paraId="0A2454B2" w14:textId="77777777" w:rsidR="00C438AE" w:rsidRDefault="00C438AE" w:rsidP="00CB31EC">
      <w:pPr>
        <w:pStyle w:val="Kop2"/>
        <w:spacing w:line="360" w:lineRule="auto"/>
        <w:rPr>
          <w:rFonts w:ascii="Times New Roman" w:hAnsi="Times New Roman" w:cs="Times New Roman"/>
          <w:b/>
          <w:color w:val="000000" w:themeColor="text1"/>
          <w:sz w:val="24"/>
          <w:szCs w:val="24"/>
        </w:rPr>
      </w:pPr>
    </w:p>
    <w:p w14:paraId="32946BAB" w14:textId="4372FB71" w:rsidR="002F7865" w:rsidRPr="002F7865" w:rsidRDefault="002F7865" w:rsidP="00CB31EC">
      <w:pPr>
        <w:pStyle w:val="Kop2"/>
        <w:spacing w:line="360" w:lineRule="auto"/>
        <w:rPr>
          <w:rFonts w:ascii="Times New Roman" w:hAnsi="Times New Roman" w:cs="Times New Roman"/>
          <w:b/>
          <w:color w:val="000000" w:themeColor="text1"/>
          <w:sz w:val="24"/>
          <w:szCs w:val="24"/>
        </w:rPr>
      </w:pPr>
      <w:bookmarkStart w:id="1" w:name="_Toc126263636"/>
      <w:r w:rsidRPr="002F7865">
        <w:rPr>
          <w:rFonts w:ascii="Times New Roman" w:hAnsi="Times New Roman" w:cs="Times New Roman"/>
          <w:b/>
          <w:color w:val="000000" w:themeColor="text1"/>
          <w:sz w:val="24"/>
          <w:szCs w:val="24"/>
        </w:rPr>
        <w:t>Construction of ‘other-IDS symptom</w:t>
      </w:r>
      <w:r w:rsidR="00E65BB3">
        <w:rPr>
          <w:rFonts w:ascii="Times New Roman" w:hAnsi="Times New Roman" w:cs="Times New Roman"/>
          <w:b/>
          <w:color w:val="000000" w:themeColor="text1"/>
          <w:sz w:val="24"/>
          <w:szCs w:val="24"/>
        </w:rPr>
        <w:t>s</w:t>
      </w:r>
      <w:r w:rsidRPr="002F7865">
        <w:rPr>
          <w:rFonts w:ascii="Times New Roman" w:hAnsi="Times New Roman" w:cs="Times New Roman"/>
          <w:b/>
          <w:color w:val="000000" w:themeColor="text1"/>
          <w:sz w:val="24"/>
          <w:szCs w:val="24"/>
        </w:rPr>
        <w:t xml:space="preserve"> severity’</w:t>
      </w:r>
      <w:bookmarkEnd w:id="1"/>
    </w:p>
    <w:p w14:paraId="0F5C955F" w14:textId="2ED1E33E" w:rsidR="00C438AE" w:rsidRDefault="00C438AE" w:rsidP="00CB31EC">
      <w:pPr>
        <w:spacing w:line="360" w:lineRule="auto"/>
        <w:jc w:val="both"/>
      </w:pPr>
      <w:r w:rsidRPr="00C438AE">
        <w:t>In order to examine and compare specificity of findings for the AES profile, analyses were also conducted with an overall severity index of other depressive symptoms. For this purpose, a sum score of 25 individual IDS items other than the five items from the AES profile (other-IDS symptom severity) was constructed, which ranges from 0 (not severe) to 75 (severe). Prior to the summation, a missing individual item was imputed by the mean of the IDS items other than atypical, energy-related, only when the total number of missing IDS items per participant was &lt; 6. When the total number of missing items per participant was ≥ 6, no sum score was created.</w:t>
      </w:r>
    </w:p>
    <w:p w14:paraId="45078C4D" w14:textId="4D9E4A73" w:rsidR="00C438AE" w:rsidRDefault="00C438AE" w:rsidP="00CB31EC">
      <w:pPr>
        <w:spacing w:line="360" w:lineRule="auto"/>
        <w:jc w:val="both"/>
      </w:pPr>
    </w:p>
    <w:p w14:paraId="28E37775" w14:textId="1FF6ACE3" w:rsidR="00C438AE" w:rsidRDefault="00C438AE" w:rsidP="00CB31EC">
      <w:pPr>
        <w:pStyle w:val="Kop2"/>
        <w:spacing w:line="360" w:lineRule="auto"/>
        <w:rPr>
          <w:rFonts w:ascii="Times New Roman" w:hAnsi="Times New Roman" w:cs="Times New Roman"/>
          <w:b/>
          <w:color w:val="000000" w:themeColor="text1"/>
          <w:sz w:val="24"/>
          <w:szCs w:val="24"/>
        </w:rPr>
      </w:pPr>
      <w:bookmarkStart w:id="2" w:name="_Toc126263637"/>
      <w:r w:rsidRPr="00C438AE">
        <w:rPr>
          <w:rFonts w:ascii="Times New Roman" w:hAnsi="Times New Roman" w:cs="Times New Roman"/>
          <w:b/>
          <w:color w:val="000000" w:themeColor="text1"/>
          <w:sz w:val="24"/>
          <w:szCs w:val="24"/>
        </w:rPr>
        <w:t>Construction of ‘potential non-AES profiles’</w:t>
      </w:r>
      <w:r w:rsidR="00CB31EC">
        <w:rPr>
          <w:rFonts w:ascii="Times New Roman" w:hAnsi="Times New Roman" w:cs="Times New Roman"/>
          <w:b/>
          <w:color w:val="000000" w:themeColor="text1"/>
          <w:sz w:val="24"/>
          <w:szCs w:val="24"/>
        </w:rPr>
        <w:t xml:space="preserve"> and comparisons of statistical significance of their association with metabolites</w:t>
      </w:r>
      <w:bookmarkEnd w:id="2"/>
    </w:p>
    <w:p w14:paraId="1B39D304" w14:textId="2AE79073" w:rsidR="00CB31EC" w:rsidRPr="00CB31EC" w:rsidRDefault="00C438AE" w:rsidP="00CB31EC">
      <w:pPr>
        <w:spacing w:line="360" w:lineRule="auto"/>
        <w:jc w:val="both"/>
      </w:pPr>
      <w:r w:rsidRPr="00CB31EC">
        <w:rPr>
          <w:color w:val="000000" w:themeColor="text1"/>
        </w:rPr>
        <w:t xml:space="preserve">There were </w:t>
      </w:r>
      <w:r w:rsidRPr="00CB31EC">
        <w:t>53,130 possible combinations of five IDS items other than those falling under AES, so 53</w:t>
      </w:r>
      <w:r w:rsidR="00303D2C">
        <w:t xml:space="preserve"> </w:t>
      </w:r>
      <w:r w:rsidRPr="00CB31EC">
        <w:t>130 sum scores were created. Each sum score reflects a potential symptom profile that do not include any atypical, energy-related symptom (“potential non-AES profile”).</w:t>
      </w:r>
      <w:r w:rsidR="00CB31EC" w:rsidRPr="00CB31EC">
        <w:t xml:space="preserve"> For each of the potential non-AES profile separately, 51 linear regressions were conducted with the metabolomic marker as independent and the potential non-AES profile as dependent variable, while adjusting for all covariates of model 1. For the sake of checking the specificity of the associations between the metabolomic markers and the AES profile, we estimated FDRs for each metabolite associated with the AES profile. This reflects the chance that a metabolomic marker is associated with any of the 53</w:t>
      </w:r>
      <w:r w:rsidR="00303D2C">
        <w:t xml:space="preserve"> </w:t>
      </w:r>
      <w:r w:rsidR="00CB31EC" w:rsidRPr="00CB31EC">
        <w:t xml:space="preserve">130 potential non-AES profiles at a lower </w:t>
      </w:r>
      <w:r w:rsidR="00CB31EC" w:rsidRPr="00CB31EC">
        <w:rPr>
          <w:i/>
          <w:iCs/>
        </w:rPr>
        <w:t xml:space="preserve">p </w:t>
      </w:r>
      <w:r w:rsidR="00CB31EC" w:rsidRPr="00CB31EC">
        <w:t xml:space="preserve">value than the one of the atypical, energy-related symptom </w:t>
      </w:r>
      <w:proofErr w:type="gramStart"/>
      <w:r w:rsidR="00CB31EC" w:rsidRPr="00CB31EC">
        <w:t>profile</w:t>
      </w:r>
      <w:proofErr w:type="gramEnd"/>
      <w:r w:rsidR="00CB31EC" w:rsidRPr="00CB31EC">
        <w:t xml:space="preserve">. FDRs for metabolite </w:t>
      </w:r>
      <w:proofErr w:type="spellStart"/>
      <w:r w:rsidR="00CB31EC" w:rsidRPr="00CB31EC">
        <w:t>i</w:t>
      </w:r>
      <w:proofErr w:type="spellEnd"/>
      <w:r w:rsidR="00CB31EC" w:rsidRPr="00CB31EC">
        <w:t xml:space="preserve"> were calculated with the following formula: </w:t>
      </w:r>
    </w:p>
    <w:p w14:paraId="1460EFD0" w14:textId="77777777" w:rsidR="00CB31EC" w:rsidRPr="00CB31EC" w:rsidRDefault="00CB31EC" w:rsidP="00CB31EC">
      <w:pPr>
        <w:spacing w:line="360" w:lineRule="auto"/>
        <w:jc w:val="both"/>
      </w:pPr>
      <w:r w:rsidRPr="00CB31EC">
        <w:t>FDR</w:t>
      </w:r>
      <w:r w:rsidRPr="00CB31EC">
        <w:rPr>
          <w:vertAlign w:val="subscript"/>
        </w:rPr>
        <w:t>(</w:t>
      </w:r>
      <w:proofErr w:type="spellStart"/>
      <w:r w:rsidRPr="00CB31EC">
        <w:rPr>
          <w:vertAlign w:val="subscript"/>
        </w:rPr>
        <w:t>i</w:t>
      </w:r>
      <w:proofErr w:type="spellEnd"/>
      <w:r w:rsidRPr="00CB31EC">
        <w:rPr>
          <w:vertAlign w:val="subscript"/>
        </w:rPr>
        <w:t>)</w:t>
      </w:r>
      <w:r w:rsidRPr="00CB31EC">
        <w:t xml:space="preserve">= (number of </w:t>
      </w:r>
      <w:r w:rsidRPr="00CB31EC">
        <w:rPr>
          <w:i/>
          <w:iCs/>
        </w:rPr>
        <w:t>p</w:t>
      </w:r>
      <w:r w:rsidRPr="00CB31EC">
        <w:t xml:space="preserve"> </w:t>
      </w:r>
      <w:proofErr w:type="gramStart"/>
      <w:r w:rsidRPr="00CB31EC">
        <w:t>values</w:t>
      </w:r>
      <w:r w:rsidRPr="00CB31EC">
        <w:rPr>
          <w:vertAlign w:val="subscript"/>
        </w:rPr>
        <w:t>(</w:t>
      </w:r>
      <w:proofErr w:type="gramEnd"/>
      <w:r w:rsidRPr="00CB31EC">
        <w:rPr>
          <w:vertAlign w:val="subscript"/>
        </w:rPr>
        <w:t>potential non-AES profiles)</w:t>
      </w:r>
      <w:r w:rsidRPr="00CB31EC">
        <w:t xml:space="preserve"> ≤ </w:t>
      </w:r>
      <w:r w:rsidRPr="00CB31EC">
        <w:rPr>
          <w:i/>
          <w:iCs/>
        </w:rPr>
        <w:t>p</w:t>
      </w:r>
      <w:r w:rsidRPr="00CB31EC">
        <w:t xml:space="preserve"> value</w:t>
      </w:r>
      <w:r w:rsidRPr="00CB31EC">
        <w:rPr>
          <w:vertAlign w:val="subscript"/>
        </w:rPr>
        <w:t>(</w:t>
      </w:r>
      <w:proofErr w:type="spellStart"/>
      <w:r w:rsidRPr="00CB31EC">
        <w:rPr>
          <w:vertAlign w:val="subscript"/>
        </w:rPr>
        <w:t>i</w:t>
      </w:r>
      <w:proofErr w:type="spellEnd"/>
      <w:r w:rsidRPr="00CB31EC">
        <w:rPr>
          <w:vertAlign w:val="subscript"/>
        </w:rPr>
        <w:t>)</w:t>
      </w:r>
      <w:r w:rsidRPr="00CB31EC">
        <w:t xml:space="preserve"> /53,130) /</w:t>
      </w:r>
    </w:p>
    <w:p w14:paraId="65DCAA3E" w14:textId="77777777" w:rsidR="00CB31EC" w:rsidRPr="006907CC" w:rsidRDefault="00CB31EC" w:rsidP="00CB31EC">
      <w:pPr>
        <w:spacing w:line="360" w:lineRule="auto"/>
        <w:jc w:val="both"/>
        <w:rPr>
          <w:sz w:val="18"/>
          <w:szCs w:val="18"/>
        </w:rPr>
      </w:pPr>
      <w:r w:rsidRPr="00CB31EC">
        <w:t xml:space="preserve">number of </w:t>
      </w:r>
      <w:r w:rsidRPr="00CB31EC">
        <w:rPr>
          <w:i/>
          <w:iCs/>
        </w:rPr>
        <w:t>p</w:t>
      </w:r>
      <w:r w:rsidRPr="00CB31EC">
        <w:t xml:space="preserve"> </w:t>
      </w:r>
      <w:proofErr w:type="gramStart"/>
      <w:r w:rsidRPr="00CB31EC">
        <w:t>values</w:t>
      </w:r>
      <w:r w:rsidRPr="00CB31EC">
        <w:rPr>
          <w:vertAlign w:val="subscript"/>
        </w:rPr>
        <w:t>(</w:t>
      </w:r>
      <w:proofErr w:type="gramEnd"/>
      <w:r w:rsidRPr="00CB31EC">
        <w:rPr>
          <w:vertAlign w:val="subscript"/>
        </w:rPr>
        <w:t>AES profiles)</w:t>
      </w:r>
      <w:r w:rsidRPr="00CB31EC">
        <w:t xml:space="preserve"> ≤ </w:t>
      </w:r>
      <w:r w:rsidRPr="00CB31EC">
        <w:rPr>
          <w:i/>
          <w:iCs/>
        </w:rPr>
        <w:t>p</w:t>
      </w:r>
      <w:r w:rsidRPr="00CB31EC">
        <w:t xml:space="preserve"> value</w:t>
      </w:r>
      <w:r w:rsidRPr="00CB31EC">
        <w:rPr>
          <w:vertAlign w:val="subscript"/>
        </w:rPr>
        <w:t>(</w:t>
      </w:r>
      <w:proofErr w:type="spellStart"/>
      <w:r w:rsidRPr="00CB31EC">
        <w:rPr>
          <w:vertAlign w:val="subscript"/>
        </w:rPr>
        <w:t>i</w:t>
      </w:r>
      <w:proofErr w:type="spellEnd"/>
      <w:r w:rsidRPr="00CB31EC">
        <w:rPr>
          <w:vertAlign w:val="subscript"/>
        </w:rPr>
        <w:t>)</w:t>
      </w:r>
      <w:r w:rsidRPr="00CB31EC">
        <w:t xml:space="preserve"> .</w:t>
      </w:r>
      <w:r w:rsidRPr="006907CC">
        <w:rPr>
          <w:sz w:val="18"/>
          <w:szCs w:val="18"/>
        </w:rPr>
        <w:t xml:space="preserve"> </w:t>
      </w:r>
    </w:p>
    <w:p w14:paraId="1BECEE5A" w14:textId="77777777" w:rsidR="00702059" w:rsidRDefault="00702059" w:rsidP="00C438AE">
      <w:pPr>
        <w:spacing w:line="480" w:lineRule="auto"/>
        <w:jc w:val="both"/>
        <w:sectPr w:rsidR="00702059" w:rsidSect="00CF21BE">
          <w:pgSz w:w="11900" w:h="16840"/>
          <w:pgMar w:top="1440" w:right="1440" w:bottom="1440" w:left="1440" w:header="708" w:footer="708" w:gutter="0"/>
          <w:cols w:space="708"/>
          <w:docGrid w:linePitch="360"/>
        </w:sectPr>
      </w:pPr>
    </w:p>
    <w:p w14:paraId="7D736C5E" w14:textId="0C71C240" w:rsidR="00455805" w:rsidRPr="00702059" w:rsidRDefault="00702059" w:rsidP="00702059">
      <w:pPr>
        <w:pStyle w:val="Kop1"/>
        <w:rPr>
          <w:rFonts w:ascii="Times New Roman" w:hAnsi="Times New Roman" w:cs="Times New Roman"/>
          <w:b/>
          <w:i/>
          <w:color w:val="000000" w:themeColor="text1"/>
          <w:sz w:val="24"/>
          <w:szCs w:val="24"/>
        </w:rPr>
      </w:pPr>
      <w:bookmarkStart w:id="3" w:name="_Toc126263638"/>
      <w:r w:rsidRPr="00702059">
        <w:rPr>
          <w:rFonts w:ascii="Times New Roman" w:hAnsi="Times New Roman" w:cs="Times New Roman"/>
          <w:b/>
          <w:i/>
          <w:color w:val="000000" w:themeColor="text1"/>
          <w:sz w:val="24"/>
          <w:szCs w:val="24"/>
        </w:rPr>
        <w:lastRenderedPageBreak/>
        <w:t>Supplementa</w:t>
      </w:r>
      <w:r w:rsidR="00E65BB3">
        <w:rPr>
          <w:rFonts w:ascii="Times New Roman" w:hAnsi="Times New Roman" w:cs="Times New Roman"/>
          <w:b/>
          <w:i/>
          <w:color w:val="000000" w:themeColor="text1"/>
          <w:sz w:val="24"/>
          <w:szCs w:val="24"/>
        </w:rPr>
        <w:t>ry</w:t>
      </w:r>
      <w:r w:rsidRPr="00702059">
        <w:rPr>
          <w:rFonts w:ascii="Times New Roman" w:hAnsi="Times New Roman" w:cs="Times New Roman"/>
          <w:b/>
          <w:i/>
          <w:color w:val="000000" w:themeColor="text1"/>
          <w:sz w:val="24"/>
          <w:szCs w:val="24"/>
        </w:rPr>
        <w:t xml:space="preserve"> Figures</w:t>
      </w:r>
      <w:bookmarkEnd w:id="3"/>
    </w:p>
    <w:p w14:paraId="5D3FAD45" w14:textId="77777777" w:rsidR="00C438AE" w:rsidRPr="00C438AE" w:rsidRDefault="00C438AE" w:rsidP="00C438AE"/>
    <w:p w14:paraId="4C9B0DDF" w14:textId="400C824F" w:rsidR="00C438AE" w:rsidRPr="0006093B" w:rsidRDefault="00E65BB3" w:rsidP="0006093B">
      <w:pPr>
        <w:pStyle w:val="Kop2"/>
        <w:spacing w:line="360" w:lineRule="auto"/>
        <w:rPr>
          <w:rFonts w:ascii="Times New Roman" w:hAnsi="Times New Roman" w:cs="Times New Roman"/>
          <w:b/>
          <w:color w:val="000000" w:themeColor="text1"/>
          <w:sz w:val="24"/>
          <w:szCs w:val="24"/>
        </w:rPr>
      </w:pPr>
      <w:bookmarkStart w:id="4" w:name="_Toc126263639"/>
      <w:r>
        <w:rPr>
          <w:rFonts w:ascii="Times New Roman" w:hAnsi="Times New Roman" w:cs="Times New Roman"/>
          <w:b/>
          <w:color w:val="000000" w:themeColor="text1"/>
          <w:sz w:val="24"/>
          <w:szCs w:val="24"/>
        </w:rPr>
        <w:t>Supplementary</w:t>
      </w:r>
      <w:r w:rsidR="0006093B" w:rsidRPr="0006093B">
        <w:rPr>
          <w:rFonts w:ascii="Times New Roman" w:hAnsi="Times New Roman" w:cs="Times New Roman"/>
          <w:b/>
          <w:color w:val="000000" w:themeColor="text1"/>
          <w:sz w:val="24"/>
          <w:szCs w:val="24"/>
        </w:rPr>
        <w:t xml:space="preserve"> Figure 1</w:t>
      </w:r>
      <w:r w:rsidR="0006093B">
        <w:rPr>
          <w:rFonts w:ascii="Times New Roman" w:hAnsi="Times New Roman" w:cs="Times New Roman"/>
          <w:b/>
          <w:color w:val="000000" w:themeColor="text1"/>
          <w:sz w:val="24"/>
          <w:szCs w:val="24"/>
        </w:rPr>
        <w:t>. Correlation between 31 metabolite-symptom association estimates at baseline and 6-year follow-up</w:t>
      </w:r>
      <w:bookmarkEnd w:id="4"/>
    </w:p>
    <w:p w14:paraId="1530C6DF" w14:textId="602FC4BA" w:rsidR="002F7865" w:rsidRDefault="002F7865" w:rsidP="00C438AE">
      <w:pPr>
        <w:rPr>
          <w:noProof/>
        </w:rPr>
      </w:pPr>
    </w:p>
    <w:p w14:paraId="239B0DB5" w14:textId="0A2FCE3E" w:rsidR="0006093B" w:rsidRDefault="0006093B" w:rsidP="00C438AE">
      <w:r>
        <w:rPr>
          <w:noProof/>
        </w:rPr>
        <w:drawing>
          <wp:inline distT="0" distB="0" distL="0" distR="0" wp14:anchorId="1266F387" wp14:editId="7B5D128D">
            <wp:extent cx="3458854" cy="2921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ta wave 5 wave 1 metabolon.png"/>
                    <pic:cNvPicPr/>
                  </pic:nvPicPr>
                  <pic:blipFill>
                    <a:blip r:embed="rId5">
                      <a:extLst>
                        <a:ext uri="{28A0092B-C50C-407E-A947-70E740481C1C}">
                          <a14:useLocalDpi xmlns:a14="http://schemas.microsoft.com/office/drawing/2010/main" val="0"/>
                        </a:ext>
                      </a:extLst>
                    </a:blip>
                    <a:stretch>
                      <a:fillRect/>
                    </a:stretch>
                  </pic:blipFill>
                  <pic:spPr>
                    <a:xfrm>
                      <a:off x="0" y="0"/>
                      <a:ext cx="3476777" cy="2936759"/>
                    </a:xfrm>
                    <a:prstGeom prst="rect">
                      <a:avLst/>
                    </a:prstGeom>
                  </pic:spPr>
                </pic:pic>
              </a:graphicData>
            </a:graphic>
          </wp:inline>
        </w:drawing>
      </w:r>
    </w:p>
    <w:p w14:paraId="6707D5B8" w14:textId="77777777" w:rsidR="0006093B" w:rsidRDefault="0006093B" w:rsidP="00C438AE"/>
    <w:p w14:paraId="69BFF875" w14:textId="109D44F3" w:rsidR="0006093B" w:rsidRDefault="0006093B" w:rsidP="00C438AE">
      <w:pPr>
        <w:rPr>
          <w:color w:val="000000"/>
          <w:sz w:val="20"/>
          <w:szCs w:val="20"/>
        </w:rPr>
      </w:pPr>
      <w:r>
        <w:rPr>
          <w:sz w:val="20"/>
          <w:szCs w:val="20"/>
        </w:rPr>
        <w:t>Estimates f</w:t>
      </w:r>
      <w:r w:rsidRPr="0006093B">
        <w:rPr>
          <w:sz w:val="20"/>
          <w:szCs w:val="20"/>
        </w:rPr>
        <w:t xml:space="preserve">rom linear regression models adjusted for </w:t>
      </w:r>
      <w:r w:rsidRPr="0006093B">
        <w:rPr>
          <w:color w:val="000000"/>
          <w:sz w:val="20"/>
          <w:szCs w:val="20"/>
        </w:rPr>
        <w:t>age, sex, education level, smoking status, fasting status, number of somatic diseases, assessment batch, and lipid lowering drug</w:t>
      </w:r>
      <w:r>
        <w:rPr>
          <w:color w:val="000000"/>
          <w:sz w:val="20"/>
          <w:szCs w:val="20"/>
        </w:rPr>
        <w:t>s</w:t>
      </w:r>
      <w:r w:rsidR="00303D2C">
        <w:rPr>
          <w:color w:val="000000"/>
          <w:sz w:val="20"/>
          <w:szCs w:val="20"/>
        </w:rPr>
        <w:t>.</w:t>
      </w:r>
    </w:p>
    <w:p w14:paraId="26A6ECE4" w14:textId="77777777" w:rsidR="0006093B" w:rsidRDefault="0006093B" w:rsidP="00C438AE">
      <w:pPr>
        <w:rPr>
          <w:sz w:val="20"/>
          <w:szCs w:val="20"/>
        </w:rPr>
        <w:sectPr w:rsidR="0006093B" w:rsidSect="00CF21BE">
          <w:pgSz w:w="11900" w:h="16840"/>
          <w:pgMar w:top="1440" w:right="1440" w:bottom="1440" w:left="1440" w:header="708" w:footer="708" w:gutter="0"/>
          <w:cols w:space="708"/>
          <w:docGrid w:linePitch="360"/>
        </w:sectPr>
      </w:pPr>
      <w:r>
        <w:rPr>
          <w:sz w:val="20"/>
          <w:szCs w:val="20"/>
        </w:rPr>
        <w:t>Wave1: baseline; wave 5: 6-year follow-up</w:t>
      </w:r>
    </w:p>
    <w:p w14:paraId="708D1928" w14:textId="56F82409" w:rsidR="0006093B" w:rsidRDefault="0006093B" w:rsidP="0006093B">
      <w:pPr>
        <w:pStyle w:val="Kop2"/>
        <w:spacing w:line="360" w:lineRule="auto"/>
        <w:rPr>
          <w:rFonts w:ascii="Times New Roman" w:hAnsi="Times New Roman" w:cs="Times New Roman"/>
          <w:b/>
          <w:color w:val="000000" w:themeColor="text1"/>
          <w:sz w:val="24"/>
          <w:szCs w:val="24"/>
        </w:rPr>
      </w:pPr>
      <w:bookmarkStart w:id="5" w:name="_Toc126263640"/>
      <w:r w:rsidRPr="0006093B">
        <w:rPr>
          <w:rFonts w:ascii="Times New Roman" w:hAnsi="Times New Roman" w:cs="Times New Roman"/>
          <w:b/>
          <w:color w:val="000000" w:themeColor="text1"/>
          <w:sz w:val="24"/>
          <w:szCs w:val="24"/>
        </w:rPr>
        <w:lastRenderedPageBreak/>
        <w:t>Supplementa</w:t>
      </w:r>
      <w:r w:rsidR="00E65BB3">
        <w:rPr>
          <w:rFonts w:ascii="Times New Roman" w:hAnsi="Times New Roman" w:cs="Times New Roman"/>
          <w:b/>
          <w:color w:val="000000" w:themeColor="text1"/>
          <w:sz w:val="24"/>
          <w:szCs w:val="24"/>
        </w:rPr>
        <w:t>ry</w:t>
      </w:r>
      <w:r w:rsidRPr="0006093B">
        <w:rPr>
          <w:rFonts w:ascii="Times New Roman" w:hAnsi="Times New Roman" w:cs="Times New Roman"/>
          <w:b/>
          <w:color w:val="000000" w:themeColor="text1"/>
          <w:sz w:val="24"/>
          <w:szCs w:val="24"/>
        </w:rPr>
        <w:t xml:space="preserve"> Figure </w:t>
      </w:r>
      <w:r>
        <w:rPr>
          <w:rFonts w:ascii="Times New Roman" w:hAnsi="Times New Roman" w:cs="Times New Roman"/>
          <w:b/>
          <w:color w:val="000000" w:themeColor="text1"/>
          <w:sz w:val="24"/>
          <w:szCs w:val="24"/>
        </w:rPr>
        <w:t>2. Correlation</w:t>
      </w:r>
      <w:r w:rsidR="00203530">
        <w:rPr>
          <w:rFonts w:ascii="Times New Roman" w:hAnsi="Times New Roman" w:cs="Times New Roman"/>
          <w:b/>
          <w:color w:val="000000" w:themeColor="text1"/>
          <w:sz w:val="24"/>
          <w:szCs w:val="24"/>
        </w:rPr>
        <w:t>s</w:t>
      </w:r>
      <w:r>
        <w:rPr>
          <w:rFonts w:ascii="Times New Roman" w:hAnsi="Times New Roman" w:cs="Times New Roman"/>
          <w:b/>
          <w:color w:val="000000" w:themeColor="text1"/>
          <w:sz w:val="24"/>
          <w:szCs w:val="24"/>
        </w:rPr>
        <w:t xml:space="preserve"> between levels of the 31 metabolites associated with atypical, energy-related symptom</w:t>
      </w:r>
      <w:r w:rsidR="00E65BB3">
        <w:rPr>
          <w:rFonts w:ascii="Times New Roman" w:hAnsi="Times New Roman" w:cs="Times New Roman"/>
          <w:b/>
          <w:color w:val="000000" w:themeColor="text1"/>
          <w:sz w:val="24"/>
          <w:szCs w:val="24"/>
        </w:rPr>
        <w:t xml:space="preserve"> profile</w:t>
      </w:r>
      <w:bookmarkEnd w:id="5"/>
    </w:p>
    <w:p w14:paraId="76F8E580" w14:textId="45895836" w:rsidR="00203530" w:rsidRDefault="00203530" w:rsidP="00203530"/>
    <w:p w14:paraId="4109DB12" w14:textId="47B0A863" w:rsidR="00203530" w:rsidRDefault="00203530" w:rsidP="00203530">
      <w:r w:rsidRPr="00DA1A3A">
        <w:rPr>
          <w:noProof/>
        </w:rPr>
        <w:drawing>
          <wp:inline distT="0" distB="0" distL="0" distR="0" wp14:anchorId="5F38C6DD" wp14:editId="627FF38F">
            <wp:extent cx="5198260" cy="4332249"/>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Figure 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04370" cy="4337341"/>
                    </a:xfrm>
                    <a:prstGeom prst="rect">
                      <a:avLst/>
                    </a:prstGeom>
                  </pic:spPr>
                </pic:pic>
              </a:graphicData>
            </a:graphic>
          </wp:inline>
        </w:drawing>
      </w:r>
    </w:p>
    <w:p w14:paraId="7A73CFBA" w14:textId="47F50BF4" w:rsidR="00203530" w:rsidRDefault="00203530" w:rsidP="00203530"/>
    <w:p w14:paraId="1ED8735F" w14:textId="70CED448" w:rsidR="00203530" w:rsidRDefault="00203530" w:rsidP="00203530"/>
    <w:p w14:paraId="49B2C704" w14:textId="6A89BDD7" w:rsidR="00203530" w:rsidRDefault="00203530" w:rsidP="00203530"/>
    <w:p w14:paraId="0FD1371E" w14:textId="004E5417" w:rsidR="00203530" w:rsidRPr="00203530" w:rsidRDefault="00203530" w:rsidP="00203530">
      <w:pPr>
        <w:jc w:val="both"/>
        <w:rPr>
          <w:sz w:val="20"/>
          <w:szCs w:val="20"/>
        </w:rPr>
      </w:pPr>
      <w:r w:rsidRPr="00203530">
        <w:rPr>
          <w:sz w:val="20"/>
          <w:szCs w:val="20"/>
        </w:rPr>
        <w:t xml:space="preserve">The colors of the markers’ names reflect the </w:t>
      </w:r>
      <w:r>
        <w:rPr>
          <w:sz w:val="20"/>
          <w:szCs w:val="20"/>
        </w:rPr>
        <w:t xml:space="preserve">categories </w:t>
      </w:r>
      <w:r w:rsidRPr="00203530">
        <w:rPr>
          <w:sz w:val="20"/>
          <w:szCs w:val="20"/>
        </w:rPr>
        <w:t xml:space="preserve">defined by Nightingale Health Ltd. </w:t>
      </w:r>
    </w:p>
    <w:p w14:paraId="4144D5B2" w14:textId="08C6D96C" w:rsidR="00203530" w:rsidRDefault="00203530" w:rsidP="00203530"/>
    <w:p w14:paraId="4F8FA9D9" w14:textId="5573CAB7" w:rsidR="00203530" w:rsidRDefault="00203530" w:rsidP="00203530"/>
    <w:p w14:paraId="5634A300" w14:textId="3C5E0CA5" w:rsidR="00203530" w:rsidRDefault="00203530" w:rsidP="00203530"/>
    <w:p w14:paraId="7F17E104" w14:textId="522056CE" w:rsidR="00203530" w:rsidRDefault="00203530" w:rsidP="00203530"/>
    <w:p w14:paraId="3DAEFC85" w14:textId="7D1A526E" w:rsidR="00203530" w:rsidRDefault="00203530" w:rsidP="00203530"/>
    <w:p w14:paraId="75D9372D" w14:textId="2926A4DF" w:rsidR="00203530" w:rsidRDefault="00203530" w:rsidP="00203530"/>
    <w:p w14:paraId="4A8FCBAA" w14:textId="09850BA2" w:rsidR="00203530" w:rsidRDefault="00203530" w:rsidP="00203530"/>
    <w:p w14:paraId="501BF548" w14:textId="5B9DA42B" w:rsidR="00203530" w:rsidRDefault="00203530" w:rsidP="00203530"/>
    <w:p w14:paraId="49AFFDBB" w14:textId="7FA5CF4A" w:rsidR="00203530" w:rsidRDefault="00203530" w:rsidP="00203530"/>
    <w:p w14:paraId="170E3A5A" w14:textId="17E15AE6" w:rsidR="00203530" w:rsidRDefault="00203530" w:rsidP="00203530"/>
    <w:p w14:paraId="3B68F8FB" w14:textId="45247D57" w:rsidR="00203530" w:rsidRDefault="00203530" w:rsidP="00203530"/>
    <w:p w14:paraId="23E94960" w14:textId="77777777" w:rsidR="00203530" w:rsidRPr="00203530" w:rsidRDefault="00203530" w:rsidP="00203530"/>
    <w:p w14:paraId="129BE8AF" w14:textId="24AD47C4" w:rsidR="0006093B" w:rsidRPr="0006093B" w:rsidRDefault="0006093B" w:rsidP="00C438AE">
      <w:pPr>
        <w:rPr>
          <w:sz w:val="20"/>
          <w:szCs w:val="20"/>
        </w:rPr>
      </w:pPr>
    </w:p>
    <w:p w14:paraId="45C8825E" w14:textId="383E2C50" w:rsidR="0006093B" w:rsidRDefault="0006093B" w:rsidP="00C438AE"/>
    <w:p w14:paraId="4436BC93" w14:textId="02ED2022" w:rsidR="0006093B" w:rsidRDefault="0006093B" w:rsidP="00C438AE"/>
    <w:p w14:paraId="5DF66BD3" w14:textId="519375B0" w:rsidR="0006093B" w:rsidRDefault="0006093B" w:rsidP="00C438AE"/>
    <w:p w14:paraId="2116D155" w14:textId="03696F0B" w:rsidR="0006093B" w:rsidRDefault="0006093B" w:rsidP="00C438AE"/>
    <w:p w14:paraId="0A60C15F" w14:textId="77777777" w:rsidR="0006093B" w:rsidRPr="002F7865" w:rsidRDefault="0006093B" w:rsidP="00C438AE"/>
    <w:sectPr w:rsidR="0006093B" w:rsidRPr="002F7865" w:rsidSect="00CF21B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865"/>
    <w:rsid w:val="0006093B"/>
    <w:rsid w:val="000C2513"/>
    <w:rsid w:val="000C5A79"/>
    <w:rsid w:val="000D6C48"/>
    <w:rsid w:val="000E7440"/>
    <w:rsid w:val="000F4A9F"/>
    <w:rsid w:val="00107B56"/>
    <w:rsid w:val="00114C8F"/>
    <w:rsid w:val="0013381D"/>
    <w:rsid w:val="0014191F"/>
    <w:rsid w:val="001702F0"/>
    <w:rsid w:val="001756C6"/>
    <w:rsid w:val="00183DAE"/>
    <w:rsid w:val="001945B7"/>
    <w:rsid w:val="001961BE"/>
    <w:rsid w:val="001C135D"/>
    <w:rsid w:val="001C4F6A"/>
    <w:rsid w:val="001C691B"/>
    <w:rsid w:val="001D33D4"/>
    <w:rsid w:val="00201C32"/>
    <w:rsid w:val="00203530"/>
    <w:rsid w:val="00254B5F"/>
    <w:rsid w:val="0028762E"/>
    <w:rsid w:val="002A47F4"/>
    <w:rsid w:val="002A632C"/>
    <w:rsid w:val="002A6BBB"/>
    <w:rsid w:val="002F3A3F"/>
    <w:rsid w:val="002F560F"/>
    <w:rsid w:val="002F7865"/>
    <w:rsid w:val="002F7903"/>
    <w:rsid w:val="00301DAB"/>
    <w:rsid w:val="00303D2C"/>
    <w:rsid w:val="00312326"/>
    <w:rsid w:val="00321605"/>
    <w:rsid w:val="003229BF"/>
    <w:rsid w:val="003321EE"/>
    <w:rsid w:val="00347CD2"/>
    <w:rsid w:val="00361872"/>
    <w:rsid w:val="003671E8"/>
    <w:rsid w:val="00371AB1"/>
    <w:rsid w:val="003C6B1B"/>
    <w:rsid w:val="0040579E"/>
    <w:rsid w:val="00426174"/>
    <w:rsid w:val="00427430"/>
    <w:rsid w:val="00455805"/>
    <w:rsid w:val="004A16C5"/>
    <w:rsid w:val="004B4491"/>
    <w:rsid w:val="004D2364"/>
    <w:rsid w:val="004F2E7F"/>
    <w:rsid w:val="004F6759"/>
    <w:rsid w:val="005028B7"/>
    <w:rsid w:val="00540A81"/>
    <w:rsid w:val="00555568"/>
    <w:rsid w:val="005A6DB3"/>
    <w:rsid w:val="005B6BDF"/>
    <w:rsid w:val="006075F9"/>
    <w:rsid w:val="00614DB7"/>
    <w:rsid w:val="00652CFF"/>
    <w:rsid w:val="006643FB"/>
    <w:rsid w:val="00672E11"/>
    <w:rsid w:val="00681218"/>
    <w:rsid w:val="006A18A2"/>
    <w:rsid w:val="006A2287"/>
    <w:rsid w:val="006B0798"/>
    <w:rsid w:val="006B086E"/>
    <w:rsid w:val="006D50D1"/>
    <w:rsid w:val="00702059"/>
    <w:rsid w:val="0070303D"/>
    <w:rsid w:val="00782C47"/>
    <w:rsid w:val="007A4B78"/>
    <w:rsid w:val="007A7F27"/>
    <w:rsid w:val="007C1D30"/>
    <w:rsid w:val="007C558E"/>
    <w:rsid w:val="007C6D80"/>
    <w:rsid w:val="007C76FD"/>
    <w:rsid w:val="0082333F"/>
    <w:rsid w:val="008416A4"/>
    <w:rsid w:val="0089335F"/>
    <w:rsid w:val="008F4649"/>
    <w:rsid w:val="009056A7"/>
    <w:rsid w:val="00915A50"/>
    <w:rsid w:val="00921D4C"/>
    <w:rsid w:val="00931439"/>
    <w:rsid w:val="00933942"/>
    <w:rsid w:val="009579F5"/>
    <w:rsid w:val="009C3316"/>
    <w:rsid w:val="009C7BF0"/>
    <w:rsid w:val="009E7AA2"/>
    <w:rsid w:val="009F4425"/>
    <w:rsid w:val="00A26AC5"/>
    <w:rsid w:val="00A47216"/>
    <w:rsid w:val="00A65545"/>
    <w:rsid w:val="00A65BD5"/>
    <w:rsid w:val="00A7350E"/>
    <w:rsid w:val="00AA01CD"/>
    <w:rsid w:val="00AA2710"/>
    <w:rsid w:val="00AB2CAA"/>
    <w:rsid w:val="00B27904"/>
    <w:rsid w:val="00B74328"/>
    <w:rsid w:val="00BA47FB"/>
    <w:rsid w:val="00BC4977"/>
    <w:rsid w:val="00BE3480"/>
    <w:rsid w:val="00C00293"/>
    <w:rsid w:val="00C01C99"/>
    <w:rsid w:val="00C12F81"/>
    <w:rsid w:val="00C438AE"/>
    <w:rsid w:val="00C46B29"/>
    <w:rsid w:val="00C674F8"/>
    <w:rsid w:val="00C85F61"/>
    <w:rsid w:val="00CB31EC"/>
    <w:rsid w:val="00CE560C"/>
    <w:rsid w:val="00CE7DED"/>
    <w:rsid w:val="00CF21BE"/>
    <w:rsid w:val="00D32F90"/>
    <w:rsid w:val="00D47BF3"/>
    <w:rsid w:val="00D520DF"/>
    <w:rsid w:val="00D5382D"/>
    <w:rsid w:val="00D65064"/>
    <w:rsid w:val="00D67AF9"/>
    <w:rsid w:val="00D807C4"/>
    <w:rsid w:val="00DA021B"/>
    <w:rsid w:val="00DC69A5"/>
    <w:rsid w:val="00DD05BF"/>
    <w:rsid w:val="00DE1F75"/>
    <w:rsid w:val="00E07647"/>
    <w:rsid w:val="00E14938"/>
    <w:rsid w:val="00E47138"/>
    <w:rsid w:val="00E65BB3"/>
    <w:rsid w:val="00E8571B"/>
    <w:rsid w:val="00EC6552"/>
    <w:rsid w:val="00ED4632"/>
    <w:rsid w:val="00EE5A94"/>
    <w:rsid w:val="00EF17F3"/>
    <w:rsid w:val="00F00C19"/>
    <w:rsid w:val="00F12029"/>
    <w:rsid w:val="00F346BF"/>
    <w:rsid w:val="00FA0259"/>
    <w:rsid w:val="00FA79C5"/>
    <w:rsid w:val="00FC0696"/>
    <w:rsid w:val="00FC69BC"/>
    <w:rsid w:val="00FD1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AD5E"/>
  <w15:chartTrackingRefBased/>
  <w15:docId w15:val="{7B66BA14-7199-174E-AFDC-9DDD9969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7865"/>
    <w:rPr>
      <w:rFonts w:ascii="Times New Roman" w:eastAsia="Times New Roman" w:hAnsi="Times New Roman" w:cs="Times New Roman"/>
    </w:rPr>
  </w:style>
  <w:style w:type="paragraph" w:styleId="Kop1">
    <w:name w:val="heading 1"/>
    <w:basedOn w:val="Standaard"/>
    <w:next w:val="Standaard"/>
    <w:link w:val="Kop1Char"/>
    <w:uiPriority w:val="9"/>
    <w:qFormat/>
    <w:rsid w:val="002F78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F78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2F7865"/>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7865"/>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2F7865"/>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2F7865"/>
    <w:rPr>
      <w:rFonts w:asciiTheme="majorHAnsi" w:eastAsiaTheme="majorEastAsia" w:hAnsiTheme="majorHAnsi" w:cstheme="majorBidi"/>
      <w:color w:val="2F5496" w:themeColor="accent1" w:themeShade="BF"/>
      <w:sz w:val="26"/>
      <w:szCs w:val="26"/>
    </w:rPr>
  </w:style>
  <w:style w:type="paragraph" w:styleId="Kopvaninhoudsopgave">
    <w:name w:val="TOC Heading"/>
    <w:basedOn w:val="Kop1"/>
    <w:next w:val="Standaard"/>
    <w:uiPriority w:val="39"/>
    <w:unhideWhenUsed/>
    <w:qFormat/>
    <w:rsid w:val="002F7865"/>
    <w:pPr>
      <w:spacing w:before="480" w:line="276" w:lineRule="auto"/>
      <w:outlineLvl w:val="9"/>
    </w:pPr>
    <w:rPr>
      <w:b/>
      <w:bCs/>
      <w:sz w:val="28"/>
      <w:szCs w:val="28"/>
    </w:rPr>
  </w:style>
  <w:style w:type="paragraph" w:styleId="Inhopg1">
    <w:name w:val="toc 1"/>
    <w:basedOn w:val="Standaard"/>
    <w:next w:val="Standaard"/>
    <w:autoRedefine/>
    <w:uiPriority w:val="39"/>
    <w:unhideWhenUsed/>
    <w:rsid w:val="002F7865"/>
    <w:pPr>
      <w:spacing w:before="120"/>
    </w:pPr>
    <w:rPr>
      <w:rFonts w:asciiTheme="minorHAnsi" w:hAnsiTheme="minorHAnsi"/>
      <w:b/>
      <w:bCs/>
      <w:i/>
      <w:iCs/>
    </w:rPr>
  </w:style>
  <w:style w:type="paragraph" w:styleId="Inhopg2">
    <w:name w:val="toc 2"/>
    <w:basedOn w:val="Standaard"/>
    <w:next w:val="Standaard"/>
    <w:autoRedefine/>
    <w:uiPriority w:val="39"/>
    <w:unhideWhenUsed/>
    <w:rsid w:val="002F7865"/>
    <w:pPr>
      <w:spacing w:before="120"/>
      <w:ind w:left="240"/>
    </w:pPr>
    <w:rPr>
      <w:rFonts w:asciiTheme="minorHAnsi" w:hAnsiTheme="minorHAnsi"/>
      <w:b/>
      <w:bCs/>
      <w:sz w:val="22"/>
      <w:szCs w:val="22"/>
    </w:rPr>
  </w:style>
  <w:style w:type="character" w:styleId="Hyperlink">
    <w:name w:val="Hyperlink"/>
    <w:basedOn w:val="Standaardalinea-lettertype"/>
    <w:uiPriority w:val="99"/>
    <w:unhideWhenUsed/>
    <w:rsid w:val="002F7865"/>
    <w:rPr>
      <w:color w:val="0563C1" w:themeColor="hyperlink"/>
      <w:u w:val="single"/>
    </w:rPr>
  </w:style>
  <w:style w:type="paragraph" w:styleId="Inhopg3">
    <w:name w:val="toc 3"/>
    <w:basedOn w:val="Standaard"/>
    <w:next w:val="Standaard"/>
    <w:autoRedefine/>
    <w:uiPriority w:val="39"/>
    <w:semiHidden/>
    <w:unhideWhenUsed/>
    <w:rsid w:val="002F7865"/>
    <w:pPr>
      <w:ind w:left="480"/>
    </w:pPr>
    <w:rPr>
      <w:rFonts w:asciiTheme="minorHAnsi" w:hAnsiTheme="minorHAnsi"/>
      <w:sz w:val="20"/>
      <w:szCs w:val="20"/>
    </w:rPr>
  </w:style>
  <w:style w:type="paragraph" w:styleId="Inhopg4">
    <w:name w:val="toc 4"/>
    <w:basedOn w:val="Standaard"/>
    <w:next w:val="Standaard"/>
    <w:autoRedefine/>
    <w:uiPriority w:val="39"/>
    <w:semiHidden/>
    <w:unhideWhenUsed/>
    <w:rsid w:val="002F7865"/>
    <w:pPr>
      <w:ind w:left="720"/>
    </w:pPr>
    <w:rPr>
      <w:rFonts w:asciiTheme="minorHAnsi" w:hAnsiTheme="minorHAnsi"/>
      <w:sz w:val="20"/>
      <w:szCs w:val="20"/>
    </w:rPr>
  </w:style>
  <w:style w:type="paragraph" w:styleId="Inhopg5">
    <w:name w:val="toc 5"/>
    <w:basedOn w:val="Standaard"/>
    <w:next w:val="Standaard"/>
    <w:autoRedefine/>
    <w:uiPriority w:val="39"/>
    <w:semiHidden/>
    <w:unhideWhenUsed/>
    <w:rsid w:val="002F7865"/>
    <w:pPr>
      <w:ind w:left="960"/>
    </w:pPr>
    <w:rPr>
      <w:rFonts w:asciiTheme="minorHAnsi" w:hAnsiTheme="minorHAnsi"/>
      <w:sz w:val="20"/>
      <w:szCs w:val="20"/>
    </w:rPr>
  </w:style>
  <w:style w:type="paragraph" w:styleId="Inhopg6">
    <w:name w:val="toc 6"/>
    <w:basedOn w:val="Standaard"/>
    <w:next w:val="Standaard"/>
    <w:autoRedefine/>
    <w:uiPriority w:val="39"/>
    <w:semiHidden/>
    <w:unhideWhenUsed/>
    <w:rsid w:val="002F7865"/>
    <w:pPr>
      <w:ind w:left="1200"/>
    </w:pPr>
    <w:rPr>
      <w:rFonts w:asciiTheme="minorHAnsi" w:hAnsiTheme="minorHAnsi"/>
      <w:sz w:val="20"/>
      <w:szCs w:val="20"/>
    </w:rPr>
  </w:style>
  <w:style w:type="paragraph" w:styleId="Inhopg7">
    <w:name w:val="toc 7"/>
    <w:basedOn w:val="Standaard"/>
    <w:next w:val="Standaard"/>
    <w:autoRedefine/>
    <w:uiPriority w:val="39"/>
    <w:semiHidden/>
    <w:unhideWhenUsed/>
    <w:rsid w:val="002F7865"/>
    <w:pPr>
      <w:ind w:left="1440"/>
    </w:pPr>
    <w:rPr>
      <w:rFonts w:asciiTheme="minorHAnsi" w:hAnsiTheme="minorHAnsi"/>
      <w:sz w:val="20"/>
      <w:szCs w:val="20"/>
    </w:rPr>
  </w:style>
  <w:style w:type="paragraph" w:styleId="Inhopg8">
    <w:name w:val="toc 8"/>
    <w:basedOn w:val="Standaard"/>
    <w:next w:val="Standaard"/>
    <w:autoRedefine/>
    <w:uiPriority w:val="39"/>
    <w:semiHidden/>
    <w:unhideWhenUsed/>
    <w:rsid w:val="002F7865"/>
    <w:pPr>
      <w:ind w:left="1680"/>
    </w:pPr>
    <w:rPr>
      <w:rFonts w:asciiTheme="minorHAnsi" w:hAnsiTheme="minorHAnsi"/>
      <w:sz w:val="20"/>
      <w:szCs w:val="20"/>
    </w:rPr>
  </w:style>
  <w:style w:type="paragraph" w:styleId="Inhopg9">
    <w:name w:val="toc 9"/>
    <w:basedOn w:val="Standaard"/>
    <w:next w:val="Standaard"/>
    <w:autoRedefine/>
    <w:uiPriority w:val="39"/>
    <w:semiHidden/>
    <w:unhideWhenUsed/>
    <w:rsid w:val="002F7865"/>
    <w:pPr>
      <w:ind w:left="1920"/>
    </w:pPr>
    <w:rPr>
      <w:rFonts w:asciiTheme="minorHAnsi" w:hAnsiTheme="minorHAnsi"/>
      <w:sz w:val="20"/>
      <w:szCs w:val="20"/>
    </w:rPr>
  </w:style>
  <w:style w:type="paragraph" w:styleId="Ballontekst">
    <w:name w:val="Balloon Text"/>
    <w:basedOn w:val="Standaard"/>
    <w:link w:val="BallontekstChar"/>
    <w:uiPriority w:val="99"/>
    <w:semiHidden/>
    <w:unhideWhenUsed/>
    <w:rsid w:val="00E65BB3"/>
    <w:rPr>
      <w:sz w:val="18"/>
      <w:szCs w:val="18"/>
    </w:rPr>
  </w:style>
  <w:style w:type="character" w:customStyle="1" w:styleId="BallontekstChar">
    <w:name w:val="Ballontekst Char"/>
    <w:basedOn w:val="Standaardalinea-lettertype"/>
    <w:link w:val="Ballontekst"/>
    <w:uiPriority w:val="99"/>
    <w:semiHidden/>
    <w:rsid w:val="00E65BB3"/>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77172-203C-8144-B94C-F120D60AC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548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milaneschi</dc:creator>
  <cp:keywords/>
  <dc:description/>
  <cp:lastModifiedBy>Hilde de Kluiver</cp:lastModifiedBy>
  <cp:revision>4</cp:revision>
  <dcterms:created xsi:type="dcterms:W3CDTF">2023-02-02T19:55:00Z</dcterms:created>
  <dcterms:modified xsi:type="dcterms:W3CDTF">2023-02-02T21:07:00Z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http://www.zotero.org/styles/journal-of-affective-disorders</vt:lpwstr>
  </property>
  <property fmtid="{D5CDD505-2E9C-101B-9397-08002B2CF9AE}" pid="13" name="Mendeley Recent Style Name 5_1">
    <vt:lpwstr>Journal of Affective Disorders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http://www.zotero.org/styles/molecular-psychiatry</vt:lpwstr>
  </property>
  <property fmtid="{D5CDD505-2E9C-101B-9397-08002B2CF9AE}" pid="17" name="Mendeley Recent Style Name 7_1">
    <vt:lpwstr>Molecular Psychiatry</vt:lpwstr>
  </property>
  <property fmtid="{D5CDD505-2E9C-101B-9397-08002B2CF9AE}" pid="18" name="Mendeley Recent Style Id 8_1">
    <vt:lpwstr>http://www.zotero.org/styles/the-pharmacogenomics-journal</vt:lpwstr>
  </property>
  <property fmtid="{D5CDD505-2E9C-101B-9397-08002B2CF9AE}" pid="19" name="Mendeley Recent Style Name 8_1">
    <vt:lpwstr>The Pharmacogenomics Journal</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