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1C56E" w14:textId="4C1CB302" w:rsidR="0067648A" w:rsidRDefault="00F86DFA" w:rsidP="00F86DFA">
      <w:pPr>
        <w:suppressAutoHyphens/>
        <w:spacing w:after="0" w:line="360" w:lineRule="auto"/>
        <w:jc w:val="center"/>
        <w:rPr>
          <w:rFonts w:ascii="Times New Roman" w:eastAsia="ヒラギノ角ゴ Pro W3" w:hAnsi="Times New Roman"/>
          <w:b/>
          <w:sz w:val="24"/>
          <w:szCs w:val="24"/>
        </w:rPr>
      </w:pPr>
      <w:r w:rsidRPr="00F86DFA">
        <w:rPr>
          <w:rFonts w:ascii="Times New Roman" w:eastAsia="ヒラギノ角ゴ Pro W3" w:hAnsi="Times New Roman"/>
          <w:b/>
          <w:sz w:val="24"/>
          <w:szCs w:val="24"/>
        </w:rPr>
        <w:t>Increased production of patho</w:t>
      </w:r>
      <w:bookmarkStart w:id="0" w:name="_GoBack"/>
      <w:bookmarkEnd w:id="0"/>
      <w:r w:rsidRPr="00F86DFA">
        <w:rPr>
          <w:rFonts w:ascii="Times New Roman" w:eastAsia="ヒラギノ角ゴ Pro W3" w:hAnsi="Times New Roman"/>
          <w:b/>
          <w:sz w:val="24"/>
          <w:szCs w:val="24"/>
        </w:rPr>
        <w:t>genic, airborne fungal spores upon exposure of a soil mycobiota to chlorinated aromatic hydrocarbon pollutants</w:t>
      </w:r>
    </w:p>
    <w:p w14:paraId="040C30F1" w14:textId="77777777" w:rsidR="00F86DFA" w:rsidRPr="00B040CF" w:rsidRDefault="00F86DFA" w:rsidP="0067648A">
      <w:pPr>
        <w:suppressAutoHyphens/>
        <w:spacing w:after="0" w:line="360" w:lineRule="auto"/>
        <w:jc w:val="both"/>
        <w:rPr>
          <w:rFonts w:ascii="Times New Roman" w:eastAsia="ヒラギノ角ゴ Pro W3" w:hAnsi="Times New Roman"/>
          <w:b/>
          <w:sz w:val="24"/>
          <w:szCs w:val="24"/>
        </w:rPr>
      </w:pPr>
    </w:p>
    <w:p w14:paraId="320FE71A" w14:textId="77777777" w:rsidR="0067648A" w:rsidRPr="00B040CF" w:rsidRDefault="0067648A" w:rsidP="0067648A">
      <w:pPr>
        <w:suppressAutoHyphens/>
        <w:spacing w:after="0" w:line="360" w:lineRule="auto"/>
        <w:jc w:val="both"/>
        <w:rPr>
          <w:rFonts w:ascii="Times New Roman" w:hAnsi="Times New Roman"/>
          <w:sz w:val="24"/>
          <w:szCs w:val="24"/>
          <w:lang w:val="pt-PT"/>
        </w:rPr>
      </w:pPr>
      <w:bookmarkStart w:id="1" w:name="_Hlk117179525"/>
      <w:r w:rsidRPr="00B040CF">
        <w:rPr>
          <w:rFonts w:ascii="Times New Roman" w:hAnsi="Times New Roman"/>
          <w:sz w:val="24"/>
          <w:szCs w:val="24"/>
          <w:lang w:val="pt-PT"/>
        </w:rPr>
        <w:t xml:space="preserve">Celso </w:t>
      </w:r>
      <w:proofErr w:type="spellStart"/>
      <w:r w:rsidRPr="00B040CF">
        <w:rPr>
          <w:rFonts w:ascii="Times New Roman" w:hAnsi="Times New Roman"/>
          <w:sz w:val="24"/>
          <w:szCs w:val="24"/>
          <w:lang w:val="pt-PT"/>
        </w:rPr>
        <w:t>Martins</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lang w:val="pt-PT"/>
        </w:rPr>
        <w:t xml:space="preserve">, </w:t>
      </w:r>
      <w:proofErr w:type="spellStart"/>
      <w:r w:rsidRPr="00B040CF">
        <w:rPr>
          <w:rFonts w:ascii="Times New Roman" w:hAnsi="Times New Roman"/>
          <w:sz w:val="24"/>
          <w:szCs w:val="24"/>
          <w:lang w:val="pt-PT"/>
        </w:rPr>
        <w:t>Daryna</w:t>
      </w:r>
      <w:proofErr w:type="spellEnd"/>
      <w:r w:rsidRPr="00B040CF">
        <w:rPr>
          <w:rFonts w:ascii="Times New Roman" w:hAnsi="Times New Roman"/>
          <w:sz w:val="24"/>
          <w:szCs w:val="24"/>
          <w:lang w:val="pt-PT"/>
        </w:rPr>
        <w:t xml:space="preserve"> </w:t>
      </w:r>
      <w:proofErr w:type="spellStart"/>
      <w:r w:rsidRPr="00B040CF">
        <w:rPr>
          <w:rFonts w:ascii="Times New Roman" w:hAnsi="Times New Roman"/>
          <w:sz w:val="24"/>
          <w:szCs w:val="24"/>
          <w:lang w:val="pt-PT"/>
        </w:rPr>
        <w:t>Piontkivska</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vertAlign w:val="superscript"/>
          <w:lang w:val="pt-PT"/>
        </w:rPr>
        <w:t>#</w:t>
      </w:r>
      <w:r w:rsidRPr="00B040CF">
        <w:rPr>
          <w:rFonts w:ascii="Times New Roman" w:hAnsi="Times New Roman"/>
          <w:sz w:val="24"/>
          <w:szCs w:val="24"/>
          <w:lang w:val="pt-PT"/>
        </w:rPr>
        <w:t>, Dalila Mil-</w:t>
      </w:r>
      <w:proofErr w:type="spellStart"/>
      <w:proofErr w:type="gramStart"/>
      <w:r w:rsidRPr="00B040CF">
        <w:rPr>
          <w:rFonts w:ascii="Times New Roman" w:hAnsi="Times New Roman"/>
          <w:sz w:val="24"/>
          <w:szCs w:val="24"/>
          <w:lang w:val="pt-PT"/>
        </w:rPr>
        <w:t>Homens</w:t>
      </w:r>
      <w:r w:rsidRPr="00B040CF">
        <w:rPr>
          <w:rFonts w:ascii="Times New Roman" w:hAnsi="Times New Roman"/>
          <w:sz w:val="24"/>
          <w:szCs w:val="24"/>
          <w:vertAlign w:val="superscript"/>
          <w:lang w:val="pt-PT"/>
        </w:rPr>
        <w:t>b</w:t>
      </w:r>
      <w:r>
        <w:rPr>
          <w:rFonts w:ascii="Times New Roman" w:hAnsi="Times New Roman"/>
          <w:sz w:val="24"/>
          <w:szCs w:val="24"/>
          <w:vertAlign w:val="superscript"/>
          <w:lang w:val="pt-PT"/>
        </w:rPr>
        <w:t>,c</w:t>
      </w:r>
      <w:proofErr w:type="spellEnd"/>
      <w:r w:rsidRPr="00B040CF">
        <w:rPr>
          <w:rFonts w:ascii="Times New Roman" w:hAnsi="Times New Roman"/>
          <w:sz w:val="24"/>
          <w:szCs w:val="24"/>
          <w:vertAlign w:val="superscript"/>
          <w:lang w:val="pt-PT"/>
        </w:rPr>
        <w:t>#</w:t>
      </w:r>
      <w:proofErr w:type="gramEnd"/>
      <w:r w:rsidRPr="00B040CF">
        <w:rPr>
          <w:rFonts w:ascii="Times New Roman" w:hAnsi="Times New Roman"/>
          <w:sz w:val="24"/>
          <w:szCs w:val="24"/>
          <w:lang w:val="pt-PT"/>
        </w:rPr>
        <w:t xml:space="preserve">, Paula </w:t>
      </w:r>
      <w:proofErr w:type="spellStart"/>
      <w:r w:rsidRPr="00B040CF">
        <w:rPr>
          <w:rFonts w:ascii="Times New Roman" w:hAnsi="Times New Roman"/>
          <w:sz w:val="24"/>
          <w:szCs w:val="24"/>
          <w:lang w:val="pt-PT"/>
        </w:rPr>
        <w:t>Guedes</w:t>
      </w:r>
      <w:r w:rsidRPr="00B040CF">
        <w:rPr>
          <w:rFonts w:ascii="Times New Roman" w:hAnsi="Times New Roman"/>
          <w:sz w:val="24"/>
          <w:szCs w:val="24"/>
          <w:vertAlign w:val="superscript"/>
          <w:lang w:val="pt-PT"/>
        </w:rPr>
        <w:t>a,</w:t>
      </w:r>
      <w:r>
        <w:rPr>
          <w:rFonts w:ascii="Times New Roman" w:hAnsi="Times New Roman"/>
          <w:sz w:val="24"/>
          <w:szCs w:val="24"/>
          <w:vertAlign w:val="superscript"/>
          <w:lang w:val="pt-PT"/>
        </w:rPr>
        <w:t>d</w:t>
      </w:r>
      <w:proofErr w:type="spellEnd"/>
      <w:r w:rsidRPr="00B040CF">
        <w:rPr>
          <w:rFonts w:ascii="Times New Roman" w:hAnsi="Times New Roman"/>
          <w:sz w:val="24"/>
          <w:szCs w:val="24"/>
          <w:lang w:val="pt-PT"/>
        </w:rPr>
        <w:t xml:space="preserve">, João M.P. </w:t>
      </w:r>
      <w:proofErr w:type="spellStart"/>
      <w:r w:rsidRPr="00B040CF">
        <w:rPr>
          <w:rFonts w:ascii="Times New Roman" w:hAnsi="Times New Roman"/>
          <w:sz w:val="24"/>
          <w:szCs w:val="24"/>
          <w:lang w:val="pt-PT"/>
        </w:rPr>
        <w:t>Jorge</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lang w:val="pt-PT"/>
        </w:rPr>
        <w:t xml:space="preserve">, João </w:t>
      </w:r>
      <w:proofErr w:type="spellStart"/>
      <w:r w:rsidRPr="00B040CF">
        <w:rPr>
          <w:rFonts w:ascii="Times New Roman" w:hAnsi="Times New Roman"/>
          <w:sz w:val="24"/>
          <w:szCs w:val="24"/>
          <w:lang w:val="pt-PT"/>
        </w:rPr>
        <w:t>Brinco</w:t>
      </w:r>
      <w:r>
        <w:rPr>
          <w:rFonts w:ascii="Times New Roman" w:hAnsi="Times New Roman"/>
          <w:sz w:val="24"/>
          <w:szCs w:val="24"/>
          <w:vertAlign w:val="superscript"/>
          <w:lang w:val="pt-PT"/>
        </w:rPr>
        <w:t>d</w:t>
      </w:r>
      <w:proofErr w:type="spellEnd"/>
      <w:r w:rsidRPr="00B040CF">
        <w:rPr>
          <w:rFonts w:ascii="Times New Roman" w:hAnsi="Times New Roman"/>
          <w:sz w:val="24"/>
          <w:szCs w:val="24"/>
          <w:lang w:val="pt-PT"/>
        </w:rPr>
        <w:t xml:space="preserve">,  Cátia </w:t>
      </w:r>
      <w:proofErr w:type="spellStart"/>
      <w:r w:rsidRPr="00B040CF">
        <w:rPr>
          <w:rFonts w:ascii="Times New Roman" w:hAnsi="Times New Roman"/>
          <w:sz w:val="24"/>
          <w:szCs w:val="24"/>
          <w:lang w:val="pt-PT"/>
        </w:rPr>
        <w:t>Bárria</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lang w:val="pt-PT"/>
        </w:rPr>
        <w:t xml:space="preserve">, Ariana C.F. </w:t>
      </w:r>
      <w:proofErr w:type="spellStart"/>
      <w:r w:rsidRPr="00B040CF">
        <w:rPr>
          <w:rFonts w:ascii="Times New Roman" w:hAnsi="Times New Roman"/>
          <w:sz w:val="24"/>
          <w:szCs w:val="24"/>
          <w:lang w:val="pt-PT"/>
        </w:rPr>
        <w:t>Santos</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lang w:val="pt-PT"/>
        </w:rPr>
        <w:t xml:space="preserve">, Ricardo </w:t>
      </w:r>
      <w:proofErr w:type="spellStart"/>
      <w:r w:rsidRPr="00B040CF">
        <w:rPr>
          <w:rFonts w:ascii="Times New Roman" w:hAnsi="Times New Roman"/>
          <w:sz w:val="24"/>
          <w:szCs w:val="24"/>
          <w:lang w:val="pt-PT"/>
        </w:rPr>
        <w:t>Barras</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lang w:val="pt-PT"/>
        </w:rPr>
        <w:t xml:space="preserve">, Cecília </w:t>
      </w:r>
      <w:proofErr w:type="spellStart"/>
      <w:r w:rsidRPr="00B040CF">
        <w:rPr>
          <w:rFonts w:ascii="Times New Roman" w:hAnsi="Times New Roman"/>
          <w:sz w:val="24"/>
          <w:szCs w:val="24"/>
          <w:lang w:val="pt-PT"/>
        </w:rPr>
        <w:t>Arraiano</w:t>
      </w:r>
      <w:r w:rsidRPr="00B040CF">
        <w:rPr>
          <w:rFonts w:ascii="Times New Roman" w:hAnsi="Times New Roman"/>
          <w:sz w:val="24"/>
          <w:szCs w:val="24"/>
          <w:vertAlign w:val="superscript"/>
          <w:lang w:val="pt-PT"/>
        </w:rPr>
        <w:t>a</w:t>
      </w:r>
      <w:proofErr w:type="spellEnd"/>
      <w:r w:rsidRPr="00B040CF">
        <w:rPr>
          <w:rFonts w:ascii="Times New Roman" w:hAnsi="Times New Roman"/>
          <w:sz w:val="24"/>
          <w:szCs w:val="24"/>
          <w:lang w:val="pt-PT"/>
        </w:rPr>
        <w:t xml:space="preserve">, Arsénio </w:t>
      </w:r>
      <w:proofErr w:type="spellStart"/>
      <w:r w:rsidRPr="00B040CF">
        <w:rPr>
          <w:rFonts w:ascii="Times New Roman" w:hAnsi="Times New Roman"/>
          <w:sz w:val="24"/>
          <w:szCs w:val="24"/>
          <w:lang w:val="pt-PT"/>
        </w:rPr>
        <w:t>Fialho</w:t>
      </w:r>
      <w:r w:rsidRPr="00B040CF">
        <w:rPr>
          <w:rFonts w:ascii="Times New Roman" w:hAnsi="Times New Roman"/>
          <w:sz w:val="24"/>
          <w:szCs w:val="24"/>
          <w:vertAlign w:val="superscript"/>
          <w:lang w:val="pt-PT"/>
        </w:rPr>
        <w:t>b</w:t>
      </w:r>
      <w:r>
        <w:rPr>
          <w:rFonts w:ascii="Times New Roman" w:hAnsi="Times New Roman"/>
          <w:sz w:val="24"/>
          <w:szCs w:val="24"/>
          <w:vertAlign w:val="superscript"/>
          <w:lang w:val="pt-PT"/>
        </w:rPr>
        <w:t>,c</w:t>
      </w:r>
      <w:proofErr w:type="spellEnd"/>
      <w:r w:rsidRPr="00B040CF">
        <w:rPr>
          <w:rFonts w:ascii="Times New Roman" w:hAnsi="Times New Roman"/>
          <w:sz w:val="24"/>
          <w:szCs w:val="24"/>
          <w:lang w:val="pt-PT"/>
        </w:rPr>
        <w:t xml:space="preserve">, Gustavo </w:t>
      </w:r>
      <w:r>
        <w:rPr>
          <w:rFonts w:ascii="Times New Roman" w:hAnsi="Times New Roman"/>
          <w:sz w:val="24"/>
          <w:szCs w:val="24"/>
          <w:lang w:val="pt-PT"/>
        </w:rPr>
        <w:t xml:space="preserve">H. </w:t>
      </w:r>
      <w:proofErr w:type="spellStart"/>
      <w:r w:rsidRPr="00B040CF">
        <w:rPr>
          <w:rFonts w:ascii="Times New Roman" w:hAnsi="Times New Roman"/>
          <w:sz w:val="24"/>
          <w:szCs w:val="24"/>
          <w:lang w:val="pt-PT"/>
        </w:rPr>
        <w:t>Goldman</w:t>
      </w:r>
      <w:r w:rsidRPr="00B040CF">
        <w:rPr>
          <w:rFonts w:ascii="Times New Roman" w:hAnsi="Times New Roman"/>
          <w:sz w:val="24"/>
          <w:szCs w:val="24"/>
          <w:vertAlign w:val="superscript"/>
          <w:lang w:val="pt-PT"/>
        </w:rPr>
        <w:t>a,</w:t>
      </w:r>
      <w:r>
        <w:rPr>
          <w:rFonts w:ascii="Times New Roman" w:hAnsi="Times New Roman"/>
          <w:sz w:val="24"/>
          <w:szCs w:val="24"/>
          <w:vertAlign w:val="superscript"/>
          <w:lang w:val="pt-PT"/>
        </w:rPr>
        <w:t>e</w:t>
      </w:r>
      <w:proofErr w:type="spellEnd"/>
      <w:r w:rsidRPr="00B040CF">
        <w:rPr>
          <w:rFonts w:ascii="Times New Roman" w:hAnsi="Times New Roman"/>
          <w:sz w:val="24"/>
          <w:szCs w:val="24"/>
          <w:lang w:val="pt-PT"/>
        </w:rPr>
        <w:t xml:space="preserve">, Cristina Silva </w:t>
      </w:r>
      <w:proofErr w:type="spellStart"/>
      <w:r w:rsidRPr="00B040CF">
        <w:rPr>
          <w:rFonts w:ascii="Times New Roman" w:hAnsi="Times New Roman"/>
          <w:sz w:val="24"/>
          <w:szCs w:val="24"/>
          <w:lang w:val="pt-PT"/>
        </w:rPr>
        <w:t>Pereira</w:t>
      </w:r>
      <w:r w:rsidRPr="00B040CF">
        <w:rPr>
          <w:rFonts w:ascii="Times New Roman" w:hAnsi="Times New Roman"/>
          <w:sz w:val="24"/>
          <w:szCs w:val="24"/>
          <w:vertAlign w:val="superscript"/>
          <w:lang w:val="pt-PT"/>
        </w:rPr>
        <w:t>a</w:t>
      </w:r>
      <w:proofErr w:type="spellEnd"/>
    </w:p>
    <w:bookmarkEnd w:id="1"/>
    <w:p w14:paraId="272197A1" w14:textId="77777777" w:rsidR="0067648A" w:rsidRPr="00B040CF" w:rsidRDefault="0067648A" w:rsidP="0067648A">
      <w:pPr>
        <w:pStyle w:val="AbstractSummary"/>
        <w:shd w:val="clear" w:color="auto" w:fill="FFFFFF"/>
        <w:suppressAutoHyphens/>
        <w:spacing w:before="0" w:line="360" w:lineRule="auto"/>
        <w:jc w:val="both"/>
        <w:rPr>
          <w:lang w:val="pt-PT"/>
        </w:rPr>
      </w:pPr>
    </w:p>
    <w:p w14:paraId="4EC2C465" w14:textId="77777777" w:rsidR="0067648A" w:rsidRPr="00B040CF" w:rsidRDefault="0067648A" w:rsidP="0067648A">
      <w:pPr>
        <w:pStyle w:val="AbstractSummary"/>
        <w:shd w:val="clear" w:color="auto" w:fill="FFFFFF"/>
        <w:suppressAutoHyphens/>
        <w:spacing w:before="0"/>
        <w:jc w:val="both"/>
        <w:rPr>
          <w:rFonts w:eastAsia="Calibri"/>
          <w:sz w:val="20"/>
          <w:szCs w:val="20"/>
          <w:lang w:val="pt-PT"/>
        </w:rPr>
      </w:pPr>
      <w:proofErr w:type="spellStart"/>
      <w:r w:rsidRPr="00B040CF">
        <w:rPr>
          <w:rFonts w:eastAsia="Calibri"/>
          <w:sz w:val="20"/>
          <w:szCs w:val="20"/>
          <w:vertAlign w:val="superscript"/>
          <w:lang w:val="pt-PT"/>
        </w:rPr>
        <w:t>a</w:t>
      </w:r>
      <w:r w:rsidRPr="00B040CF">
        <w:rPr>
          <w:rFonts w:eastAsia="Calibri"/>
          <w:sz w:val="20"/>
          <w:szCs w:val="20"/>
          <w:lang w:val="pt-PT"/>
        </w:rPr>
        <w:t>Instituto</w:t>
      </w:r>
      <w:proofErr w:type="spellEnd"/>
      <w:r w:rsidRPr="00B040CF">
        <w:rPr>
          <w:rFonts w:eastAsia="Calibri"/>
          <w:sz w:val="20"/>
          <w:szCs w:val="20"/>
          <w:lang w:val="pt-PT"/>
        </w:rPr>
        <w:t xml:space="preserve"> de Tecnologia Química e Biológica António Xavier, Universidade Nova de Lisboa (ITQB NOVA), Av. da República, 2780-157, Oeiras, Portugal</w:t>
      </w:r>
    </w:p>
    <w:p w14:paraId="20F5266B" w14:textId="77777777" w:rsidR="0067648A" w:rsidRDefault="0067648A" w:rsidP="0067648A">
      <w:pPr>
        <w:pStyle w:val="AbstractSummary"/>
        <w:shd w:val="clear" w:color="auto" w:fill="FFFFFF"/>
        <w:suppressAutoHyphens/>
        <w:spacing w:before="0"/>
        <w:jc w:val="both"/>
        <w:rPr>
          <w:sz w:val="20"/>
          <w:szCs w:val="20"/>
          <w:lang w:val="pt-PT"/>
        </w:rPr>
      </w:pPr>
      <w:proofErr w:type="spellStart"/>
      <w:r w:rsidRPr="00A120F9">
        <w:rPr>
          <w:rFonts w:eastAsia="Calibri"/>
          <w:sz w:val="20"/>
          <w:szCs w:val="20"/>
          <w:vertAlign w:val="superscript"/>
          <w:lang w:val="en-GB"/>
        </w:rPr>
        <w:t>b</w:t>
      </w:r>
      <w:r w:rsidRPr="00A120F9">
        <w:rPr>
          <w:sz w:val="20"/>
          <w:szCs w:val="20"/>
          <w:lang w:val="en-GB"/>
        </w:rPr>
        <w:t>Institute</w:t>
      </w:r>
      <w:proofErr w:type="spellEnd"/>
      <w:r w:rsidRPr="00A120F9">
        <w:rPr>
          <w:sz w:val="20"/>
          <w:szCs w:val="20"/>
          <w:lang w:val="en-GB"/>
        </w:rPr>
        <w:t xml:space="preserve"> for Bioengineering and Biosciences (</w:t>
      </w:r>
      <w:proofErr w:type="spellStart"/>
      <w:r w:rsidRPr="00A120F9">
        <w:rPr>
          <w:sz w:val="20"/>
          <w:szCs w:val="20"/>
          <w:lang w:val="en-GB"/>
        </w:rPr>
        <w:t>iBB</w:t>
      </w:r>
      <w:proofErr w:type="spellEnd"/>
      <w:r w:rsidRPr="00A120F9">
        <w:rPr>
          <w:sz w:val="20"/>
          <w:szCs w:val="20"/>
          <w:lang w:val="en-GB"/>
        </w:rPr>
        <w:t xml:space="preserve">) and Institute for Health and </w:t>
      </w:r>
      <w:proofErr w:type="spellStart"/>
      <w:r w:rsidRPr="00A120F9">
        <w:rPr>
          <w:sz w:val="20"/>
          <w:szCs w:val="20"/>
          <w:lang w:val="en-GB"/>
        </w:rPr>
        <w:t>Bioeconomy</w:t>
      </w:r>
      <w:proofErr w:type="spellEnd"/>
      <w:r w:rsidRPr="00A120F9">
        <w:rPr>
          <w:sz w:val="20"/>
          <w:szCs w:val="20"/>
          <w:lang w:val="en-GB"/>
        </w:rPr>
        <w:t xml:space="preserve"> (i4HB), Instituto Superior Técnico, University of Lisbon, Av. </w:t>
      </w:r>
      <w:r w:rsidRPr="00B040CF">
        <w:rPr>
          <w:sz w:val="20"/>
          <w:szCs w:val="20"/>
          <w:lang w:val="pt-PT"/>
        </w:rPr>
        <w:t>Rovisco Pais, 1049-001 Lisboa, Portugal</w:t>
      </w:r>
      <w:r w:rsidRPr="00B040CF" w:rsidDel="00220D8D">
        <w:rPr>
          <w:sz w:val="20"/>
          <w:szCs w:val="20"/>
          <w:lang w:val="pt-PT"/>
        </w:rPr>
        <w:t xml:space="preserve"> </w:t>
      </w:r>
    </w:p>
    <w:p w14:paraId="77CF9489" w14:textId="77777777" w:rsidR="0067648A" w:rsidRPr="00AD65B2" w:rsidRDefault="0067648A" w:rsidP="0067648A">
      <w:pPr>
        <w:pStyle w:val="AbstractSummary"/>
        <w:shd w:val="clear" w:color="auto" w:fill="FFFFFF"/>
        <w:suppressAutoHyphens/>
        <w:spacing w:before="0"/>
        <w:jc w:val="both"/>
        <w:rPr>
          <w:sz w:val="20"/>
          <w:szCs w:val="20"/>
          <w:lang w:val="pt-PT"/>
        </w:rPr>
      </w:pPr>
      <w:proofErr w:type="spellStart"/>
      <w:r w:rsidRPr="004E66BD">
        <w:rPr>
          <w:sz w:val="20"/>
          <w:szCs w:val="20"/>
          <w:vertAlign w:val="superscript"/>
          <w:lang w:val="en-GB"/>
        </w:rPr>
        <w:t>c</w:t>
      </w:r>
      <w:r w:rsidRPr="004E66BD">
        <w:rPr>
          <w:sz w:val="20"/>
          <w:szCs w:val="20"/>
          <w:lang w:val="en-GB"/>
        </w:rPr>
        <w:t>Department</w:t>
      </w:r>
      <w:proofErr w:type="spellEnd"/>
      <w:r w:rsidRPr="004E66BD">
        <w:rPr>
          <w:sz w:val="20"/>
          <w:szCs w:val="20"/>
          <w:lang w:val="en-GB"/>
        </w:rPr>
        <w:t xml:space="preserve"> of Bioengineering, Instituto Superior Técnico, University of Lisbon, Av. </w:t>
      </w:r>
      <w:r w:rsidRPr="00AD65B2">
        <w:rPr>
          <w:sz w:val="20"/>
          <w:szCs w:val="20"/>
          <w:lang w:val="pt-PT"/>
        </w:rPr>
        <w:t>Rovisco Pais, 1049-001 Lisboa, Portugal</w:t>
      </w:r>
    </w:p>
    <w:p w14:paraId="7182386A" w14:textId="77777777" w:rsidR="0067648A" w:rsidRPr="00A120F9" w:rsidRDefault="0067648A" w:rsidP="0067648A">
      <w:pPr>
        <w:pStyle w:val="AbstractSummary"/>
        <w:shd w:val="clear" w:color="auto" w:fill="FFFFFF"/>
        <w:suppressAutoHyphens/>
        <w:spacing w:before="0"/>
        <w:jc w:val="both"/>
        <w:rPr>
          <w:color w:val="000000" w:themeColor="text1"/>
          <w:sz w:val="20"/>
          <w:szCs w:val="20"/>
          <w:lang w:val="en-GB"/>
        </w:rPr>
      </w:pPr>
      <w:r w:rsidRPr="00A120F9">
        <w:rPr>
          <w:color w:val="000000" w:themeColor="text1"/>
          <w:sz w:val="20"/>
          <w:szCs w:val="20"/>
          <w:vertAlign w:val="superscript"/>
          <w:lang w:val="en-GB"/>
        </w:rPr>
        <w:t>d</w:t>
      </w:r>
      <w:r w:rsidRPr="00621A97">
        <w:rPr>
          <w:color w:val="000000" w:themeColor="text1"/>
          <w:sz w:val="20"/>
          <w:szCs w:val="20"/>
        </w:rPr>
        <w:t xml:space="preserve">CENSE – Center for Environmental and Sustainability Research &amp; CHANGE - Global Change and Sustainability Institute, NOVA School of Science and Technology, NOVA University Lisbon, Campus de </w:t>
      </w:r>
      <w:proofErr w:type="spellStart"/>
      <w:r w:rsidRPr="00621A97">
        <w:rPr>
          <w:color w:val="000000" w:themeColor="text1"/>
          <w:sz w:val="20"/>
          <w:szCs w:val="20"/>
        </w:rPr>
        <w:t>Caparica</w:t>
      </w:r>
      <w:proofErr w:type="spellEnd"/>
      <w:r w:rsidRPr="00621A97">
        <w:rPr>
          <w:color w:val="000000" w:themeColor="text1"/>
          <w:sz w:val="20"/>
          <w:szCs w:val="20"/>
        </w:rPr>
        <w:t xml:space="preserve">, 2829-516 </w:t>
      </w:r>
      <w:proofErr w:type="spellStart"/>
      <w:r w:rsidRPr="00621A97">
        <w:rPr>
          <w:color w:val="000000" w:themeColor="text1"/>
          <w:sz w:val="20"/>
          <w:szCs w:val="20"/>
        </w:rPr>
        <w:t>Caparica</w:t>
      </w:r>
      <w:proofErr w:type="spellEnd"/>
      <w:r w:rsidRPr="00621A97">
        <w:rPr>
          <w:color w:val="000000" w:themeColor="text1"/>
          <w:sz w:val="20"/>
          <w:szCs w:val="20"/>
        </w:rPr>
        <w:t>, Portugal</w:t>
      </w:r>
    </w:p>
    <w:p w14:paraId="6AC1E3D4" w14:textId="77777777" w:rsidR="00FB10C7" w:rsidRDefault="0067648A" w:rsidP="0067648A">
      <w:pPr>
        <w:spacing w:after="0" w:line="240" w:lineRule="auto"/>
        <w:jc w:val="both"/>
        <w:rPr>
          <w:rFonts w:ascii="Times New Roman" w:eastAsia="Times New Roman" w:hAnsi="Times New Roman"/>
          <w:color w:val="000000" w:themeColor="text1"/>
          <w:sz w:val="20"/>
          <w:szCs w:val="20"/>
          <w:lang w:val="pt-PT"/>
        </w:rPr>
      </w:pPr>
      <w:proofErr w:type="spellStart"/>
      <w:r>
        <w:rPr>
          <w:rFonts w:ascii="Times New Roman" w:eastAsia="Times New Roman" w:hAnsi="Times New Roman"/>
          <w:color w:val="000000" w:themeColor="text1"/>
          <w:sz w:val="20"/>
          <w:szCs w:val="20"/>
          <w:vertAlign w:val="superscript"/>
          <w:lang w:val="pt-PT"/>
        </w:rPr>
        <w:t>e</w:t>
      </w:r>
      <w:r w:rsidRPr="00B040CF">
        <w:rPr>
          <w:rFonts w:ascii="Times New Roman" w:eastAsia="Times New Roman" w:hAnsi="Times New Roman"/>
          <w:color w:val="000000" w:themeColor="text1"/>
          <w:sz w:val="20"/>
          <w:szCs w:val="20"/>
          <w:lang w:val="pt-PT"/>
        </w:rPr>
        <w:t>Faculdade</w:t>
      </w:r>
      <w:proofErr w:type="spellEnd"/>
      <w:r w:rsidRPr="00B040CF">
        <w:rPr>
          <w:rFonts w:ascii="Times New Roman" w:eastAsia="Times New Roman" w:hAnsi="Times New Roman"/>
          <w:color w:val="000000" w:themeColor="text1"/>
          <w:sz w:val="20"/>
          <w:szCs w:val="20"/>
          <w:lang w:val="pt-PT"/>
        </w:rPr>
        <w:t xml:space="preserve"> de Ciências Farmacêuticas de Ribeirão Preto, Universidade de São Paulo, Ribeirão Preto, </w:t>
      </w:r>
      <w:proofErr w:type="spellStart"/>
      <w:r w:rsidRPr="00B040CF">
        <w:rPr>
          <w:rFonts w:ascii="Times New Roman" w:eastAsia="Times New Roman" w:hAnsi="Times New Roman"/>
          <w:color w:val="000000" w:themeColor="text1"/>
          <w:sz w:val="20"/>
          <w:szCs w:val="20"/>
          <w:lang w:val="pt-PT"/>
        </w:rPr>
        <w:t>Brazil</w:t>
      </w:r>
      <w:proofErr w:type="spellEnd"/>
    </w:p>
    <w:p w14:paraId="2BBB2309" w14:textId="6A7A3E11" w:rsidR="0067648A" w:rsidRPr="00FB10C7" w:rsidRDefault="00FB10C7" w:rsidP="0067648A">
      <w:pPr>
        <w:spacing w:after="0" w:line="240" w:lineRule="auto"/>
        <w:jc w:val="both"/>
        <w:rPr>
          <w:rFonts w:ascii="Times New Roman" w:eastAsia="Times New Roman" w:hAnsi="Times New Roman"/>
          <w:color w:val="000000" w:themeColor="text1"/>
          <w:sz w:val="20"/>
          <w:szCs w:val="20"/>
        </w:rPr>
      </w:pPr>
      <w:r w:rsidRPr="00FB10C7">
        <w:rPr>
          <w:rFonts w:ascii="Times New Roman" w:eastAsia="Times New Roman" w:hAnsi="Times New Roman"/>
          <w:color w:val="000000" w:themeColor="text1"/>
          <w:sz w:val="20"/>
          <w:szCs w:val="20"/>
        </w:rPr>
        <w:t>#</w:t>
      </w:r>
      <w:r w:rsidRPr="00FB10C7">
        <w:rPr>
          <w:rFonts w:ascii="Times New Roman" w:eastAsia="Times New Roman" w:hAnsi="Times New Roman"/>
          <w:i/>
          <w:color w:val="000000" w:themeColor="text1"/>
          <w:sz w:val="20"/>
          <w:szCs w:val="20"/>
        </w:rPr>
        <w:t>equal contributing authors</w:t>
      </w:r>
      <w:r w:rsidR="0067648A" w:rsidRPr="00FB10C7">
        <w:rPr>
          <w:rFonts w:ascii="Times New Roman" w:eastAsia="Times New Roman" w:hAnsi="Times New Roman"/>
          <w:color w:val="000000" w:themeColor="text1"/>
          <w:sz w:val="20"/>
          <w:szCs w:val="20"/>
        </w:rPr>
        <w:t xml:space="preserve"> </w:t>
      </w:r>
    </w:p>
    <w:p w14:paraId="453BD2BB" w14:textId="77777777" w:rsidR="0067648A" w:rsidRPr="00FB10C7" w:rsidRDefault="0067648A" w:rsidP="0067648A">
      <w:pPr>
        <w:pStyle w:val="BBAuthorName"/>
        <w:spacing w:after="0" w:line="240" w:lineRule="auto"/>
        <w:jc w:val="both"/>
        <w:rPr>
          <w:rFonts w:ascii="Times New Roman" w:hAnsi="Times New Roman"/>
          <w:sz w:val="20"/>
          <w:lang w:val="en-GB"/>
        </w:rPr>
      </w:pPr>
      <w:r w:rsidRPr="00FB10C7">
        <w:rPr>
          <w:rFonts w:ascii="Times New Roman" w:hAnsi="Times New Roman"/>
          <w:sz w:val="20"/>
          <w:vertAlign w:val="superscript"/>
          <w:lang w:val="en-GB"/>
        </w:rPr>
        <w:t>*</w:t>
      </w:r>
      <w:r w:rsidRPr="00FB10C7">
        <w:rPr>
          <w:rFonts w:ascii="Times New Roman" w:hAnsi="Times New Roman"/>
          <w:sz w:val="20"/>
          <w:lang w:val="en-GB"/>
        </w:rPr>
        <w:t>corresponding author: Cristina Silva Pereira (spereira@itqb.unl.pt)</w:t>
      </w:r>
    </w:p>
    <w:p w14:paraId="0E9C905A" w14:textId="07FD6DC6" w:rsidR="00AF7CD1" w:rsidRPr="00AC4A03" w:rsidRDefault="00AF7CD1" w:rsidP="005920CE">
      <w:pPr>
        <w:spacing w:after="0" w:line="360" w:lineRule="auto"/>
        <w:ind w:left="720" w:hanging="720"/>
        <w:rPr>
          <w:rFonts w:ascii="Times New Roman" w:hAnsi="Times New Roman" w:cs="Times New Roman"/>
          <w:lang w:val="pt-PT"/>
        </w:rPr>
      </w:pPr>
      <w:r w:rsidRPr="00AC4A03">
        <w:rPr>
          <w:rFonts w:ascii="Times New Roman" w:hAnsi="Times New Roman" w:cs="Times New Roman"/>
          <w:lang w:val="pt-PT"/>
        </w:rPr>
        <w:br w:type="page"/>
      </w:r>
    </w:p>
    <w:p w14:paraId="7EF442E6" w14:textId="6B345606" w:rsidR="009B6468" w:rsidRPr="00AC4A03" w:rsidRDefault="009B6468" w:rsidP="00505CEA">
      <w:pPr>
        <w:pStyle w:val="Paragraph"/>
        <w:suppressAutoHyphens/>
        <w:spacing w:before="0" w:line="360" w:lineRule="auto"/>
        <w:ind w:firstLine="0"/>
        <w:contextualSpacing/>
        <w:jc w:val="both"/>
        <w:rPr>
          <w:b/>
          <w:bCs/>
          <w:lang w:val="en-GB"/>
        </w:rPr>
      </w:pPr>
      <w:r w:rsidRPr="00AC4A03">
        <w:rPr>
          <w:b/>
          <w:bCs/>
          <w:lang w:val="en-GB"/>
        </w:rPr>
        <w:lastRenderedPageBreak/>
        <w:t>Full description of Materials and Methods</w:t>
      </w:r>
    </w:p>
    <w:p w14:paraId="51D5177E" w14:textId="76F32B97" w:rsidR="009B6468" w:rsidRPr="00AC4A03" w:rsidRDefault="009B6468" w:rsidP="00505CEA">
      <w:pPr>
        <w:pStyle w:val="Paragraph"/>
        <w:suppressAutoHyphens/>
        <w:spacing w:before="0" w:line="360" w:lineRule="auto"/>
        <w:ind w:firstLine="0"/>
        <w:contextualSpacing/>
        <w:jc w:val="both"/>
        <w:rPr>
          <w:b/>
          <w:bCs/>
          <w:lang w:val="en-GB"/>
        </w:rPr>
      </w:pPr>
    </w:p>
    <w:p w14:paraId="22DA33E2" w14:textId="77777777" w:rsidR="00AC5C81" w:rsidRPr="00AC4A03" w:rsidRDefault="00AC5C81" w:rsidP="00AC5C81">
      <w:pPr>
        <w:suppressAutoHyphens/>
        <w:spacing w:after="0" w:line="360" w:lineRule="auto"/>
        <w:contextualSpacing/>
        <w:jc w:val="both"/>
        <w:rPr>
          <w:rFonts w:ascii="Times New Roman" w:eastAsia="Times New Roman" w:hAnsi="Times New Roman" w:cs="Times New Roman"/>
          <w:sz w:val="24"/>
          <w:szCs w:val="24"/>
        </w:rPr>
      </w:pPr>
      <w:r w:rsidRPr="00AC4A03">
        <w:rPr>
          <w:rFonts w:ascii="Times New Roman" w:eastAsia="Times New Roman" w:hAnsi="Times New Roman" w:cs="Times New Roman"/>
          <w:b/>
          <w:sz w:val="24"/>
          <w:szCs w:val="24"/>
        </w:rPr>
        <w:t>Chemicals.</w:t>
      </w:r>
      <w:r w:rsidRPr="00AC4A03">
        <w:rPr>
          <w:rFonts w:ascii="Times New Roman" w:eastAsia="Times New Roman" w:hAnsi="Times New Roman" w:cs="Times New Roman"/>
          <w:sz w:val="24"/>
          <w:szCs w:val="24"/>
        </w:rPr>
        <w:t xml:space="preserve"> Unless stated otherwise, all chemicals were purchased from Merck (Germany) at the highest purity grade available.</w:t>
      </w:r>
    </w:p>
    <w:p w14:paraId="6AE80542" w14:textId="77777777" w:rsidR="00AC5C81" w:rsidRPr="00902969" w:rsidRDefault="00AC5C81" w:rsidP="00505CEA">
      <w:pPr>
        <w:suppressAutoHyphens/>
        <w:spacing w:after="0" w:line="360" w:lineRule="auto"/>
        <w:contextualSpacing/>
        <w:jc w:val="both"/>
        <w:rPr>
          <w:rFonts w:ascii="Times New Roman" w:eastAsia="Times New Roman" w:hAnsi="Times New Roman" w:cs="Times New Roman"/>
          <w:b/>
          <w:sz w:val="24"/>
          <w:szCs w:val="24"/>
        </w:rPr>
      </w:pPr>
    </w:p>
    <w:p w14:paraId="2D7BCD2F" w14:textId="3E3A605C" w:rsidR="009B6468" w:rsidRPr="00AC4A03" w:rsidRDefault="009B6468" w:rsidP="00505CEA">
      <w:pPr>
        <w:suppressAutoHyphens/>
        <w:spacing w:after="0" w:line="360" w:lineRule="auto"/>
        <w:contextualSpacing/>
        <w:jc w:val="both"/>
        <w:rPr>
          <w:rFonts w:ascii="Times New Roman" w:eastAsia="Times New Roman" w:hAnsi="Times New Roman" w:cs="Times New Roman"/>
          <w:sz w:val="24"/>
          <w:szCs w:val="24"/>
        </w:rPr>
      </w:pPr>
      <w:r w:rsidRPr="00AC4A03">
        <w:rPr>
          <w:rFonts w:ascii="Times New Roman" w:eastAsia="Times New Roman" w:hAnsi="Times New Roman" w:cs="Times New Roman"/>
          <w:b/>
          <w:sz w:val="24"/>
          <w:szCs w:val="24"/>
        </w:rPr>
        <w:t>MC3000</w:t>
      </w:r>
      <w:r w:rsidR="00DC7986">
        <w:rPr>
          <w:rFonts w:ascii="Times New Roman" w:eastAsia="Times New Roman" w:hAnsi="Times New Roman" w:cs="Times New Roman"/>
          <w:b/>
          <w:sz w:val="24"/>
          <w:szCs w:val="24"/>
        </w:rPr>
        <w:t xml:space="preserve">. </w:t>
      </w:r>
      <w:r w:rsidRPr="00AC4A03">
        <w:rPr>
          <w:rFonts w:ascii="Times New Roman" w:eastAsia="Times New Roman" w:hAnsi="Times New Roman" w:cs="Times New Roman"/>
          <w:sz w:val="24"/>
          <w:szCs w:val="24"/>
        </w:rPr>
        <w:t xml:space="preserve">The incubation boxes of the MC3000 system were built in polylactic acid printing filament, using an </w:t>
      </w:r>
      <w:proofErr w:type="spellStart"/>
      <w:r w:rsidRPr="00AC4A03">
        <w:rPr>
          <w:rFonts w:ascii="Times New Roman" w:eastAsia="Times New Roman" w:hAnsi="Times New Roman" w:cs="Times New Roman"/>
          <w:sz w:val="24"/>
          <w:szCs w:val="24"/>
        </w:rPr>
        <w:t>Anet</w:t>
      </w:r>
      <w:proofErr w:type="spellEnd"/>
      <w:r w:rsidRPr="00AC4A03">
        <w:rPr>
          <w:rFonts w:ascii="Times New Roman" w:eastAsia="Times New Roman" w:hAnsi="Times New Roman" w:cs="Times New Roman"/>
          <w:sz w:val="24"/>
          <w:szCs w:val="24"/>
        </w:rPr>
        <w:t xml:space="preserve"> A6 3D printer. Three distinct parts compose the incubation boxes: lid, collection box and filter adaptor (Figure 1a). An electr</w:t>
      </w:r>
      <w:r w:rsidR="00ED0CB9">
        <w:rPr>
          <w:rFonts w:ascii="Times New Roman" w:eastAsia="Times New Roman" w:hAnsi="Times New Roman" w:cs="Times New Roman"/>
          <w:sz w:val="24"/>
          <w:szCs w:val="24"/>
        </w:rPr>
        <w:t>onic</w:t>
      </w:r>
      <w:r w:rsidRPr="00AC4A03">
        <w:rPr>
          <w:rFonts w:ascii="Times New Roman" w:eastAsia="Times New Roman" w:hAnsi="Times New Roman" w:cs="Times New Roman"/>
          <w:sz w:val="24"/>
          <w:szCs w:val="24"/>
        </w:rPr>
        <w:t xml:space="preserve"> circuit (Figure 1b) was built to operate the motors t</w:t>
      </w:r>
      <w:r w:rsidR="00ED0CB9">
        <w:rPr>
          <w:rFonts w:ascii="Times New Roman" w:eastAsia="Times New Roman" w:hAnsi="Times New Roman" w:cs="Times New Roman"/>
          <w:sz w:val="24"/>
          <w:szCs w:val="24"/>
        </w:rPr>
        <w:t>o</w:t>
      </w:r>
      <w:r w:rsidRPr="00AC4A03">
        <w:rPr>
          <w:rFonts w:ascii="Times New Roman" w:eastAsia="Times New Roman" w:hAnsi="Times New Roman" w:cs="Times New Roman"/>
          <w:sz w:val="24"/>
          <w:szCs w:val="24"/>
        </w:rPr>
        <w:t xml:space="preserve"> spin fans at steady speed, ensuring air circulation inside the incubation box. The circuit is powered by a DC adapter (4.5 V) and regulated with </w:t>
      </w:r>
      <w:proofErr w:type="spellStart"/>
      <w:r w:rsidRPr="00AC4A03">
        <w:rPr>
          <w:rFonts w:ascii="Times New Roman" w:eastAsia="Times New Roman" w:hAnsi="Times New Roman" w:cs="Times New Roman"/>
          <w:sz w:val="24"/>
          <w:szCs w:val="24"/>
        </w:rPr>
        <w:t>zener</w:t>
      </w:r>
      <w:proofErr w:type="spellEnd"/>
      <w:r w:rsidRPr="00AC4A03">
        <w:rPr>
          <w:rFonts w:ascii="Times New Roman" w:eastAsia="Times New Roman" w:hAnsi="Times New Roman" w:cs="Times New Roman"/>
          <w:sz w:val="24"/>
          <w:szCs w:val="24"/>
        </w:rPr>
        <w:t xml:space="preserve"> diodes (3.3 V). Fusing resistors (2 Watts) were used to protect the motors (3 V). This circuit allowed </w:t>
      </w:r>
      <w:r w:rsidR="00ED0CB9">
        <w:rPr>
          <w:rFonts w:ascii="Times New Roman" w:eastAsia="Times New Roman" w:hAnsi="Times New Roman" w:cs="Times New Roman"/>
          <w:sz w:val="24"/>
          <w:szCs w:val="24"/>
        </w:rPr>
        <w:t xml:space="preserve">for control of air turbulence, the intensity of which </w:t>
      </w:r>
      <w:r w:rsidRPr="00AC4A03">
        <w:rPr>
          <w:rFonts w:ascii="Times New Roman" w:eastAsia="Times New Roman" w:hAnsi="Times New Roman" w:cs="Times New Roman"/>
          <w:sz w:val="24"/>
          <w:szCs w:val="24"/>
        </w:rPr>
        <w:t>was maintained in all experiments.</w:t>
      </w:r>
    </w:p>
    <w:p w14:paraId="017B52FA" w14:textId="0E04510F" w:rsidR="009B6468" w:rsidRPr="00AC4A03" w:rsidRDefault="009B6468" w:rsidP="00505CEA">
      <w:pPr>
        <w:suppressAutoHyphens/>
        <w:spacing w:after="0" w:line="360" w:lineRule="auto"/>
        <w:contextualSpacing/>
        <w:jc w:val="both"/>
        <w:rPr>
          <w:rFonts w:ascii="Times New Roman" w:eastAsia="Times New Roman" w:hAnsi="Times New Roman" w:cs="Times New Roman"/>
          <w:b/>
          <w:sz w:val="24"/>
          <w:szCs w:val="24"/>
        </w:rPr>
      </w:pPr>
    </w:p>
    <w:p w14:paraId="38B789F3" w14:textId="14A6B817" w:rsidR="001A1D31" w:rsidRPr="00AC4A03" w:rsidRDefault="00821E92" w:rsidP="001A1D31">
      <w:pPr>
        <w:suppressAutoHyphens/>
        <w:spacing w:after="0" w:line="360" w:lineRule="auto"/>
        <w:contextualSpacing/>
        <w:jc w:val="both"/>
        <w:rPr>
          <w:rFonts w:ascii="Times New Roman" w:eastAsia="Times New Roman" w:hAnsi="Times New Roman" w:cs="Times New Roman"/>
          <w:color w:val="000000" w:themeColor="text1"/>
          <w:sz w:val="24"/>
          <w:szCs w:val="24"/>
        </w:rPr>
      </w:pPr>
      <w:r w:rsidRPr="00AC4A03">
        <w:rPr>
          <w:rFonts w:ascii="Times New Roman" w:eastAsia="Times New Roman" w:hAnsi="Times New Roman" w:cs="Times New Roman"/>
          <w:b/>
          <w:sz w:val="24"/>
          <w:szCs w:val="24"/>
        </w:rPr>
        <w:t>Soil mycobiota assays.</w:t>
      </w:r>
      <w:r w:rsidRPr="00AC4A03">
        <w:rPr>
          <w:rFonts w:ascii="Times New Roman" w:eastAsia="Times New Roman" w:hAnsi="Times New Roman" w:cs="Times New Roman"/>
          <w:sz w:val="24"/>
          <w:szCs w:val="24"/>
        </w:rPr>
        <w:t xml:space="preserve"> </w:t>
      </w:r>
      <w:r w:rsidR="001A1D31" w:rsidRPr="00AC4A03">
        <w:rPr>
          <w:rFonts w:ascii="Times New Roman" w:eastAsia="Times New Roman" w:hAnsi="Times New Roman" w:cs="Times New Roman"/>
          <w:sz w:val="24"/>
          <w:szCs w:val="24"/>
        </w:rPr>
        <w:t xml:space="preserve">The </w:t>
      </w:r>
      <w:r w:rsidR="001A1D31" w:rsidRPr="00AC4A03">
        <w:rPr>
          <w:rFonts w:ascii="Times New Roman" w:eastAsia="Times New Roman" w:hAnsi="Times New Roman" w:cs="Times New Roman"/>
          <w:i/>
          <w:sz w:val="24"/>
          <w:szCs w:val="24"/>
        </w:rPr>
        <w:t>mycobiota inoculum</w:t>
      </w:r>
      <w:r w:rsidR="001A1D31" w:rsidRPr="00AC4A03">
        <w:rPr>
          <w:rFonts w:ascii="Times New Roman" w:eastAsia="Times New Roman" w:hAnsi="Times New Roman" w:cs="Times New Roman"/>
          <w:sz w:val="24"/>
          <w:szCs w:val="24"/>
        </w:rPr>
        <w:t xml:space="preserve"> originated from soils sampled inside a cork oak forest in Tunisia (E008°'0051'00.00 N36°'0046'00.00) as previously described</w:t>
      </w:r>
      <w:r w:rsidR="008907F4">
        <w:rPr>
          <w:rFonts w:ascii="Times New Roman" w:eastAsia="Times New Roman" w:hAnsi="Times New Roman" w:cs="Times New Roman"/>
          <w:sz w:val="24"/>
          <w:szCs w:val="24"/>
        </w:rPr>
        <w:fldChar w:fldCharType="begin"/>
      </w:r>
      <w:r w:rsidR="008907F4">
        <w:rPr>
          <w:rFonts w:ascii="Times New Roman" w:eastAsia="Times New Roman" w:hAnsi="Times New Roman" w:cs="Times New Roman"/>
          <w:sz w:val="24"/>
          <w:szCs w:val="24"/>
        </w:rPr>
        <w:instrText xml:space="preserve"> ADDIN EN.CITE &lt;EndNote&gt;&lt;Cite&gt;&lt;Author&gt;Varela&lt;/Author&gt;&lt;Year&gt;2015&lt;/Year&gt;&lt;RecNum&gt;23&lt;/RecNum&gt;&lt;DisplayText&gt;&lt;style face="superscript"&gt;1&lt;/style&gt;&lt;/DisplayText&gt;&lt;record&gt;&lt;rec-number&gt;23&lt;/rec-number&gt;&lt;foreign-keys&gt;&lt;key app="EN" db-id="2rfsx9rapweadwev95s5wwp5rf9aav0wzpfd" timestamp="1667931853"&gt;23&lt;/key&gt;&lt;/foreign-keys&gt;&lt;ref-type name="Journal Article"&gt;17&lt;/ref-type&gt;&lt;contributors&gt;&lt;authors&gt;&lt;author&gt;Varela, Adélia&lt;/author&gt;&lt;author&gt;Martins, Celso&lt;/author&gt;&lt;author&gt;Núñez, Oscar&lt;/author&gt;&lt;author&gt;Martins, Isabel&lt;/author&gt;&lt;author&gt;Houbraken, Jos AMP&lt;/author&gt;&lt;author&gt;Martins, Tiago M&lt;/author&gt;&lt;author&gt;Leitão, M Cristina&lt;/author&gt;&lt;author&gt;McLellan, Iain&lt;/author&gt;&lt;author&gt;Vetter, Walter&lt;/author&gt;&lt;author&gt;Galceran, M Teresa&lt;/author&gt;&lt;author&gt;Samson, Robert A.&lt;/author&gt;&lt;author&gt;Hursthouse, Andrew&lt;/author&gt;&lt;author&gt;SIlva Pereira, Cristina&lt;/author&gt;&lt;/authors&gt;&lt;/contributors&gt;&lt;titles&gt;&lt;title&gt;Understanding fungal functional biodiversity during the mitigation of environmentally dispersed pentachlorophenol in cork oak forest soils&lt;/title&gt;&lt;secondary-title&gt;Environmental microbiology&lt;/secondary-title&gt;&lt;/titles&gt;&lt;periodical&gt;&lt;full-title&gt;Environmental microbiology&lt;/full-title&gt;&lt;abbr-1&gt;Environ. Microbiol.&lt;/abbr-1&gt;&lt;/periodical&gt;&lt;pages&gt;2922-2934&lt;/pages&gt;&lt;volume&gt;17&lt;/volume&gt;&lt;number&gt;8&lt;/number&gt;&lt;dates&gt;&lt;year&gt;2015&lt;/year&gt;&lt;/dates&gt;&lt;isbn&gt;1462-2920&lt;/isbn&gt;&lt;urls&gt;&lt;/urls&gt;&lt;/record&gt;&lt;/Cite&gt;&lt;/EndNote&gt;</w:instrText>
      </w:r>
      <w:r w:rsidR="008907F4">
        <w:rPr>
          <w:rFonts w:ascii="Times New Roman" w:eastAsia="Times New Roman" w:hAnsi="Times New Roman" w:cs="Times New Roman"/>
          <w:sz w:val="24"/>
          <w:szCs w:val="24"/>
        </w:rPr>
        <w:fldChar w:fldCharType="separate"/>
      </w:r>
      <w:r w:rsidR="008907F4" w:rsidRPr="008907F4">
        <w:rPr>
          <w:rFonts w:ascii="Times New Roman" w:eastAsia="Times New Roman" w:hAnsi="Times New Roman" w:cs="Times New Roman"/>
          <w:noProof/>
          <w:sz w:val="24"/>
          <w:szCs w:val="24"/>
          <w:vertAlign w:val="superscript"/>
        </w:rPr>
        <w:t>1</w:t>
      </w:r>
      <w:r w:rsidR="008907F4">
        <w:rPr>
          <w:rFonts w:ascii="Times New Roman" w:eastAsia="Times New Roman" w:hAnsi="Times New Roman" w:cs="Times New Roman"/>
          <w:sz w:val="24"/>
          <w:szCs w:val="24"/>
        </w:rPr>
        <w:fldChar w:fldCharType="end"/>
      </w:r>
      <w:r w:rsidR="001A1D31" w:rsidRPr="00AC4A03">
        <w:rPr>
          <w:rFonts w:ascii="Times New Roman" w:eastAsia="Times New Roman" w:hAnsi="Times New Roman" w:cs="Times New Roman"/>
          <w:sz w:val="24"/>
          <w:szCs w:val="24"/>
        </w:rPr>
        <w:t>. The collected soil samples (0–20 cm depth) were pooled and sieved (&lt;2 mm). To recover the mycobiota, a soil aliquot (15 g) was immersed (1:10, w/v) in a solution of 0.1% peptone (w/v) and 0.1% chloramphenicol (v/v) (60min, soft agitation, vacuum cycle every 20min), then sieved (pore sizes 500 µm, 210 µm then 100 µm)</w:t>
      </w:r>
      <w:r w:rsidR="008907F4">
        <w:rPr>
          <w:rFonts w:ascii="Times New Roman" w:eastAsia="Times New Roman" w:hAnsi="Times New Roman" w:cs="Times New Roman"/>
          <w:sz w:val="24"/>
          <w:szCs w:val="24"/>
        </w:rPr>
        <w:fldChar w:fldCharType="begin"/>
      </w:r>
      <w:r w:rsidR="008907F4">
        <w:rPr>
          <w:rFonts w:ascii="Times New Roman" w:eastAsia="Times New Roman" w:hAnsi="Times New Roman" w:cs="Times New Roman"/>
          <w:sz w:val="24"/>
          <w:szCs w:val="24"/>
        </w:rPr>
        <w:instrText xml:space="preserve"> ADDIN EN.CITE &lt;EndNote&gt;&lt;Cite&gt;&lt;Author&gt;Varela&lt;/Author&gt;&lt;Year&gt;2015&lt;/Year&gt;&lt;RecNum&gt;23&lt;/RecNum&gt;&lt;DisplayText&gt;&lt;style face="superscript"&gt;1&lt;/style&gt;&lt;/DisplayText&gt;&lt;record&gt;&lt;rec-number&gt;23&lt;/rec-number&gt;&lt;foreign-keys&gt;&lt;key app="EN" db-id="2rfsx9rapweadwev95s5wwp5rf9aav0wzpfd" timestamp="1667931853"&gt;23&lt;/key&gt;&lt;/foreign-keys&gt;&lt;ref-type name="Journal Article"&gt;17&lt;/ref-type&gt;&lt;contributors&gt;&lt;authors&gt;&lt;author&gt;Varela, Adélia&lt;/author&gt;&lt;author&gt;Martins, Celso&lt;/author&gt;&lt;author&gt;Núñez, Oscar&lt;/author&gt;&lt;author&gt;Martins, Isabel&lt;/author&gt;&lt;author&gt;Houbraken, Jos AMP&lt;/author&gt;&lt;author&gt;Martins, Tiago M&lt;/author&gt;&lt;author&gt;Leitão, M Cristina&lt;/author&gt;&lt;author&gt;McLellan, Iain&lt;/author&gt;&lt;author&gt;Vetter, Walter&lt;/author&gt;&lt;author&gt;Galceran, M Teresa&lt;/author&gt;&lt;author&gt;Samson, Robert A.&lt;/author&gt;&lt;author&gt;Hursthouse, Andrew&lt;/author&gt;&lt;author&gt;SIlva Pereira, Cristina&lt;/author&gt;&lt;/authors&gt;&lt;/contributors&gt;&lt;titles&gt;&lt;title&gt;Understanding fungal functional biodiversity during the mitigation of environmentally dispersed pentachlorophenol in cork oak forest soils&lt;/title&gt;&lt;secondary-title&gt;Environmental microbiology&lt;/secondary-title&gt;&lt;/titles&gt;&lt;periodical&gt;&lt;full-title&gt;Environmental microbiology&lt;/full-title&gt;&lt;abbr-1&gt;Environ. Microbiol.&lt;/abbr-1&gt;&lt;/periodical&gt;&lt;pages&gt;2922-2934&lt;/pages&gt;&lt;volume&gt;17&lt;/volume&gt;&lt;number&gt;8&lt;/number&gt;&lt;dates&gt;&lt;year&gt;2015&lt;/year&gt;&lt;/dates&gt;&lt;isbn&gt;1462-2920&lt;/isbn&gt;&lt;urls&gt;&lt;/urls&gt;&lt;/record&gt;&lt;/Cite&gt;&lt;/EndNote&gt;</w:instrText>
      </w:r>
      <w:r w:rsidR="008907F4">
        <w:rPr>
          <w:rFonts w:ascii="Times New Roman" w:eastAsia="Times New Roman" w:hAnsi="Times New Roman" w:cs="Times New Roman"/>
          <w:sz w:val="24"/>
          <w:szCs w:val="24"/>
        </w:rPr>
        <w:fldChar w:fldCharType="separate"/>
      </w:r>
      <w:r w:rsidR="008907F4" w:rsidRPr="008907F4">
        <w:rPr>
          <w:rFonts w:ascii="Times New Roman" w:eastAsia="Times New Roman" w:hAnsi="Times New Roman" w:cs="Times New Roman"/>
          <w:noProof/>
          <w:sz w:val="24"/>
          <w:szCs w:val="24"/>
          <w:vertAlign w:val="superscript"/>
        </w:rPr>
        <w:t>1</w:t>
      </w:r>
      <w:r w:rsidR="008907F4">
        <w:rPr>
          <w:rFonts w:ascii="Times New Roman" w:eastAsia="Times New Roman" w:hAnsi="Times New Roman" w:cs="Times New Roman"/>
          <w:sz w:val="24"/>
          <w:szCs w:val="24"/>
        </w:rPr>
        <w:fldChar w:fldCharType="end"/>
      </w:r>
      <w:r w:rsidR="001A1D31" w:rsidRPr="00AC4A03">
        <w:rPr>
          <w:rFonts w:ascii="Times New Roman" w:eastAsia="Times New Roman" w:hAnsi="Times New Roman" w:cs="Times New Roman"/>
          <w:sz w:val="24"/>
          <w:szCs w:val="24"/>
        </w:rPr>
        <w:t xml:space="preserve">.  1 mL aliquots were stored at -80°C, each corresponding to 0.1 g of soil. </w:t>
      </w:r>
      <w:r w:rsidR="001A1D31" w:rsidRPr="00AC4A03">
        <w:rPr>
          <w:rFonts w:ascii="Times New Roman" w:eastAsia="Times New Roman" w:hAnsi="Times New Roman" w:cs="Times New Roman"/>
          <w:color w:val="000000" w:themeColor="text1"/>
          <w:sz w:val="24"/>
          <w:szCs w:val="24"/>
        </w:rPr>
        <w:t xml:space="preserve">For inoculation, the inoculum (ratio of 1:10, </w:t>
      </w:r>
      <w:proofErr w:type="spellStart"/>
      <w:proofErr w:type="gramStart"/>
      <w:r w:rsidR="001A1D31" w:rsidRPr="00AC4A03">
        <w:rPr>
          <w:rFonts w:ascii="Times New Roman" w:eastAsia="Times New Roman" w:hAnsi="Times New Roman" w:cs="Times New Roman"/>
          <w:color w:val="000000" w:themeColor="text1"/>
          <w:sz w:val="24"/>
          <w:szCs w:val="24"/>
        </w:rPr>
        <w:t>inoculum:medium</w:t>
      </w:r>
      <w:proofErr w:type="spellEnd"/>
      <w:proofErr w:type="gramEnd"/>
      <w:r w:rsidR="001A1D31" w:rsidRPr="00AC4A03">
        <w:rPr>
          <w:rFonts w:ascii="Times New Roman" w:eastAsia="Times New Roman" w:hAnsi="Times New Roman" w:cs="Times New Roman"/>
          <w:color w:val="000000" w:themeColor="text1"/>
          <w:sz w:val="24"/>
          <w:szCs w:val="24"/>
        </w:rPr>
        <w:t xml:space="preserve">) was mixed with the medium while warm (~40°C), then allowed to cool down. </w:t>
      </w:r>
    </w:p>
    <w:p w14:paraId="0EFE406E" w14:textId="06DBA1C9" w:rsidR="001A1D31" w:rsidRPr="00AC4A03" w:rsidRDefault="001A1D31" w:rsidP="001A1D31">
      <w:pPr>
        <w:suppressAutoHyphens/>
        <w:spacing w:after="0" w:line="360" w:lineRule="auto"/>
        <w:ind w:firstLine="708"/>
        <w:contextualSpacing/>
        <w:jc w:val="both"/>
        <w:rPr>
          <w:rFonts w:ascii="Times New Roman" w:eastAsia="Times New Roman" w:hAnsi="Times New Roman" w:cs="Times New Roman"/>
          <w:sz w:val="24"/>
          <w:szCs w:val="24"/>
        </w:rPr>
      </w:pPr>
      <w:bookmarkStart w:id="2" w:name="_Hlk118793621"/>
      <w:r w:rsidRPr="00AC4A03">
        <w:rPr>
          <w:rFonts w:ascii="Times New Roman" w:eastAsia="Times New Roman" w:hAnsi="Times New Roman" w:cs="Times New Roman"/>
          <w:sz w:val="24"/>
          <w:szCs w:val="24"/>
          <w:u w:val="single"/>
        </w:rPr>
        <w:t>Fungal spore collection</w:t>
      </w:r>
      <w:r w:rsidRPr="00AC4A03">
        <w:rPr>
          <w:rFonts w:ascii="Times New Roman" w:eastAsia="Times New Roman" w:hAnsi="Times New Roman" w:cs="Times New Roman"/>
          <w:sz w:val="24"/>
          <w:szCs w:val="24"/>
        </w:rPr>
        <w:t xml:space="preserve">: Following incubation, MC3000 filters were carefully removed, placed in 50 mL falcon tubes and fully immersed in saline solution (0.9%) containing 0.1% Tween 20, and sealed. To release the adherent spores, vigorous vortex cycles, followed by steps in an ultrasonic bath (3x, 10sec each) were used. Additionally, 20 mL of the same saline solution was added to the surface of the cultures, which were </w:t>
      </w:r>
      <w:r w:rsidRPr="00AC4A03">
        <w:rPr>
          <w:rFonts w:ascii="Times New Roman" w:eastAsia="Times New Roman" w:hAnsi="Times New Roman" w:cs="Times New Roman"/>
          <w:color w:val="000000" w:themeColor="text1"/>
          <w:sz w:val="24"/>
          <w:szCs w:val="24"/>
        </w:rPr>
        <w:t xml:space="preserve">then gently scraped </w:t>
      </w:r>
      <w:r w:rsidRPr="00AC4A03">
        <w:rPr>
          <w:rFonts w:ascii="Times New Roman" w:eastAsia="Times New Roman" w:hAnsi="Times New Roman" w:cs="Times New Roman"/>
          <w:sz w:val="24"/>
          <w:szCs w:val="24"/>
        </w:rPr>
        <w:t xml:space="preserve">with a disposable cell </w:t>
      </w:r>
      <w:r w:rsidRPr="00AC4A03">
        <w:rPr>
          <w:rFonts w:ascii="Times New Roman" w:eastAsia="Times New Roman" w:hAnsi="Times New Roman" w:cs="Times New Roman"/>
          <w:color w:val="000000" w:themeColor="text1"/>
          <w:sz w:val="24"/>
          <w:szCs w:val="24"/>
        </w:rPr>
        <w:t xml:space="preserve">scraper. Each spore suspension </w:t>
      </w:r>
      <w:r w:rsidRPr="00AC4A03">
        <w:rPr>
          <w:rFonts w:ascii="Times New Roman" w:eastAsia="Times New Roman" w:hAnsi="Times New Roman" w:cs="Times New Roman"/>
          <w:sz w:val="24"/>
          <w:szCs w:val="24"/>
        </w:rPr>
        <w:t>was filtered (glass wool) to remove the hyphal fragments, and centrifuged at 18000</w:t>
      </w:r>
      <w:r w:rsidRPr="00AC4A03">
        <w:rPr>
          <w:rFonts w:ascii="Times New Roman" w:eastAsia="Times New Roman" w:hAnsi="Times New Roman" w:cs="Times New Roman"/>
          <w:i/>
          <w:sz w:val="24"/>
          <w:szCs w:val="24"/>
        </w:rPr>
        <w:t>g</w:t>
      </w:r>
      <w:r w:rsidRPr="00AC4A03">
        <w:rPr>
          <w:rFonts w:ascii="Times New Roman" w:eastAsia="Times New Roman" w:hAnsi="Times New Roman" w:cs="Times New Roman"/>
          <w:sz w:val="24"/>
          <w:szCs w:val="24"/>
        </w:rPr>
        <w:t xml:space="preserve"> (20min, 4</w:t>
      </w:r>
      <w:r w:rsidR="000C6279">
        <w:rPr>
          <w:rFonts w:ascii="Times New Roman" w:eastAsia="Times New Roman" w:hAnsi="Times New Roman" w:cs="Times New Roman"/>
          <w:sz w:val="24"/>
          <w:szCs w:val="24"/>
        </w:rPr>
        <w:t xml:space="preserve"> </w:t>
      </w:r>
      <w:r w:rsidRPr="00AC4A03">
        <w:rPr>
          <w:rFonts w:ascii="Times New Roman" w:eastAsia="Times New Roman" w:hAnsi="Times New Roman" w:cs="Times New Roman"/>
          <w:sz w:val="24"/>
          <w:szCs w:val="24"/>
        </w:rPr>
        <w:t xml:space="preserve">°C) to recover the spore pellet (washed twice with saline solution), then resuspended in a 30% glycerol solution and stored at </w:t>
      </w:r>
      <w:r w:rsidRPr="00AC4A03">
        <w:rPr>
          <w:rFonts w:ascii="Times New Roman" w:eastAsia="Times New Roman" w:hAnsi="Times New Roman" w:cs="Times New Roman"/>
          <w:sz w:val="24"/>
          <w:szCs w:val="24"/>
        </w:rPr>
        <w:noBreakHyphen/>
        <w:t>80</w:t>
      </w:r>
      <w:r w:rsidR="000C6279">
        <w:rPr>
          <w:rFonts w:ascii="Times New Roman" w:eastAsia="Times New Roman" w:hAnsi="Times New Roman" w:cs="Times New Roman"/>
          <w:sz w:val="24"/>
          <w:szCs w:val="24"/>
        </w:rPr>
        <w:t xml:space="preserve"> </w:t>
      </w:r>
      <w:r w:rsidRPr="00AC4A03">
        <w:rPr>
          <w:rFonts w:ascii="Times New Roman" w:eastAsia="Times New Roman" w:hAnsi="Times New Roman" w:cs="Times New Roman"/>
          <w:sz w:val="24"/>
          <w:szCs w:val="24"/>
        </w:rPr>
        <w:t>°C.</w:t>
      </w:r>
    </w:p>
    <w:p w14:paraId="4AFA7056" w14:textId="77777777" w:rsidR="001A1D31" w:rsidRPr="00AC4A03" w:rsidRDefault="001A1D31" w:rsidP="001A1D31">
      <w:pPr>
        <w:pStyle w:val="Paragraph"/>
        <w:suppressAutoHyphens/>
        <w:spacing w:before="0" w:line="360" w:lineRule="auto"/>
        <w:ind w:firstLine="0"/>
        <w:contextualSpacing/>
        <w:jc w:val="both"/>
        <w:rPr>
          <w:lang w:val="en-GB"/>
        </w:rPr>
      </w:pPr>
      <w:r w:rsidRPr="00AC4A03">
        <w:tab/>
      </w:r>
      <w:r w:rsidRPr="00AC4A03">
        <w:rPr>
          <w:lang w:val="en-GB"/>
        </w:rPr>
        <w:t xml:space="preserve">The number of spores in 10 µL aliquots were counted using a Neubauer chamber with the aid of a standard optical microscope at 400x magnification. Aliquots of 10 µL were stained with calcofluor-white; dilutions were performed whenever necessary to improve cellular separation, and were visualised using a Leica DM 6000B upright microscope equipped with an </w:t>
      </w:r>
      <w:proofErr w:type="spellStart"/>
      <w:r w:rsidRPr="00AC4A03">
        <w:rPr>
          <w:lang w:val="en-GB"/>
        </w:rPr>
        <w:t>Andor</w:t>
      </w:r>
      <w:proofErr w:type="spellEnd"/>
      <w:r w:rsidRPr="00AC4A03">
        <w:rPr>
          <w:lang w:val="en-GB"/>
        </w:rPr>
        <w:t xml:space="preserve"> </w:t>
      </w:r>
      <w:proofErr w:type="spellStart"/>
      <w:r w:rsidRPr="00AC4A03">
        <w:rPr>
          <w:lang w:val="en-GB"/>
        </w:rPr>
        <w:t>iXon</w:t>
      </w:r>
      <w:proofErr w:type="spellEnd"/>
      <w:r w:rsidRPr="00AC4A03">
        <w:rPr>
          <w:lang w:val="en-GB"/>
        </w:rPr>
        <w:t xml:space="preserve"> 885 EMCCD camera and controlled with </w:t>
      </w:r>
      <w:proofErr w:type="spellStart"/>
      <w:r w:rsidRPr="00AC4A03">
        <w:rPr>
          <w:lang w:val="en-GB"/>
        </w:rPr>
        <w:t>MetaMorph</w:t>
      </w:r>
      <w:proofErr w:type="spellEnd"/>
      <w:r w:rsidRPr="00AC4A03">
        <w:rPr>
          <w:lang w:val="en-GB"/>
        </w:rPr>
        <w:t xml:space="preserve"> V5.8 software, using the </w:t>
      </w:r>
      <w:r w:rsidRPr="00AC4A03">
        <w:rPr>
          <w:lang w:val="en-GB"/>
        </w:rPr>
        <w:lastRenderedPageBreak/>
        <w:t xml:space="preserve">63x 1.4 NA oil immersion objective plus a 1.6x </w:t>
      </w:r>
      <w:proofErr w:type="spellStart"/>
      <w:r w:rsidRPr="00AC4A03">
        <w:rPr>
          <w:lang w:val="en-GB"/>
        </w:rPr>
        <w:t>optvar</w:t>
      </w:r>
      <w:proofErr w:type="spellEnd"/>
      <w:r w:rsidRPr="00AC4A03">
        <w:rPr>
          <w:lang w:val="en-GB"/>
        </w:rPr>
        <w:t>. At least 20 independent microscopic fields of each sample were captured. Images were analysed with ImageJ (version 1.8.0_172) as follows: the size bar was used to set scale; images were converted to 8-bit format; black and white thresholding was used to remove noise; potential holes in the particles were digitally filled and the particle analysis command used. Results were trimmed (excluding areas &lt;5 µm</w:t>
      </w:r>
      <w:r w:rsidRPr="00AC4A03">
        <w:rPr>
          <w:vertAlign w:val="superscript"/>
          <w:lang w:val="en-GB"/>
        </w:rPr>
        <w:t>2</w:t>
      </w:r>
      <w:r w:rsidRPr="00AC4A03">
        <w:rPr>
          <w:lang w:val="en-GB"/>
        </w:rPr>
        <w:t>) to remove remaining noise, registered and further analysed using XL-STAT (</w:t>
      </w:r>
      <w:proofErr w:type="spellStart"/>
      <w:r w:rsidRPr="00AC4A03">
        <w:rPr>
          <w:lang w:val="en-GB"/>
        </w:rPr>
        <w:t>Addinsoft</w:t>
      </w:r>
      <w:proofErr w:type="spellEnd"/>
      <w:r w:rsidRPr="00AC4A03">
        <w:rPr>
          <w:lang w:val="en-GB"/>
        </w:rPr>
        <w:t>, version 2014.5.03).</w:t>
      </w:r>
    </w:p>
    <w:bookmarkEnd w:id="2"/>
    <w:p w14:paraId="2724F5B5" w14:textId="77777777" w:rsidR="00FE7356" w:rsidRPr="00AC4A03" w:rsidRDefault="00FE7356" w:rsidP="001A1D31">
      <w:pPr>
        <w:suppressAutoHyphens/>
        <w:spacing w:after="0" w:line="360" w:lineRule="auto"/>
        <w:contextualSpacing/>
        <w:jc w:val="both"/>
        <w:rPr>
          <w:rFonts w:ascii="Times New Roman" w:eastAsia="Times New Roman" w:hAnsi="Times New Roman" w:cs="Times New Roman"/>
          <w:sz w:val="24"/>
          <w:szCs w:val="24"/>
        </w:rPr>
      </w:pPr>
    </w:p>
    <w:p w14:paraId="732AFE8F" w14:textId="1F40F0C3" w:rsidR="009B6468" w:rsidRPr="00AC4A03" w:rsidRDefault="009B6468" w:rsidP="00505CEA">
      <w:pPr>
        <w:spacing w:after="0" w:line="360" w:lineRule="auto"/>
        <w:contextualSpacing/>
        <w:jc w:val="both"/>
        <w:rPr>
          <w:rFonts w:ascii="Times New Roman" w:eastAsia="Times New Roman" w:hAnsi="Times New Roman" w:cs="Times New Roman"/>
          <w:b/>
          <w:color w:val="000000" w:themeColor="text1"/>
          <w:sz w:val="24"/>
          <w:szCs w:val="24"/>
        </w:rPr>
      </w:pPr>
      <w:r w:rsidRPr="00AC4A03">
        <w:rPr>
          <w:rFonts w:ascii="Times New Roman" w:eastAsia="Times New Roman" w:hAnsi="Times New Roman" w:cs="Times New Roman"/>
          <w:b/>
          <w:color w:val="000000" w:themeColor="text1"/>
          <w:sz w:val="24"/>
          <w:szCs w:val="24"/>
        </w:rPr>
        <w:t xml:space="preserve">Half maximal Effective Concentration </w:t>
      </w:r>
      <w:r w:rsidR="00AC4A03" w:rsidRPr="00AC4A03">
        <w:rPr>
          <w:rFonts w:ascii="Times New Roman" w:eastAsia="Times New Roman" w:hAnsi="Times New Roman" w:cs="Times New Roman"/>
          <w:b/>
          <w:color w:val="000000" w:themeColor="text1"/>
          <w:sz w:val="24"/>
          <w:szCs w:val="24"/>
        </w:rPr>
        <w:t>(EC</w:t>
      </w:r>
      <w:r w:rsidR="00AC4A03" w:rsidRPr="00AC4A03">
        <w:rPr>
          <w:rFonts w:ascii="Times New Roman" w:eastAsia="Times New Roman" w:hAnsi="Times New Roman" w:cs="Times New Roman"/>
          <w:b/>
          <w:color w:val="000000" w:themeColor="text1"/>
          <w:sz w:val="24"/>
          <w:szCs w:val="24"/>
          <w:vertAlign w:val="subscript"/>
        </w:rPr>
        <w:t>50</w:t>
      </w:r>
      <w:r w:rsidR="00AC4A03" w:rsidRPr="00AC4A03">
        <w:rPr>
          <w:rFonts w:ascii="Times New Roman" w:eastAsia="Times New Roman" w:hAnsi="Times New Roman" w:cs="Times New Roman"/>
          <w:b/>
          <w:color w:val="000000" w:themeColor="text1"/>
          <w:sz w:val="24"/>
          <w:szCs w:val="24"/>
        </w:rPr>
        <w:t>)</w:t>
      </w:r>
      <w:r w:rsidR="00AC4A03" w:rsidRPr="00AC4A03">
        <w:rPr>
          <w:rFonts w:ascii="Times New Roman" w:eastAsia="Times New Roman" w:hAnsi="Times New Roman" w:cs="Times New Roman"/>
          <w:color w:val="000000" w:themeColor="text1"/>
          <w:sz w:val="24"/>
          <w:szCs w:val="24"/>
        </w:rPr>
        <w:t xml:space="preserve"> </w:t>
      </w:r>
      <w:r w:rsidRPr="00AC4A03">
        <w:rPr>
          <w:rFonts w:ascii="Times New Roman" w:eastAsia="Times New Roman" w:hAnsi="Times New Roman" w:cs="Times New Roman"/>
          <w:b/>
          <w:color w:val="000000" w:themeColor="text1"/>
          <w:sz w:val="24"/>
          <w:szCs w:val="24"/>
        </w:rPr>
        <w:t xml:space="preserve">of each pollutant against the </w:t>
      </w:r>
      <w:r w:rsidR="00DC7986">
        <w:rPr>
          <w:rFonts w:ascii="Times New Roman" w:eastAsia="Times New Roman" w:hAnsi="Times New Roman" w:cs="Times New Roman"/>
          <w:b/>
          <w:color w:val="000000" w:themeColor="text1"/>
          <w:sz w:val="24"/>
          <w:szCs w:val="24"/>
        </w:rPr>
        <w:t xml:space="preserve">soil mycobiota. </w:t>
      </w:r>
    </w:p>
    <w:p w14:paraId="5374A790" w14:textId="7E3B0108" w:rsidR="009B6468" w:rsidRPr="00AC4A03" w:rsidRDefault="009B6468" w:rsidP="00505CEA">
      <w:pPr>
        <w:spacing w:after="0" w:line="360" w:lineRule="auto"/>
        <w:contextualSpacing/>
        <w:jc w:val="both"/>
        <w:rPr>
          <w:rFonts w:ascii="Times New Roman" w:eastAsia="Times New Roman" w:hAnsi="Times New Roman" w:cs="Times New Roman"/>
          <w:color w:val="000000" w:themeColor="text1"/>
          <w:sz w:val="24"/>
          <w:szCs w:val="24"/>
        </w:rPr>
      </w:pPr>
      <w:r w:rsidRPr="00AC4A03">
        <w:rPr>
          <w:rFonts w:ascii="Times New Roman" w:eastAsia="Times New Roman" w:hAnsi="Times New Roman" w:cs="Times New Roman"/>
          <w:color w:val="000000" w:themeColor="text1"/>
          <w:sz w:val="24"/>
          <w:szCs w:val="24"/>
        </w:rPr>
        <w:t xml:space="preserve">The </w:t>
      </w:r>
      <w:r w:rsidR="00AC4A03">
        <w:rPr>
          <w:rFonts w:ascii="Times New Roman" w:eastAsia="Times New Roman" w:hAnsi="Times New Roman" w:cs="Times New Roman"/>
          <w:color w:val="000000" w:themeColor="text1"/>
          <w:sz w:val="24"/>
          <w:szCs w:val="24"/>
        </w:rPr>
        <w:t>EC</w:t>
      </w:r>
      <w:r w:rsidR="00AC4A03" w:rsidRPr="00AC4A03">
        <w:rPr>
          <w:rFonts w:ascii="Times New Roman" w:eastAsia="Times New Roman" w:hAnsi="Times New Roman" w:cs="Times New Roman"/>
          <w:color w:val="000000" w:themeColor="text1"/>
          <w:sz w:val="24"/>
          <w:szCs w:val="24"/>
          <w:vertAlign w:val="subscript"/>
        </w:rPr>
        <w:t>50</w:t>
      </w:r>
      <w:r w:rsidR="00AC4A03">
        <w:rPr>
          <w:rFonts w:ascii="Times New Roman" w:eastAsia="Times New Roman" w:hAnsi="Times New Roman" w:cs="Times New Roman"/>
          <w:color w:val="000000" w:themeColor="text1"/>
          <w:sz w:val="24"/>
          <w:szCs w:val="24"/>
        </w:rPr>
        <w:t xml:space="preserve"> </w:t>
      </w:r>
      <w:r w:rsidRPr="00AC4A03">
        <w:rPr>
          <w:rFonts w:ascii="Times New Roman" w:eastAsia="Times New Roman" w:hAnsi="Times New Roman" w:cs="Times New Roman"/>
          <w:color w:val="000000" w:themeColor="text1"/>
          <w:sz w:val="24"/>
          <w:szCs w:val="24"/>
        </w:rPr>
        <w:t xml:space="preserve">of PCP and TCS were determined using 5-mL cultures (6-well plates; 2 plates </w:t>
      </w:r>
      <w:r w:rsidRPr="00AC4A03">
        <w:rPr>
          <w:rFonts w:ascii="Times New Roman" w:eastAsia="Times New Roman" w:hAnsi="Times New Roman" w:cs="Times New Roman"/>
          <w:i/>
          <w:color w:val="000000" w:themeColor="text1"/>
          <w:sz w:val="24"/>
          <w:szCs w:val="24"/>
        </w:rPr>
        <w:t xml:space="preserve">per </w:t>
      </w:r>
      <w:r w:rsidRPr="00AC4A03">
        <w:rPr>
          <w:rFonts w:ascii="Times New Roman" w:eastAsia="Times New Roman" w:hAnsi="Times New Roman" w:cs="Times New Roman"/>
          <w:color w:val="000000" w:themeColor="text1"/>
          <w:sz w:val="24"/>
          <w:szCs w:val="24"/>
        </w:rPr>
        <w:t>replicate). Growth media (1% w/v of glucose in a mineral minimal media</w:t>
      </w:r>
      <w:r w:rsidR="008907F4">
        <w:rPr>
          <w:rFonts w:ascii="Times New Roman" w:eastAsia="Times New Roman" w:hAnsi="Times New Roman" w:cs="Times New Roman"/>
          <w:color w:val="000000" w:themeColor="text1"/>
          <w:sz w:val="24"/>
          <w:szCs w:val="24"/>
        </w:rPr>
        <w:fldChar w:fldCharType="begin"/>
      </w:r>
      <w:r w:rsidR="008907F4">
        <w:rPr>
          <w:rFonts w:ascii="Times New Roman" w:eastAsia="Times New Roman" w:hAnsi="Times New Roman" w:cs="Times New Roman"/>
          <w:color w:val="000000" w:themeColor="text1"/>
          <w:sz w:val="24"/>
          <w:szCs w:val="24"/>
        </w:rPr>
        <w:instrText xml:space="preserve"> ADDIN EN.CITE &lt;EndNote&gt;&lt;Cite&gt;&lt;Author&gt;Martins&lt;/Author&gt;&lt;Year&gt;2018&lt;/Year&gt;&lt;RecNum&gt;18&lt;/RecNum&gt;&lt;DisplayText&gt;&lt;style face="superscript"&gt;2&lt;/style&gt;&lt;/DisplayText&gt;&lt;record&gt;&lt;rec-number&gt;18&lt;/rec-number&gt;&lt;foreign-keys&gt;&lt;key app="EN" db-id="2rfsx9rapweadwev95s5wwp5rf9aav0wzpfd" timestamp="1667931814"&gt;18&lt;/key&gt;&lt;/foreign-keys&gt;&lt;ref-type name="Journal Article"&gt;17&lt;/ref-type&gt;&lt;contributors&gt;&lt;authors&gt;&lt;author&gt;Martins, Celso&lt;/author&gt;&lt;author&gt;Varela, Adélia&lt;/author&gt;&lt;author&gt;Leclercq, Céline C&lt;/author&gt;&lt;author&gt;Núñez, Oscar&lt;/author&gt;&lt;author&gt;Větrovský, Tomáš&lt;/author&gt;&lt;author&gt;Renaut, Jenny&lt;/author&gt;&lt;author&gt;Baldrian, Petr&lt;/author&gt;&lt;author&gt;Silva Pereira, Cristina&lt;/author&gt;&lt;/authors&gt;&lt;/contributors&gt;&lt;titles&gt;&lt;title&gt;Specialisation events of fungal metacommunities exposed to a persistent organic pollutant are suggestive of augmented pathogenic potential&lt;/title&gt;&lt;secondary-title&gt;Microbiome&lt;/secondary-title&gt;&lt;/titles&gt;&lt;periodical&gt;&lt;full-title&gt;Microbiome&lt;/full-title&gt;&lt;abbr-1&gt;Microbiome&lt;/abbr-1&gt;&lt;/periodical&gt;&lt;pages&gt;208&lt;/pages&gt;&lt;volume&gt;6&lt;/volume&gt;&lt;number&gt;1&lt;/number&gt;&lt;dates&gt;&lt;year&gt;2018&lt;/year&gt;&lt;/dates&gt;&lt;urls&gt;&lt;/urls&gt;&lt;/record&gt;&lt;/Cite&gt;&lt;/EndNote&gt;</w:instrText>
      </w:r>
      <w:r w:rsidR="008907F4">
        <w:rPr>
          <w:rFonts w:ascii="Times New Roman" w:eastAsia="Times New Roman" w:hAnsi="Times New Roman" w:cs="Times New Roman"/>
          <w:color w:val="000000" w:themeColor="text1"/>
          <w:sz w:val="24"/>
          <w:szCs w:val="24"/>
        </w:rPr>
        <w:fldChar w:fldCharType="separate"/>
      </w:r>
      <w:r w:rsidR="008907F4" w:rsidRPr="008907F4">
        <w:rPr>
          <w:rFonts w:ascii="Times New Roman" w:eastAsia="Times New Roman" w:hAnsi="Times New Roman" w:cs="Times New Roman"/>
          <w:noProof/>
          <w:color w:val="000000" w:themeColor="text1"/>
          <w:sz w:val="24"/>
          <w:szCs w:val="24"/>
          <w:vertAlign w:val="superscript"/>
        </w:rPr>
        <w:t>2</w:t>
      </w:r>
      <w:r w:rsidR="008907F4">
        <w:rPr>
          <w:rFonts w:ascii="Times New Roman" w:eastAsia="Times New Roman" w:hAnsi="Times New Roman" w:cs="Times New Roman"/>
          <w:color w:val="000000" w:themeColor="text1"/>
          <w:sz w:val="24"/>
          <w:szCs w:val="24"/>
        </w:rPr>
        <w:fldChar w:fldCharType="end"/>
      </w:r>
      <w:r w:rsidRPr="00AC4A03">
        <w:rPr>
          <w:rFonts w:ascii="Times New Roman" w:eastAsia="Times New Roman" w:hAnsi="Times New Roman" w:cs="Times New Roman"/>
          <w:color w:val="000000" w:themeColor="text1"/>
          <w:sz w:val="24"/>
          <w:szCs w:val="24"/>
        </w:rPr>
        <w:t xml:space="preserve">, MMG) containing either 19, 38, 95, 190, 380 or 760 µM of PCP, or 35, 87.5, 175, 350, 500 or 1000 µM </w:t>
      </w:r>
      <w:r w:rsidR="001A1D31" w:rsidRPr="00AC4A03">
        <w:rPr>
          <w:rFonts w:ascii="Times New Roman" w:eastAsia="Times New Roman" w:hAnsi="Times New Roman" w:cs="Times New Roman"/>
          <w:color w:val="000000" w:themeColor="text1"/>
          <w:sz w:val="24"/>
          <w:szCs w:val="24"/>
        </w:rPr>
        <w:t xml:space="preserve">of TCS </w:t>
      </w:r>
      <w:r w:rsidRPr="00AC4A03">
        <w:rPr>
          <w:rFonts w:ascii="Times New Roman" w:eastAsia="Times New Roman" w:hAnsi="Times New Roman" w:cs="Times New Roman"/>
          <w:color w:val="000000" w:themeColor="text1"/>
          <w:sz w:val="24"/>
          <w:szCs w:val="24"/>
        </w:rPr>
        <w:t xml:space="preserve">were mixed with the soil mycobiota inoculum (ratio of 1:10, </w:t>
      </w:r>
      <w:proofErr w:type="spellStart"/>
      <w:r w:rsidRPr="00AC4A03">
        <w:rPr>
          <w:rFonts w:ascii="Times New Roman" w:eastAsia="Times New Roman" w:hAnsi="Times New Roman" w:cs="Times New Roman"/>
          <w:color w:val="000000" w:themeColor="text1"/>
          <w:sz w:val="24"/>
          <w:szCs w:val="24"/>
        </w:rPr>
        <w:t>inoculum:medium</w:t>
      </w:r>
      <w:proofErr w:type="spellEnd"/>
      <w:r w:rsidRPr="00AC4A03">
        <w:rPr>
          <w:rFonts w:ascii="Times New Roman" w:eastAsia="Times New Roman" w:hAnsi="Times New Roman" w:cs="Times New Roman"/>
          <w:color w:val="000000" w:themeColor="text1"/>
          <w:sz w:val="24"/>
          <w:szCs w:val="24"/>
        </w:rPr>
        <w:t xml:space="preserve">), incubated at 30ºC, 90 rpm for seven days (triplicates, including negative controls </w:t>
      </w:r>
      <w:r w:rsidR="001A1D31" w:rsidRPr="00AC4A03">
        <w:rPr>
          <w:rFonts w:ascii="Times New Roman" w:eastAsia="Times New Roman" w:hAnsi="Times New Roman" w:cs="Times New Roman"/>
          <w:color w:val="000000" w:themeColor="text1"/>
          <w:sz w:val="24"/>
          <w:szCs w:val="24"/>
        </w:rPr>
        <w:t>- unpolluted</w:t>
      </w:r>
      <w:r w:rsidRPr="00AC4A03">
        <w:rPr>
          <w:rFonts w:ascii="Times New Roman" w:eastAsia="Times New Roman" w:hAnsi="Times New Roman" w:cs="Times New Roman"/>
          <w:color w:val="000000" w:themeColor="text1"/>
          <w:sz w:val="24"/>
          <w:szCs w:val="24"/>
        </w:rPr>
        <w:t>). After incubation, 50</w:t>
      </w:r>
      <w:r w:rsidR="00ED0CB9">
        <w:rPr>
          <w:rFonts w:ascii="Times New Roman" w:eastAsia="Times New Roman" w:hAnsi="Times New Roman" w:cs="Times New Roman"/>
          <w:color w:val="000000" w:themeColor="text1"/>
          <w:sz w:val="24"/>
          <w:szCs w:val="24"/>
        </w:rPr>
        <w:t xml:space="preserve"> </w:t>
      </w:r>
      <w:r w:rsidRPr="00AC4A03">
        <w:rPr>
          <w:rFonts w:ascii="Times New Roman" w:eastAsia="Times New Roman" w:hAnsi="Times New Roman" w:cs="Times New Roman"/>
          <w:color w:val="000000" w:themeColor="text1"/>
          <w:sz w:val="24"/>
          <w:szCs w:val="24"/>
        </w:rPr>
        <w:t>µL from each biological replicate (group of twelve wells) were spread over MEA and the numbers of colony forming units (CFUs) monitored daily for 5 days and compared to that of the negative controls (triplicates). The EC</w:t>
      </w:r>
      <w:r w:rsidRPr="00AC4A03">
        <w:rPr>
          <w:rFonts w:ascii="Times New Roman" w:eastAsia="Times New Roman" w:hAnsi="Times New Roman" w:cs="Times New Roman"/>
          <w:color w:val="000000" w:themeColor="text1"/>
          <w:sz w:val="24"/>
          <w:szCs w:val="24"/>
          <w:vertAlign w:val="subscript"/>
        </w:rPr>
        <w:t>50</w:t>
      </w:r>
      <w:r w:rsidRPr="00AC4A03">
        <w:rPr>
          <w:rFonts w:ascii="Times New Roman" w:eastAsia="Times New Roman" w:hAnsi="Times New Roman" w:cs="Times New Roman"/>
          <w:color w:val="000000" w:themeColor="text1"/>
          <w:sz w:val="24"/>
          <w:szCs w:val="24"/>
        </w:rPr>
        <w:t xml:space="preserve"> value for PCP was defined and previously published by us for the community under study - 38 µM (10 mg·L</w:t>
      </w:r>
      <w:r w:rsidRPr="00AC4A03">
        <w:rPr>
          <w:rFonts w:ascii="Times New Roman" w:eastAsia="Times New Roman" w:hAnsi="Times New Roman" w:cs="Times New Roman"/>
          <w:color w:val="000000" w:themeColor="text1"/>
          <w:sz w:val="24"/>
          <w:szCs w:val="24"/>
          <w:vertAlign w:val="superscript"/>
        </w:rPr>
        <w:t>-1</w:t>
      </w:r>
      <w:r w:rsidRPr="00AC4A03">
        <w:rPr>
          <w:rFonts w:ascii="Times New Roman" w:eastAsia="Times New Roman" w:hAnsi="Times New Roman" w:cs="Times New Roman"/>
          <w:color w:val="000000" w:themeColor="text1"/>
          <w:sz w:val="24"/>
          <w:szCs w:val="24"/>
        </w:rPr>
        <w:t>)</w:t>
      </w:r>
      <w:r w:rsidR="008907F4">
        <w:rPr>
          <w:rFonts w:ascii="Times New Roman" w:eastAsia="Times New Roman" w:hAnsi="Times New Roman" w:cs="Times New Roman"/>
          <w:color w:val="000000" w:themeColor="text1"/>
          <w:sz w:val="24"/>
          <w:szCs w:val="24"/>
        </w:rPr>
        <w:fldChar w:fldCharType="begin"/>
      </w:r>
      <w:r w:rsidR="008907F4">
        <w:rPr>
          <w:rFonts w:ascii="Times New Roman" w:eastAsia="Times New Roman" w:hAnsi="Times New Roman" w:cs="Times New Roman"/>
          <w:color w:val="000000" w:themeColor="text1"/>
          <w:sz w:val="24"/>
          <w:szCs w:val="24"/>
        </w:rPr>
        <w:instrText xml:space="preserve"> ADDIN EN.CITE &lt;EndNote&gt;&lt;Cite&gt;&lt;Author&gt;Martins&lt;/Author&gt;&lt;Year&gt;2018&lt;/Year&gt;&lt;RecNum&gt;18&lt;/RecNum&gt;&lt;DisplayText&gt;&lt;style face="superscript"&gt;2&lt;/style&gt;&lt;/DisplayText&gt;&lt;record&gt;&lt;rec-number&gt;18&lt;/rec-number&gt;&lt;foreign-keys&gt;&lt;key app="EN" db-id="2rfsx9rapweadwev95s5wwp5rf9aav0wzpfd" timestamp="1667931814"&gt;18&lt;/key&gt;&lt;/foreign-keys&gt;&lt;ref-type name="Journal Article"&gt;17&lt;/ref-type&gt;&lt;contributors&gt;&lt;authors&gt;&lt;author&gt;Martins, Celso&lt;/author&gt;&lt;author&gt;Varela, Adélia&lt;/author&gt;&lt;author&gt;Leclercq, Céline C&lt;/author&gt;&lt;author&gt;Núñez, Oscar&lt;/author&gt;&lt;author&gt;Větrovský, Tomáš&lt;/author&gt;&lt;author&gt;Renaut, Jenny&lt;/author&gt;&lt;author&gt;Baldrian, Petr&lt;/author&gt;&lt;author&gt;Silva Pereira, Cristina&lt;/author&gt;&lt;/authors&gt;&lt;/contributors&gt;&lt;titles&gt;&lt;title&gt;Specialisation events of fungal metacommunities exposed to a persistent organic pollutant are suggestive of augmented pathogenic potential&lt;/title&gt;&lt;secondary-title&gt;Microbiome&lt;/secondary-title&gt;&lt;/titles&gt;&lt;periodical&gt;&lt;full-title&gt;Microbiome&lt;/full-title&gt;&lt;abbr-1&gt;Microbiome&lt;/abbr-1&gt;&lt;/periodical&gt;&lt;pages&gt;208&lt;/pages&gt;&lt;volume&gt;6&lt;/volume&gt;&lt;number&gt;1&lt;/number&gt;&lt;dates&gt;&lt;year&gt;2018&lt;/year&gt;&lt;/dates&gt;&lt;urls&gt;&lt;/urls&gt;&lt;/record&gt;&lt;/Cite&gt;&lt;/EndNote&gt;</w:instrText>
      </w:r>
      <w:r w:rsidR="008907F4">
        <w:rPr>
          <w:rFonts w:ascii="Times New Roman" w:eastAsia="Times New Roman" w:hAnsi="Times New Roman" w:cs="Times New Roman"/>
          <w:color w:val="000000" w:themeColor="text1"/>
          <w:sz w:val="24"/>
          <w:szCs w:val="24"/>
        </w:rPr>
        <w:fldChar w:fldCharType="separate"/>
      </w:r>
      <w:r w:rsidR="008907F4" w:rsidRPr="008907F4">
        <w:rPr>
          <w:rFonts w:ascii="Times New Roman" w:eastAsia="Times New Roman" w:hAnsi="Times New Roman" w:cs="Times New Roman"/>
          <w:noProof/>
          <w:color w:val="000000" w:themeColor="text1"/>
          <w:sz w:val="24"/>
          <w:szCs w:val="24"/>
          <w:vertAlign w:val="superscript"/>
        </w:rPr>
        <w:t>2</w:t>
      </w:r>
      <w:r w:rsidR="008907F4">
        <w:rPr>
          <w:rFonts w:ascii="Times New Roman" w:eastAsia="Times New Roman" w:hAnsi="Times New Roman" w:cs="Times New Roman"/>
          <w:color w:val="000000" w:themeColor="text1"/>
          <w:sz w:val="24"/>
          <w:szCs w:val="24"/>
        </w:rPr>
        <w:fldChar w:fldCharType="end"/>
      </w:r>
      <w:r w:rsidRPr="00AC4A03">
        <w:rPr>
          <w:rFonts w:ascii="Times New Roman" w:eastAsia="Times New Roman" w:hAnsi="Times New Roman" w:cs="Times New Roman"/>
          <w:color w:val="000000" w:themeColor="text1"/>
          <w:sz w:val="24"/>
          <w:szCs w:val="24"/>
        </w:rPr>
        <w:t>, whereas the EC</w:t>
      </w:r>
      <w:r w:rsidRPr="00AC4A03">
        <w:rPr>
          <w:rFonts w:ascii="Times New Roman" w:eastAsia="Times New Roman" w:hAnsi="Times New Roman" w:cs="Times New Roman"/>
          <w:color w:val="000000" w:themeColor="text1"/>
          <w:sz w:val="24"/>
          <w:szCs w:val="24"/>
          <w:vertAlign w:val="subscript"/>
        </w:rPr>
        <w:t>50</w:t>
      </w:r>
      <w:r w:rsidRPr="00AC4A03">
        <w:rPr>
          <w:rFonts w:ascii="Times New Roman" w:eastAsia="Times New Roman" w:hAnsi="Times New Roman" w:cs="Times New Roman"/>
          <w:color w:val="000000" w:themeColor="text1"/>
          <w:sz w:val="24"/>
          <w:szCs w:val="24"/>
        </w:rPr>
        <w:t xml:space="preserve"> of TCS was herein determined - 172 µM (50 mg·L</w:t>
      </w:r>
      <w:r w:rsidRPr="00AC4A03">
        <w:rPr>
          <w:rFonts w:ascii="Times New Roman" w:eastAsia="Times New Roman" w:hAnsi="Times New Roman" w:cs="Times New Roman"/>
          <w:color w:val="000000" w:themeColor="text1"/>
          <w:sz w:val="24"/>
          <w:szCs w:val="24"/>
          <w:vertAlign w:val="superscript"/>
        </w:rPr>
        <w:t>-1</w:t>
      </w:r>
      <w:r w:rsidRPr="00AC4A03">
        <w:rPr>
          <w:rFonts w:ascii="Times New Roman" w:eastAsia="Times New Roman" w:hAnsi="Times New Roman" w:cs="Times New Roman"/>
          <w:color w:val="000000" w:themeColor="text1"/>
          <w:sz w:val="24"/>
          <w:szCs w:val="24"/>
        </w:rPr>
        <w:t>).</w:t>
      </w:r>
    </w:p>
    <w:p w14:paraId="35EC3D41" w14:textId="77777777" w:rsidR="00FE7356" w:rsidRPr="00AC4A03" w:rsidRDefault="00FE7356" w:rsidP="00505CEA">
      <w:pPr>
        <w:spacing w:after="0" w:line="360" w:lineRule="auto"/>
        <w:contextualSpacing/>
        <w:jc w:val="both"/>
        <w:rPr>
          <w:rFonts w:ascii="Times New Roman" w:eastAsia="Times New Roman" w:hAnsi="Times New Roman" w:cs="Times New Roman"/>
          <w:color w:val="000000" w:themeColor="text1"/>
          <w:sz w:val="24"/>
          <w:szCs w:val="24"/>
        </w:rPr>
      </w:pPr>
    </w:p>
    <w:p w14:paraId="0EE5B35A" w14:textId="195940FC" w:rsidR="009B6468" w:rsidRPr="00AC4A03" w:rsidRDefault="009B6468" w:rsidP="00DC7986">
      <w:pPr>
        <w:pStyle w:val="Paragraph"/>
        <w:suppressAutoHyphens/>
        <w:spacing w:before="0" w:line="360" w:lineRule="auto"/>
        <w:ind w:firstLine="0"/>
        <w:contextualSpacing/>
        <w:jc w:val="both"/>
        <w:rPr>
          <w:lang w:val="en-GB"/>
        </w:rPr>
      </w:pPr>
      <w:r w:rsidRPr="00AC4A03">
        <w:rPr>
          <w:b/>
          <w:lang w:val="en-GB"/>
        </w:rPr>
        <w:t>Chemical extractions and chromatographic analyses</w:t>
      </w:r>
      <w:r w:rsidR="00DC7986">
        <w:rPr>
          <w:b/>
          <w:lang w:val="en-GB"/>
        </w:rPr>
        <w:t xml:space="preserve">. </w:t>
      </w:r>
      <w:r w:rsidRPr="00AC4A03">
        <w:rPr>
          <w:lang w:val="en-GB"/>
        </w:rPr>
        <w:t xml:space="preserve">To evaluate the </w:t>
      </w:r>
      <w:r w:rsidR="00ED0CB9" w:rsidRPr="00AC4A03">
        <w:rPr>
          <w:lang w:val="en-GB"/>
        </w:rPr>
        <w:t>de</w:t>
      </w:r>
      <w:r w:rsidR="00ED0CB9">
        <w:rPr>
          <w:lang w:val="en-GB"/>
        </w:rPr>
        <w:t>gradation</w:t>
      </w:r>
      <w:r w:rsidRPr="00AC4A03">
        <w:rPr>
          <w:lang w:val="en-GB"/>
        </w:rPr>
        <w:t xml:space="preserve"> of either pollutant after 10 days of incubation, the jellified media (with fungal mycelia or without in the abiotic controls) were freeze dried and gr</w:t>
      </w:r>
      <w:r w:rsidR="00ED0CB9">
        <w:rPr>
          <w:lang w:val="en-GB"/>
        </w:rPr>
        <w:t>ound</w:t>
      </w:r>
      <w:r w:rsidRPr="00AC4A03">
        <w:rPr>
          <w:lang w:val="en-GB"/>
        </w:rPr>
        <w:t xml:space="preserve"> using </w:t>
      </w:r>
      <w:r w:rsidR="00ED0CB9">
        <w:rPr>
          <w:lang w:val="en-GB"/>
        </w:rPr>
        <w:t xml:space="preserve">a pestle and </w:t>
      </w:r>
      <w:r w:rsidRPr="00AC4A03">
        <w:rPr>
          <w:lang w:val="en-GB"/>
        </w:rPr>
        <w:t>mortar. The gr</w:t>
      </w:r>
      <w:r w:rsidR="00ED0CB9">
        <w:rPr>
          <w:lang w:val="en-GB"/>
        </w:rPr>
        <w:t>ound</w:t>
      </w:r>
      <w:r w:rsidRPr="00AC4A03">
        <w:rPr>
          <w:lang w:val="en-GB"/>
        </w:rPr>
        <w:t xml:space="preserve"> media were then extracted with HPLC grade methanol using an ultrasonic bath for 30min. The samples were centrifuged at 13</w:t>
      </w:r>
      <w:r w:rsidR="0021018D">
        <w:rPr>
          <w:lang w:val="en-GB"/>
        </w:rPr>
        <w:t>,</w:t>
      </w:r>
      <w:r w:rsidRPr="00AC4A03">
        <w:rPr>
          <w:lang w:val="en-GB"/>
        </w:rPr>
        <w:t>000</w:t>
      </w:r>
      <w:r w:rsidRPr="00AC4A03">
        <w:rPr>
          <w:i/>
          <w:lang w:val="en-GB"/>
        </w:rPr>
        <w:t xml:space="preserve">g </w:t>
      </w:r>
      <w:r w:rsidRPr="00AC4A03">
        <w:rPr>
          <w:lang w:val="en-GB"/>
        </w:rPr>
        <w:t>for 15min at 4</w:t>
      </w:r>
      <w:r w:rsidR="000C6279">
        <w:rPr>
          <w:lang w:val="en-GB"/>
        </w:rPr>
        <w:t xml:space="preserve"> </w:t>
      </w:r>
      <w:r w:rsidRPr="00AC4A03">
        <w:rPr>
          <w:lang w:val="en-GB"/>
        </w:rPr>
        <w:t xml:space="preserve">°C and the supernatant recovered. This step was repeated twice for each sample. The organic extracts were dried under gentle </w:t>
      </w:r>
      <w:r w:rsidR="00ED0CB9" w:rsidRPr="00AC4A03">
        <w:rPr>
          <w:lang w:val="en-GB"/>
        </w:rPr>
        <w:t>airflow</w:t>
      </w:r>
      <w:r w:rsidRPr="00AC4A03">
        <w:rPr>
          <w:lang w:val="en-GB"/>
        </w:rPr>
        <w:t xml:space="preserve"> and stored until further analysis. To evaluate the existence of pollutants adsorbed to the airborne spores, </w:t>
      </w:r>
      <w:r w:rsidR="00ED0CB9">
        <w:rPr>
          <w:lang w:val="en-GB"/>
        </w:rPr>
        <w:t>samples</w:t>
      </w:r>
      <w:r w:rsidRPr="00AC4A03">
        <w:rPr>
          <w:lang w:val="en-GB"/>
        </w:rPr>
        <w:t xml:space="preserve"> were extracted with HPLC grade methanol</w:t>
      </w:r>
      <w:r w:rsidRPr="00AC4A03">
        <w:t xml:space="preserve"> using 3 cycles of 10min in an ultrasonic bath interchanged with 5min of bead beating using a </w:t>
      </w:r>
      <w:proofErr w:type="spellStart"/>
      <w:r w:rsidRPr="00AC4A03">
        <w:t>TissueLyzer</w:t>
      </w:r>
      <w:proofErr w:type="spellEnd"/>
      <w:r w:rsidRPr="00AC4A03">
        <w:t xml:space="preserve"> LT Adapter (Qiagen, Germany) at maximum speed</w:t>
      </w:r>
      <w:r w:rsidRPr="00AC4A03">
        <w:rPr>
          <w:lang w:val="en-GB"/>
        </w:rPr>
        <w:t xml:space="preserve"> </w:t>
      </w:r>
      <w:r w:rsidRPr="00AC4A03">
        <w:t xml:space="preserve">(1 g of glass beads </w:t>
      </w:r>
      <w:r w:rsidRPr="00AC4A03">
        <w:rPr>
          <w:i/>
        </w:rPr>
        <w:t xml:space="preserve">per </w:t>
      </w:r>
      <w:r w:rsidRPr="00AC4A03">
        <w:t>sample, equal amounts of beads of 0.5 and 0.1 mm).</w:t>
      </w:r>
      <w:r w:rsidRPr="00AC4A03">
        <w:rPr>
          <w:lang w:val="en-GB"/>
        </w:rPr>
        <w:t xml:space="preserve"> </w:t>
      </w:r>
    </w:p>
    <w:p w14:paraId="1D1E4CFA" w14:textId="00BCBBD5" w:rsidR="009B6468" w:rsidRPr="00AC4A03" w:rsidRDefault="009B6468" w:rsidP="00505CEA">
      <w:pPr>
        <w:suppressAutoHyphens/>
        <w:spacing w:after="0" w:line="360" w:lineRule="auto"/>
        <w:ind w:firstLine="720"/>
        <w:contextualSpacing/>
        <w:jc w:val="both"/>
        <w:rPr>
          <w:rFonts w:ascii="Times New Roman" w:eastAsia="Times New Roman" w:hAnsi="Times New Roman" w:cs="Times New Roman"/>
          <w:iCs/>
          <w:sz w:val="24"/>
          <w:szCs w:val="24"/>
        </w:rPr>
      </w:pPr>
      <w:r w:rsidRPr="00AC4A03">
        <w:rPr>
          <w:rFonts w:ascii="Times New Roman" w:eastAsia="Times New Roman" w:hAnsi="Times New Roman" w:cs="Times New Roman"/>
          <w:iCs/>
          <w:sz w:val="24"/>
          <w:szCs w:val="24"/>
        </w:rPr>
        <w:t xml:space="preserve">Analyses of these extracts were performed using high performance liquid chromatography (HPLC) with a diode array detector (DAD) and fluorescence detector (FLD). HPLC analysis was performed on a LC system equipped with a Quaternary Pump (G7111B) </w:t>
      </w:r>
      <w:r w:rsidRPr="00AC4A03">
        <w:rPr>
          <w:rFonts w:ascii="Times New Roman" w:eastAsia="Times New Roman" w:hAnsi="Times New Roman" w:cs="Times New Roman"/>
          <w:iCs/>
          <w:sz w:val="24"/>
          <w:szCs w:val="24"/>
        </w:rPr>
        <w:lastRenderedPageBreak/>
        <w:t xml:space="preserve">and a vial sampler (G7129A) (Infinity II, 1260 Series, Agilent Technologies, USA), coupled to a diode array detector (G1315B) and a fluorescence detector (G1321A) (Agilent 1100 Series). The UV wavelength was set to scan 200 to 500 nm. The system was operated with LC </w:t>
      </w:r>
      <w:proofErr w:type="spellStart"/>
      <w:r w:rsidRPr="00AC4A03">
        <w:rPr>
          <w:rFonts w:ascii="Times New Roman" w:eastAsia="Times New Roman" w:hAnsi="Times New Roman" w:cs="Times New Roman"/>
          <w:iCs/>
          <w:sz w:val="24"/>
          <w:szCs w:val="24"/>
        </w:rPr>
        <w:t>OpenLab</w:t>
      </w:r>
      <w:proofErr w:type="spellEnd"/>
      <w:r w:rsidRPr="00AC4A03">
        <w:rPr>
          <w:rFonts w:ascii="Times New Roman" w:eastAsia="Times New Roman" w:hAnsi="Times New Roman" w:cs="Times New Roman"/>
          <w:iCs/>
          <w:sz w:val="24"/>
          <w:szCs w:val="24"/>
        </w:rPr>
        <w:t xml:space="preserve"> software (version 2.15.26). The </w:t>
      </w:r>
      <w:r w:rsidR="00FE7356" w:rsidRPr="00AC4A03">
        <w:rPr>
          <w:rFonts w:ascii="Times New Roman" w:eastAsia="Times New Roman" w:hAnsi="Times New Roman" w:cs="Times New Roman"/>
          <w:iCs/>
          <w:sz w:val="24"/>
          <w:szCs w:val="24"/>
        </w:rPr>
        <w:t xml:space="preserve">methanolic </w:t>
      </w:r>
      <w:r w:rsidRPr="00AC4A03">
        <w:rPr>
          <w:rFonts w:ascii="Times New Roman" w:eastAsia="Times New Roman" w:hAnsi="Times New Roman" w:cs="Times New Roman"/>
          <w:iCs/>
          <w:sz w:val="24"/>
          <w:szCs w:val="24"/>
        </w:rPr>
        <w:t xml:space="preserve">extracts were dried and resuspended in 100 µL of methanol. Analytes separation was performed using a CORTEC T3 2.7 </w:t>
      </w:r>
      <w:proofErr w:type="spellStart"/>
      <w:r w:rsidRPr="00AC4A03">
        <w:rPr>
          <w:rFonts w:ascii="Times New Roman" w:eastAsia="Times New Roman" w:hAnsi="Times New Roman" w:cs="Times New Roman"/>
          <w:iCs/>
          <w:sz w:val="24"/>
          <w:szCs w:val="24"/>
        </w:rPr>
        <w:t>μm</w:t>
      </w:r>
      <w:proofErr w:type="spellEnd"/>
      <w:r w:rsidRPr="00AC4A03">
        <w:rPr>
          <w:rFonts w:ascii="Times New Roman" w:eastAsia="Times New Roman" w:hAnsi="Times New Roman" w:cs="Times New Roman"/>
          <w:iCs/>
          <w:sz w:val="24"/>
          <w:szCs w:val="24"/>
        </w:rPr>
        <w:t xml:space="preserve"> column (4.6 x 100 mm; Waters) and an Onyx </w:t>
      </w:r>
      <w:proofErr w:type="spellStart"/>
      <w:r w:rsidRPr="00AC4A03">
        <w:rPr>
          <w:rFonts w:ascii="Times New Roman" w:eastAsia="Times New Roman" w:hAnsi="Times New Roman" w:cs="Times New Roman"/>
          <w:iCs/>
          <w:sz w:val="24"/>
          <w:szCs w:val="24"/>
        </w:rPr>
        <w:t>SecurityGuard</w:t>
      </w:r>
      <w:proofErr w:type="spellEnd"/>
      <w:r w:rsidRPr="00AC4A03">
        <w:rPr>
          <w:rFonts w:ascii="Times New Roman" w:eastAsia="Times New Roman" w:hAnsi="Times New Roman" w:cs="Times New Roman"/>
          <w:iCs/>
          <w:sz w:val="24"/>
          <w:szCs w:val="24"/>
        </w:rPr>
        <w:t xml:space="preserve"> C18 cartridges (5 x 4.6 mm; Phenomenex). The oven was set to 36</w:t>
      </w:r>
      <w:r w:rsidR="00FE7356" w:rsidRPr="00AC4A03">
        <w:rPr>
          <w:rFonts w:ascii="Times New Roman" w:eastAsia="Times New Roman" w:hAnsi="Times New Roman" w:cs="Times New Roman"/>
          <w:iCs/>
          <w:sz w:val="24"/>
          <w:szCs w:val="24"/>
        </w:rPr>
        <w:t xml:space="preserve"> </w:t>
      </w:r>
      <w:r w:rsidRPr="00AC4A03">
        <w:rPr>
          <w:rFonts w:ascii="Times New Roman" w:eastAsia="Times New Roman" w:hAnsi="Times New Roman" w:cs="Times New Roman"/>
          <w:iCs/>
          <w:sz w:val="24"/>
          <w:szCs w:val="24"/>
        </w:rPr>
        <w:t>°C.  HPLC runs were performed at a constant flow of 1.5 ml</w:t>
      </w:r>
      <w:r w:rsidR="001A1D31" w:rsidRPr="00AC4A03">
        <w:rPr>
          <w:rFonts w:ascii="Times New Roman" w:eastAsia="Times New Roman" w:hAnsi="Times New Roman" w:cs="Times New Roman"/>
          <w:iCs/>
          <w:sz w:val="24"/>
          <w:szCs w:val="24"/>
        </w:rPr>
        <w:t>·</w:t>
      </w:r>
      <w:r w:rsidRPr="00AC4A03">
        <w:rPr>
          <w:rFonts w:ascii="Times New Roman" w:eastAsia="Times New Roman" w:hAnsi="Times New Roman" w:cs="Times New Roman"/>
          <w:iCs/>
          <w:sz w:val="24"/>
          <w:szCs w:val="24"/>
        </w:rPr>
        <w:t>min</w:t>
      </w:r>
      <w:r w:rsidR="001A1D31" w:rsidRPr="00AC4A03">
        <w:rPr>
          <w:rFonts w:ascii="Times New Roman" w:eastAsia="Times New Roman" w:hAnsi="Times New Roman" w:cs="Times New Roman"/>
          <w:iCs/>
          <w:sz w:val="24"/>
          <w:szCs w:val="24"/>
          <w:vertAlign w:val="superscript"/>
        </w:rPr>
        <w:t>-1</w:t>
      </w:r>
      <w:r w:rsidRPr="00AC4A03">
        <w:rPr>
          <w:rFonts w:ascii="Times New Roman" w:eastAsia="Times New Roman" w:hAnsi="Times New Roman" w:cs="Times New Roman"/>
          <w:iCs/>
          <w:sz w:val="24"/>
          <w:szCs w:val="24"/>
        </w:rPr>
        <w:t>, in gradient mode. The eluents used were acetonitrile/</w:t>
      </w:r>
      <w:proofErr w:type="spellStart"/>
      <w:r w:rsidRPr="00AC4A03">
        <w:rPr>
          <w:rFonts w:ascii="Times New Roman" w:eastAsia="Times New Roman" w:hAnsi="Times New Roman" w:cs="Times New Roman"/>
          <w:iCs/>
          <w:sz w:val="24"/>
          <w:szCs w:val="24"/>
        </w:rPr>
        <w:t>Mili</w:t>
      </w:r>
      <w:proofErr w:type="spellEnd"/>
      <w:r w:rsidRPr="00AC4A03">
        <w:rPr>
          <w:rFonts w:ascii="Times New Roman" w:eastAsia="Times New Roman" w:hAnsi="Times New Roman" w:cs="Times New Roman"/>
          <w:iCs/>
          <w:sz w:val="24"/>
          <w:szCs w:val="24"/>
        </w:rPr>
        <w:t xml:space="preserve">-Q water solutions (solution A: 5/95; solution B: 95/5), with 0.1% phosphoric acid. All eluents were filtered through Nylon 66 membranes (pore size 0.45 </w:t>
      </w:r>
      <w:proofErr w:type="spellStart"/>
      <w:r w:rsidRPr="00AC4A03">
        <w:rPr>
          <w:rFonts w:ascii="Times New Roman" w:eastAsia="Times New Roman" w:hAnsi="Times New Roman" w:cs="Times New Roman"/>
          <w:iCs/>
          <w:sz w:val="24"/>
          <w:szCs w:val="24"/>
        </w:rPr>
        <w:t>μm</w:t>
      </w:r>
      <w:proofErr w:type="spellEnd"/>
      <w:r w:rsidRPr="00AC4A03">
        <w:rPr>
          <w:rFonts w:ascii="Times New Roman" w:eastAsia="Times New Roman" w:hAnsi="Times New Roman" w:cs="Times New Roman"/>
          <w:iCs/>
          <w:sz w:val="24"/>
          <w:szCs w:val="24"/>
        </w:rPr>
        <w:t xml:space="preserve">; Bellefonte). The gradient run was set to 1min 30% B, after 60% B until 5min, then 95% B until 10min, and until 97% B on min 11 where it was held constant </w:t>
      </w:r>
      <w:r w:rsidRPr="0021018D">
        <w:rPr>
          <w:rFonts w:ascii="Times New Roman" w:eastAsia="Times New Roman" w:hAnsi="Times New Roman" w:cs="Times New Roman"/>
          <w:iCs/>
          <w:sz w:val="24"/>
          <w:szCs w:val="24"/>
        </w:rPr>
        <w:t xml:space="preserve">for </w:t>
      </w:r>
      <w:r w:rsidR="0021018D" w:rsidRPr="0021018D">
        <w:rPr>
          <w:rFonts w:ascii="Times New Roman" w:eastAsia="Times New Roman" w:hAnsi="Times New Roman" w:cs="Times New Roman"/>
          <w:iCs/>
          <w:sz w:val="24"/>
          <w:szCs w:val="24"/>
        </w:rPr>
        <w:t>1</w:t>
      </w:r>
      <w:r w:rsidRPr="0021018D">
        <w:rPr>
          <w:rFonts w:ascii="Times New Roman" w:eastAsia="Times New Roman" w:hAnsi="Times New Roman" w:cs="Times New Roman"/>
          <w:iCs/>
          <w:sz w:val="24"/>
          <w:szCs w:val="24"/>
        </w:rPr>
        <w:t>min and</w:t>
      </w:r>
      <w:r w:rsidRPr="00AC4A03">
        <w:rPr>
          <w:rFonts w:ascii="Times New Roman" w:eastAsia="Times New Roman" w:hAnsi="Times New Roman" w:cs="Times New Roman"/>
          <w:iCs/>
          <w:sz w:val="24"/>
          <w:szCs w:val="24"/>
        </w:rPr>
        <w:t xml:space="preserve"> then 30% B until 13min. Post-run equilibrium was carried out for 2min. The reference standards for the target compounds and extract samples were analysed at 212 nm for PCP and 282 for TCS.  LD and LQ were, respectively, 130 and 390 </w:t>
      </w:r>
      <w:r w:rsidR="00481DAC">
        <w:rPr>
          <w:rFonts w:ascii="Times New Roman" w:eastAsia="Times New Roman" w:hAnsi="Times New Roman" w:cs="Times New Roman"/>
          <w:iCs/>
          <w:sz w:val="24"/>
          <w:szCs w:val="24"/>
        </w:rPr>
        <w:t>µ</w:t>
      </w:r>
      <w:proofErr w:type="gramStart"/>
      <w:r w:rsidRPr="00AC4A03">
        <w:rPr>
          <w:rFonts w:ascii="Times New Roman" w:eastAsia="Times New Roman" w:hAnsi="Times New Roman" w:cs="Times New Roman"/>
          <w:iCs/>
          <w:sz w:val="24"/>
          <w:szCs w:val="24"/>
        </w:rPr>
        <w:t>g.L</w:t>
      </w:r>
      <w:proofErr w:type="gramEnd"/>
      <w:r w:rsidRPr="00AC4A03">
        <w:rPr>
          <w:rFonts w:ascii="Times New Roman" w:eastAsia="Times New Roman" w:hAnsi="Times New Roman" w:cs="Times New Roman"/>
          <w:iCs/>
          <w:sz w:val="24"/>
          <w:szCs w:val="24"/>
          <w:vertAlign w:val="superscript"/>
        </w:rPr>
        <w:t>-1</w:t>
      </w:r>
      <w:r w:rsidRPr="00AC4A03">
        <w:rPr>
          <w:rFonts w:ascii="Times New Roman" w:eastAsia="Times New Roman" w:hAnsi="Times New Roman" w:cs="Times New Roman"/>
          <w:iCs/>
          <w:sz w:val="24"/>
          <w:szCs w:val="24"/>
        </w:rPr>
        <w:t xml:space="preserve"> for PCP and 80 and 240 </w:t>
      </w:r>
      <w:r w:rsidR="00481DAC">
        <w:rPr>
          <w:rFonts w:ascii="Times New Roman" w:eastAsia="Times New Roman" w:hAnsi="Times New Roman" w:cs="Times New Roman"/>
          <w:iCs/>
          <w:sz w:val="24"/>
          <w:szCs w:val="24"/>
        </w:rPr>
        <w:t>µ</w:t>
      </w:r>
      <w:r w:rsidRPr="00AC4A03">
        <w:rPr>
          <w:rFonts w:ascii="Times New Roman" w:eastAsia="Times New Roman" w:hAnsi="Times New Roman" w:cs="Times New Roman"/>
          <w:iCs/>
          <w:sz w:val="24"/>
          <w:szCs w:val="24"/>
        </w:rPr>
        <w:t>g.L</w:t>
      </w:r>
      <w:r w:rsidRPr="00AC4A03">
        <w:rPr>
          <w:rFonts w:ascii="Times New Roman" w:eastAsia="Times New Roman" w:hAnsi="Times New Roman" w:cs="Times New Roman"/>
          <w:iCs/>
          <w:sz w:val="24"/>
          <w:szCs w:val="24"/>
          <w:vertAlign w:val="superscript"/>
        </w:rPr>
        <w:t>-1</w:t>
      </w:r>
      <w:r w:rsidRPr="00AC4A03">
        <w:rPr>
          <w:rFonts w:ascii="Times New Roman" w:eastAsia="Times New Roman" w:hAnsi="Times New Roman" w:cs="Times New Roman"/>
          <w:iCs/>
          <w:sz w:val="24"/>
          <w:szCs w:val="24"/>
        </w:rPr>
        <w:t xml:space="preserve"> for TCS.</w:t>
      </w:r>
    </w:p>
    <w:p w14:paraId="2E7BDF06" w14:textId="69AD4384" w:rsidR="009B6468" w:rsidRPr="00AC4A03" w:rsidRDefault="009B6468" w:rsidP="00505CEA">
      <w:pPr>
        <w:spacing w:after="0" w:line="360" w:lineRule="auto"/>
        <w:rPr>
          <w:rFonts w:ascii="Times New Roman" w:eastAsia="Times New Roman" w:hAnsi="Times New Roman" w:cs="Times New Roman"/>
          <w:iCs/>
          <w:sz w:val="24"/>
          <w:szCs w:val="24"/>
        </w:rPr>
      </w:pPr>
    </w:p>
    <w:p w14:paraId="639F6E33" w14:textId="32DA4827" w:rsidR="000B1C1D" w:rsidRPr="00AC4A03" w:rsidRDefault="000B1C1D" w:rsidP="000B1C1D">
      <w:pPr>
        <w:pStyle w:val="Paragraph"/>
        <w:suppressAutoHyphens/>
        <w:spacing w:before="0" w:line="360" w:lineRule="auto"/>
        <w:ind w:firstLine="0"/>
        <w:contextualSpacing/>
        <w:jc w:val="both"/>
      </w:pPr>
      <w:r w:rsidRPr="00AC4A03">
        <w:rPr>
          <w:b/>
          <w:i/>
          <w:iCs/>
          <w:lang w:val="en-GB"/>
        </w:rPr>
        <w:t>In vivo</w:t>
      </w:r>
      <w:r w:rsidRPr="00AC4A03">
        <w:rPr>
          <w:b/>
          <w:iCs/>
          <w:lang w:val="en-GB"/>
        </w:rPr>
        <w:t xml:space="preserve"> infection tests</w:t>
      </w:r>
      <w:r w:rsidRPr="00AC4A03">
        <w:rPr>
          <w:iCs/>
          <w:lang w:val="en-GB"/>
        </w:rPr>
        <w:t xml:space="preserve">. </w:t>
      </w:r>
      <w:r w:rsidRPr="00AC4A03">
        <w:rPr>
          <w:i/>
          <w:iCs/>
          <w:lang w:val="en-GB"/>
        </w:rPr>
        <w:t xml:space="preserve">Galleria mellonella </w:t>
      </w:r>
      <w:r w:rsidRPr="00AC4A03">
        <w:rPr>
          <w:iCs/>
          <w:lang w:val="en-GB"/>
        </w:rPr>
        <w:t xml:space="preserve">larvae were reared on a pollen grain and bee wax diet at 25 °C in the dark and used </w:t>
      </w:r>
      <w:r w:rsidR="00ED0CB9">
        <w:rPr>
          <w:iCs/>
          <w:lang w:val="en-GB"/>
        </w:rPr>
        <w:t>at</w:t>
      </w:r>
      <w:r w:rsidRPr="00AC4A03">
        <w:rPr>
          <w:iCs/>
          <w:lang w:val="en-GB"/>
        </w:rPr>
        <w:t xml:space="preserve"> a final development</w:t>
      </w:r>
      <w:r w:rsidR="00ED0CB9">
        <w:rPr>
          <w:iCs/>
          <w:lang w:val="en-GB"/>
        </w:rPr>
        <w:t>al stage</w:t>
      </w:r>
      <w:r w:rsidRPr="00AC4A03">
        <w:rPr>
          <w:iCs/>
          <w:lang w:val="en-GB"/>
        </w:rPr>
        <w:t xml:space="preserve"> with a weight of 225 ± 25 mg.</w:t>
      </w:r>
      <w:r w:rsidRPr="00AC4A03">
        <w:t xml:space="preserve"> </w:t>
      </w:r>
      <w:r w:rsidRPr="00AC4A03">
        <w:rPr>
          <w:lang w:val="en-GB"/>
        </w:rPr>
        <w:t xml:space="preserve">The infection studies </w:t>
      </w:r>
      <w:r w:rsidR="00FE7356" w:rsidRPr="00AC4A03">
        <w:rPr>
          <w:lang w:val="en-GB"/>
        </w:rPr>
        <w:t xml:space="preserve">in </w:t>
      </w:r>
      <w:r w:rsidRPr="00AC4A03">
        <w:rPr>
          <w:i/>
          <w:lang w:val="en-GB"/>
        </w:rPr>
        <w:t>G. mellonella</w:t>
      </w:r>
      <w:r w:rsidRPr="00AC4A03">
        <w:rPr>
          <w:lang w:val="en-GB"/>
        </w:rPr>
        <w:t xml:space="preserve"> </w:t>
      </w:r>
      <w:r w:rsidR="00FE7356" w:rsidRPr="00AC4A03">
        <w:rPr>
          <w:lang w:val="en-GB"/>
        </w:rPr>
        <w:t>were performed as previously described</w:t>
      </w:r>
      <w:r w:rsidR="008907F4">
        <w:rPr>
          <w:lang w:val="en-GB"/>
        </w:rPr>
        <w:fldChar w:fldCharType="begin"/>
      </w:r>
      <w:r w:rsidR="008907F4">
        <w:rPr>
          <w:lang w:val="en-GB"/>
        </w:rPr>
        <w:instrText xml:space="preserve"> ADDIN EN.CITE &lt;EndNote&gt;&lt;Cite&gt;&lt;Author&gt;Durieux&lt;/Author&gt;&lt;Year&gt;2021&lt;/Year&gt;&lt;RecNum&gt;62&lt;/RecNum&gt;&lt;DisplayText&gt;&lt;style face="superscript"&gt;3&lt;/style&gt;&lt;/DisplayText&gt;&lt;record&gt;&lt;rec-number&gt;62&lt;/rec-number&gt;&lt;foreign-keys&gt;&lt;key app="EN" db-id="2rfsx9rapweadwev95s5wwp5rf9aav0wzpfd" timestamp="1667935100"&gt;62&lt;/key&gt;&lt;/foreign-keys&gt;&lt;ref-type name="Journal Article"&gt;17&lt;/ref-type&gt;&lt;contributors&gt;&lt;authors&gt;&lt;author&gt;Durieux, Marie-Fleur&lt;/author&gt;&lt;author&gt;Melloul, Élise&lt;/author&gt;&lt;author&gt;Jemel, Sana&lt;/author&gt;&lt;author&gt;Roisin, Lolita&lt;/author&gt;&lt;author&gt;Dardé, Marie-Laure&lt;/author&gt;&lt;author&gt;Guillot, Jacques&lt;/author&gt;&lt;author&gt;Dannaoui, Éric&lt;/author&gt;&lt;author&gt;Botterel, Françoise&lt;/author&gt;&lt;/authors&gt;&lt;/contributors&gt;&lt;titles&gt;&lt;title&gt;&lt;style face="italic" font="default" size="100%"&gt;Galleria mellonella&lt;/style&gt;&lt;style face="normal" font="default" size="100%"&gt; as a screening tool to study virulence factors of &lt;/style&gt;&lt;style face="italic" font="default" size="100%"&gt;Aspergillus fumigatus&lt;/style&gt;&lt;/title&gt;&lt;secondary-title&gt;Virulence&lt;/secondary-title&gt;&lt;/titles&gt;&lt;periodical&gt;&lt;full-title&gt;Virulence&lt;/full-title&gt;&lt;abbr-1&gt;Virulence&lt;/abbr-1&gt;&lt;/periodical&gt;&lt;pages&gt;818-834&lt;/pages&gt;&lt;volume&gt;12&lt;/volume&gt;&lt;number&gt;1&lt;/number&gt;&lt;dates&gt;&lt;year&gt;2021&lt;/year&gt;&lt;/dates&gt;&lt;isbn&gt;2150-5594&lt;/isbn&gt;&lt;urls&gt;&lt;/urls&gt;&lt;/record&gt;&lt;/Cite&gt;&lt;/EndNote&gt;</w:instrText>
      </w:r>
      <w:r w:rsidR="008907F4">
        <w:rPr>
          <w:lang w:val="en-GB"/>
        </w:rPr>
        <w:fldChar w:fldCharType="separate"/>
      </w:r>
      <w:r w:rsidR="008907F4" w:rsidRPr="008907F4">
        <w:rPr>
          <w:noProof/>
          <w:vertAlign w:val="superscript"/>
          <w:lang w:val="en-GB"/>
        </w:rPr>
        <w:t>3</w:t>
      </w:r>
      <w:r w:rsidR="008907F4">
        <w:rPr>
          <w:lang w:val="en-GB"/>
        </w:rPr>
        <w:fldChar w:fldCharType="end"/>
      </w:r>
      <w:r w:rsidR="00FE7356" w:rsidRPr="00AC4A03">
        <w:t xml:space="preserve">. Each larva was injected with </w:t>
      </w:r>
      <w:r w:rsidRPr="00AC4A03">
        <w:rPr>
          <w:lang w:val="en-GB"/>
        </w:rPr>
        <w:t>10</w:t>
      </w:r>
      <w:r w:rsidRPr="00AC4A03">
        <w:rPr>
          <w:vertAlign w:val="superscript"/>
          <w:lang w:val="en-GB"/>
        </w:rPr>
        <w:t>6</w:t>
      </w:r>
      <w:r w:rsidRPr="00AC4A03">
        <w:rPr>
          <w:lang w:val="en-GB"/>
        </w:rPr>
        <w:t xml:space="preserve"> spores (community)</w:t>
      </w:r>
      <w:r w:rsidR="00FE7356" w:rsidRPr="00AC4A03">
        <w:rPr>
          <w:lang w:val="en-GB"/>
        </w:rPr>
        <w:t xml:space="preserve"> or</w:t>
      </w:r>
      <w:r w:rsidRPr="00AC4A03">
        <w:rPr>
          <w:lang w:val="en-GB"/>
        </w:rPr>
        <w:t xml:space="preserve"> 10</w:t>
      </w:r>
      <w:r w:rsidRPr="00AC4A03">
        <w:rPr>
          <w:vertAlign w:val="superscript"/>
          <w:lang w:val="en-GB"/>
        </w:rPr>
        <w:t>7</w:t>
      </w:r>
      <w:r w:rsidRPr="00AC4A03">
        <w:rPr>
          <w:lang w:val="en-GB"/>
        </w:rPr>
        <w:t xml:space="preserve"> spores (axenic</w:t>
      </w:r>
      <w:r w:rsidR="00FE7356" w:rsidRPr="00AC4A03">
        <w:rPr>
          <w:lang w:val="en-GB"/>
        </w:rPr>
        <w:t xml:space="preserve"> and </w:t>
      </w:r>
      <w:r w:rsidRPr="00AC4A03">
        <w:rPr>
          <w:color w:val="000000" w:themeColor="text1"/>
          <w:lang w:val="en-GB"/>
        </w:rPr>
        <w:t>consortia of two strains</w:t>
      </w:r>
      <w:r w:rsidR="00FE7356" w:rsidRPr="00AC4A03">
        <w:rPr>
          <w:color w:val="000000" w:themeColor="text1"/>
          <w:lang w:val="en-GB"/>
        </w:rPr>
        <w:t xml:space="preserve">: </w:t>
      </w:r>
      <w:r w:rsidRPr="00AC4A03">
        <w:rPr>
          <w:color w:val="000000" w:themeColor="text1"/>
          <w:lang w:val="en-GB"/>
        </w:rPr>
        <w:t xml:space="preserve">1:1 for a mix of two </w:t>
      </w:r>
      <w:r w:rsidRPr="00AC4A03">
        <w:rPr>
          <w:i/>
          <w:color w:val="000000" w:themeColor="text1"/>
          <w:lang w:val="en-GB"/>
        </w:rPr>
        <w:t>A. fumigatus</w:t>
      </w:r>
      <w:r w:rsidRPr="00AC4A03">
        <w:rPr>
          <w:color w:val="000000" w:themeColor="text1"/>
          <w:lang w:val="en-GB"/>
        </w:rPr>
        <w:t xml:space="preserve"> strains, and 10:1 for a mix of </w:t>
      </w:r>
      <w:r w:rsidRPr="00AC4A03">
        <w:rPr>
          <w:i/>
          <w:color w:val="000000" w:themeColor="text1"/>
          <w:lang w:val="en-GB"/>
        </w:rPr>
        <w:t>A. fumigatus</w:t>
      </w:r>
      <w:r w:rsidRPr="00AC4A03">
        <w:rPr>
          <w:color w:val="000000" w:themeColor="text1"/>
          <w:lang w:val="en-GB"/>
        </w:rPr>
        <w:t xml:space="preserve"> with </w:t>
      </w:r>
      <w:r w:rsidRPr="00AC4A03">
        <w:rPr>
          <w:i/>
          <w:color w:val="000000" w:themeColor="text1"/>
          <w:lang w:val="en-GB"/>
        </w:rPr>
        <w:t xml:space="preserve">A. </w:t>
      </w:r>
      <w:proofErr w:type="spellStart"/>
      <w:r w:rsidRPr="00AC4A03">
        <w:rPr>
          <w:i/>
          <w:color w:val="000000" w:themeColor="text1"/>
          <w:lang w:val="en-GB"/>
        </w:rPr>
        <w:t>niger</w:t>
      </w:r>
      <w:proofErr w:type="spellEnd"/>
      <w:r w:rsidRPr="00AC4A03">
        <w:rPr>
          <w:color w:val="000000" w:themeColor="text1"/>
          <w:lang w:val="en-GB"/>
        </w:rPr>
        <w:t xml:space="preserve">, </w:t>
      </w:r>
      <w:r w:rsidR="00AB120C" w:rsidRPr="00AC4A03">
        <w:rPr>
          <w:color w:val="000000" w:themeColor="text1"/>
          <w:lang w:val="en-GB"/>
        </w:rPr>
        <w:t xml:space="preserve">to </w:t>
      </w:r>
      <w:r w:rsidRPr="00AC4A03">
        <w:rPr>
          <w:color w:val="000000" w:themeColor="text1"/>
          <w:lang w:val="en-GB"/>
        </w:rPr>
        <w:t>match the</w:t>
      </w:r>
      <w:r w:rsidR="00AB120C" w:rsidRPr="00AC4A03">
        <w:rPr>
          <w:color w:val="000000" w:themeColor="text1"/>
          <w:lang w:val="en-GB"/>
        </w:rPr>
        <w:t>ir</w:t>
      </w:r>
      <w:r w:rsidRPr="00AC4A03">
        <w:rPr>
          <w:color w:val="000000" w:themeColor="text1"/>
          <w:lang w:val="en-GB"/>
        </w:rPr>
        <w:t xml:space="preserve"> relative abundances in the either Test-inoculum). A set of 10 larvae was used for each condition and </w:t>
      </w:r>
      <w:r w:rsidRPr="00AC4A03">
        <w:rPr>
          <w:lang w:val="en-GB"/>
        </w:rPr>
        <w:t xml:space="preserve">a micrometre was adapted to control the volume of a </w:t>
      </w:r>
      <w:proofErr w:type="spellStart"/>
      <w:r w:rsidRPr="00AC4A03">
        <w:rPr>
          <w:lang w:val="en-GB"/>
        </w:rPr>
        <w:t>microsyringe</w:t>
      </w:r>
      <w:proofErr w:type="spellEnd"/>
      <w:r w:rsidRPr="00AC4A03">
        <w:rPr>
          <w:lang w:val="en-GB"/>
        </w:rPr>
        <w:t xml:space="preserve"> and inject 5 µl of 'spores' suspension into each larva via the hindmost left proleg, previously sanitised with 70% (v/v) ethanol. Following injection, the larvae were placed in Petri dishes, stored (dark, 37</w:t>
      </w:r>
      <w:r w:rsidR="000C6279">
        <w:rPr>
          <w:lang w:val="en-GB"/>
        </w:rPr>
        <w:t xml:space="preserve"> </w:t>
      </w:r>
      <w:r w:rsidRPr="00AC4A03">
        <w:rPr>
          <w:lang w:val="en-GB"/>
        </w:rPr>
        <w:t xml:space="preserve">°C) and examined daily for 96h or 120h. </w:t>
      </w:r>
      <w:r w:rsidR="00BA2747">
        <w:rPr>
          <w:lang w:val="en-GB"/>
        </w:rPr>
        <w:t xml:space="preserve">Larvae </w:t>
      </w:r>
      <w:r w:rsidRPr="00AC4A03">
        <w:rPr>
          <w:lang w:val="en-GB"/>
        </w:rPr>
        <w:t xml:space="preserve">were considered dead when they displayed no movement in response to touch. Each larva was also scored daily according to the </w:t>
      </w:r>
      <w:r w:rsidRPr="00AC4A03">
        <w:rPr>
          <w:i/>
          <w:lang w:val="en-GB"/>
        </w:rPr>
        <w:t>G. mellonella</w:t>
      </w:r>
      <w:r w:rsidRPr="00AC4A03">
        <w:rPr>
          <w:lang w:val="en-GB"/>
        </w:rPr>
        <w:t xml:space="preserve"> Health Index scoring system</w:t>
      </w:r>
      <w:r w:rsidR="008907F4">
        <w:rPr>
          <w:lang w:val="en-GB"/>
        </w:rPr>
        <w:fldChar w:fldCharType="begin"/>
      </w:r>
      <w:r w:rsidR="008907F4">
        <w:rPr>
          <w:lang w:val="en-GB"/>
        </w:rPr>
        <w:instrText xml:space="preserve"> ADDIN EN.CITE &lt;EndNote&gt;&lt;Cite&gt;&lt;Author&gt;Tsai&lt;/Author&gt;&lt;Year&gt;2016&lt;/Year&gt;&lt;RecNum&gt;56&lt;/RecNum&gt;&lt;DisplayText&gt;&lt;style face="superscript"&gt;4&lt;/style&gt;&lt;/DisplayText&gt;&lt;record&gt;&lt;rec-number&gt;56&lt;/rec-number&gt;&lt;foreign-keys&gt;&lt;key app="EN" db-id="2rfsx9rapweadwev95s5wwp5rf9aav0wzpfd" timestamp="1667932118"&gt;56&lt;/key&gt;&lt;/foreign-keys&gt;&lt;ref-type name="Journal Article"&gt;17&lt;/ref-type&gt;&lt;contributors&gt;&lt;authors&gt;&lt;author&gt;Tsai, Catherine Jia-Yun&lt;/author&gt;&lt;author&gt;Loh, Jacelyn Mei San&lt;/author&gt;&lt;author&gt;Proft, Thomas&lt;/author&gt;&lt;/authors&gt;&lt;/contributors&gt;&lt;titles&gt;&lt;title&gt;&lt;style face="italic" font="default" size="100%"&gt;Galleria mellonella&lt;/style&gt;&lt;style face="normal" font="default" size="100%"&gt; infection models for the study of bacterial diseases and for antimicrobial drug testing&lt;/style&gt;&lt;/title&gt;&lt;secondary-title&gt;Virulence&lt;/secondary-title&gt;&lt;/titles&gt;&lt;periodical&gt;&lt;full-title&gt;Virulence&lt;/full-title&gt;&lt;abbr-1&gt;Virulence&lt;/abbr-1&gt;&lt;/periodical&gt;&lt;pages&gt;214-229&lt;/pages&gt;&lt;volume&gt;7&lt;/volume&gt;&lt;number&gt;3&lt;/number&gt;&lt;dates&gt;&lt;year&gt;2016&lt;/year&gt;&lt;/dates&gt;&lt;isbn&gt;2150-5594&lt;/isbn&gt;&lt;urls&gt;&lt;/urls&gt;&lt;/record&gt;&lt;/Cite&gt;&lt;/EndNote&gt;</w:instrText>
      </w:r>
      <w:r w:rsidR="008907F4">
        <w:rPr>
          <w:lang w:val="en-GB"/>
        </w:rPr>
        <w:fldChar w:fldCharType="separate"/>
      </w:r>
      <w:r w:rsidR="008907F4" w:rsidRPr="008907F4">
        <w:rPr>
          <w:noProof/>
          <w:vertAlign w:val="superscript"/>
          <w:lang w:val="en-GB"/>
        </w:rPr>
        <w:t>4</w:t>
      </w:r>
      <w:r w:rsidR="008907F4">
        <w:rPr>
          <w:lang w:val="en-GB"/>
        </w:rPr>
        <w:fldChar w:fldCharType="end"/>
      </w:r>
      <w:r w:rsidRPr="00AC4A03">
        <w:rPr>
          <w:lang w:val="en-GB"/>
        </w:rPr>
        <w:t xml:space="preserve"> that covers four parameters: larvae activity, cocoon formation, melanisation, and survival. The larvae health status scores are &gt;9 (to a maximum of 10) for a healthy larva and &lt; 9 for an infected larva. The control larvae were injected with a saline solution (pH 7.4) containing or not the organic extracts obtained from spores (</w:t>
      </w:r>
      <w:r w:rsidRPr="00AC4A03">
        <w:rPr>
          <w:i/>
          <w:lang w:val="en-GB"/>
        </w:rPr>
        <w:t>see above</w:t>
      </w:r>
      <w:r w:rsidRPr="00AC4A03">
        <w:rPr>
          <w:lang w:val="en-GB"/>
        </w:rPr>
        <w:t xml:space="preserve">). For each condition 10 larvae </w:t>
      </w:r>
      <w:r w:rsidR="00ED0CB9">
        <w:rPr>
          <w:lang w:val="en-GB"/>
        </w:rPr>
        <w:t xml:space="preserve">were used </w:t>
      </w:r>
      <w:r w:rsidRPr="00AC4A03">
        <w:rPr>
          <w:lang w:val="en-GB"/>
        </w:rPr>
        <w:t>and at least three independent experiments were performed. For testing the infection capacity of the spores generated by each fungal isolate (</w:t>
      </w:r>
      <w:r w:rsidRPr="00AC4A03">
        <w:rPr>
          <w:i/>
          <w:lang w:val="en-GB"/>
        </w:rPr>
        <w:t>see below</w:t>
      </w:r>
      <w:r w:rsidRPr="00AC4A03">
        <w:rPr>
          <w:lang w:val="en-GB"/>
        </w:rPr>
        <w:t>), the spores were harvest</w:t>
      </w:r>
      <w:r w:rsidR="00ED0CB9">
        <w:rPr>
          <w:lang w:val="en-GB"/>
        </w:rPr>
        <w:t>ed</w:t>
      </w:r>
      <w:r w:rsidRPr="00AC4A03">
        <w:rPr>
          <w:lang w:val="en-GB"/>
        </w:rPr>
        <w:t xml:space="preserve"> from fresh cultures</w:t>
      </w:r>
      <w:r w:rsidR="00ED0CB9">
        <w:rPr>
          <w:lang w:val="en-GB"/>
        </w:rPr>
        <w:t xml:space="preserve"> following</w:t>
      </w:r>
      <w:r w:rsidRPr="00AC4A03">
        <w:rPr>
          <w:lang w:val="en-GB"/>
        </w:rPr>
        <w:t xml:space="preserve"> at least 5</w:t>
      </w:r>
      <w:r w:rsidR="00ED0CB9">
        <w:rPr>
          <w:lang w:val="en-GB"/>
        </w:rPr>
        <w:t xml:space="preserve"> rounds of</w:t>
      </w:r>
      <w:r w:rsidRPr="00AC4A03">
        <w:rPr>
          <w:lang w:val="en-GB"/>
        </w:rPr>
        <w:t xml:space="preserve"> sub-culturing (in </w:t>
      </w:r>
      <w:r w:rsidRPr="00AC4A03">
        <w:rPr>
          <w:lang w:val="en-GB"/>
        </w:rPr>
        <w:lastRenderedPageBreak/>
        <w:t xml:space="preserve">standard media, </w:t>
      </w:r>
      <w:r w:rsidRPr="00AC4A03">
        <w:rPr>
          <w:i/>
          <w:lang w:val="en-GB"/>
        </w:rPr>
        <w:t>i.e.</w:t>
      </w:r>
      <w:r w:rsidRPr="00AC4A03">
        <w:rPr>
          <w:lang w:val="en-GB"/>
        </w:rPr>
        <w:t xml:space="preserve"> not supplemented with either pollutant). To analyse </w:t>
      </w:r>
      <w:r w:rsidRPr="00AC4A03">
        <w:rPr>
          <w:bCs/>
          <w:lang w:val="en-GB"/>
        </w:rPr>
        <w:t>haemocytes levels,</w:t>
      </w:r>
      <w:r w:rsidRPr="00AC4A03">
        <w:rPr>
          <w:b/>
          <w:bCs/>
          <w:lang w:val="en-GB"/>
        </w:rPr>
        <w:t xml:space="preserve"> </w:t>
      </w:r>
      <w:r w:rsidRPr="00AC4A03">
        <w:t xml:space="preserve">hemolymph was extracted from 3 larvae of each condition at 1, 4, 8, 12 and 24h post-infection. The larvae were punctured in the abdomen with a sterile needle and the outflowing lymph was immediately transferred to a microtube containing a few crystals of phenylthiourea to prevent melanisation. A 10-fold dilution was performed with saline solution and hemocytes density was determined by enumeration using a hemocytometer. </w:t>
      </w:r>
      <w:r w:rsidRPr="00AC4A03">
        <w:rPr>
          <w:lang w:val="en-GB"/>
        </w:rPr>
        <w:t>A minimum of three independent assays</w:t>
      </w:r>
      <w:r w:rsidR="00451BF7">
        <w:rPr>
          <w:lang w:val="en-GB"/>
        </w:rPr>
        <w:t xml:space="preserve"> </w:t>
      </w:r>
      <w:r w:rsidR="00451BF7" w:rsidRPr="00AC4A03">
        <w:rPr>
          <w:lang w:val="en-GB"/>
        </w:rPr>
        <w:t xml:space="preserve">were performed </w:t>
      </w:r>
      <w:r w:rsidR="00451BF7">
        <w:rPr>
          <w:lang w:val="en-GB"/>
        </w:rPr>
        <w:t xml:space="preserve">for </w:t>
      </w:r>
      <w:r w:rsidR="00451BF7" w:rsidRPr="00AC4A03">
        <w:rPr>
          <w:lang w:val="en-GB"/>
        </w:rPr>
        <w:t>all experiments</w:t>
      </w:r>
      <w:r w:rsidRPr="00AC4A03">
        <w:rPr>
          <w:lang w:val="en-GB"/>
        </w:rPr>
        <w:t>.</w:t>
      </w:r>
    </w:p>
    <w:p w14:paraId="45A7DD9D" w14:textId="77777777" w:rsidR="000B1C1D" w:rsidRPr="00AC4A03" w:rsidRDefault="000B1C1D" w:rsidP="00505CEA">
      <w:pPr>
        <w:spacing w:after="0" w:line="360" w:lineRule="auto"/>
        <w:jc w:val="both"/>
        <w:rPr>
          <w:rFonts w:ascii="Times New Roman" w:eastAsia="Times New Roman" w:hAnsi="Times New Roman" w:cs="Times New Roman"/>
          <w:b/>
          <w:sz w:val="24"/>
          <w:szCs w:val="24"/>
        </w:rPr>
      </w:pPr>
    </w:p>
    <w:p w14:paraId="3286DE00" w14:textId="04500762" w:rsidR="009B6468" w:rsidRPr="00AC4A03" w:rsidRDefault="009B6468" w:rsidP="00505CEA">
      <w:pPr>
        <w:spacing w:after="0" w:line="360" w:lineRule="auto"/>
        <w:jc w:val="both"/>
        <w:rPr>
          <w:rFonts w:ascii="Times New Roman" w:eastAsia="Times New Roman" w:hAnsi="Times New Roman" w:cs="Times New Roman"/>
          <w:sz w:val="24"/>
          <w:szCs w:val="24"/>
        </w:rPr>
      </w:pPr>
      <w:proofErr w:type="spellStart"/>
      <w:r w:rsidRPr="00AC4A03">
        <w:rPr>
          <w:rFonts w:ascii="Times New Roman" w:eastAsia="Times New Roman" w:hAnsi="Times New Roman" w:cs="Times New Roman"/>
          <w:b/>
          <w:sz w:val="24"/>
          <w:szCs w:val="24"/>
        </w:rPr>
        <w:t>Metataxonomics</w:t>
      </w:r>
      <w:proofErr w:type="spellEnd"/>
      <w:r w:rsidRPr="00AC4A03">
        <w:rPr>
          <w:rFonts w:ascii="Times New Roman" w:eastAsia="Times New Roman" w:hAnsi="Times New Roman" w:cs="Times New Roman"/>
          <w:b/>
          <w:sz w:val="24"/>
          <w:szCs w:val="24"/>
        </w:rPr>
        <w:t xml:space="preserve"> of each fungal sub-</w:t>
      </w:r>
      <w:r w:rsidRPr="00DC7986">
        <w:rPr>
          <w:rFonts w:ascii="Times New Roman" w:eastAsia="Times New Roman" w:hAnsi="Times New Roman" w:cs="Times New Roman"/>
          <w:b/>
          <w:sz w:val="24"/>
          <w:szCs w:val="24"/>
        </w:rPr>
        <w:t>population</w:t>
      </w:r>
      <w:r w:rsidR="00DC7986" w:rsidRPr="00DC7986">
        <w:rPr>
          <w:rFonts w:ascii="Times New Roman" w:eastAsia="Times New Roman" w:hAnsi="Times New Roman" w:cs="Times New Roman"/>
          <w:b/>
          <w:sz w:val="24"/>
          <w:szCs w:val="24"/>
        </w:rPr>
        <w:t xml:space="preserve">. </w:t>
      </w:r>
      <w:r w:rsidRPr="00DC7986">
        <w:rPr>
          <w:rFonts w:ascii="Times New Roman" w:hAnsi="Times New Roman" w:cs="Times New Roman"/>
          <w:sz w:val="24"/>
          <w:szCs w:val="24"/>
          <w:u w:val="single"/>
        </w:rPr>
        <w:t>DNA extraction.</w:t>
      </w:r>
      <w:r w:rsidRPr="00DC7986">
        <w:rPr>
          <w:rFonts w:ascii="Times New Roman" w:hAnsi="Times New Roman" w:cs="Times New Roman"/>
          <w:b/>
          <w:sz w:val="24"/>
          <w:szCs w:val="24"/>
        </w:rPr>
        <w:t xml:space="preserve"> </w:t>
      </w:r>
      <w:r w:rsidRPr="00DC7986">
        <w:rPr>
          <w:rFonts w:ascii="Times New Roman" w:hAnsi="Times New Roman" w:cs="Times New Roman"/>
          <w:sz w:val="24"/>
          <w:szCs w:val="24"/>
        </w:rPr>
        <w:t>The biomass of the spores or larvae was disrupted by performing 3 consecutive cycles of heating (5 min, 90 ° C) followed by</w:t>
      </w:r>
      <w:r w:rsidR="00451BF7">
        <w:rPr>
          <w:rFonts w:ascii="Times New Roman" w:hAnsi="Times New Roman" w:cs="Times New Roman"/>
          <w:sz w:val="24"/>
          <w:szCs w:val="24"/>
        </w:rPr>
        <w:t xml:space="preserve"> beating with</w:t>
      </w:r>
      <w:r w:rsidRPr="00DC7986">
        <w:rPr>
          <w:rFonts w:ascii="Times New Roman" w:hAnsi="Times New Roman" w:cs="Times New Roman"/>
          <w:sz w:val="24"/>
          <w:szCs w:val="24"/>
        </w:rPr>
        <w:t xml:space="preserve"> </w:t>
      </w:r>
      <w:r w:rsidR="00451BF7">
        <w:rPr>
          <w:rFonts w:ascii="Times New Roman" w:hAnsi="Times New Roman" w:cs="Times New Roman"/>
          <w:sz w:val="24"/>
          <w:szCs w:val="24"/>
        </w:rPr>
        <w:t xml:space="preserve">glass </w:t>
      </w:r>
      <w:r w:rsidRPr="00DC7986">
        <w:rPr>
          <w:rFonts w:ascii="Times New Roman" w:hAnsi="Times New Roman" w:cs="Times New Roman"/>
          <w:sz w:val="24"/>
          <w:szCs w:val="24"/>
        </w:rPr>
        <w:t>bead</w:t>
      </w:r>
      <w:r w:rsidR="00451BF7">
        <w:rPr>
          <w:rFonts w:ascii="Times New Roman" w:hAnsi="Times New Roman" w:cs="Times New Roman"/>
          <w:sz w:val="24"/>
          <w:szCs w:val="24"/>
        </w:rPr>
        <w:t>s</w:t>
      </w:r>
      <w:r w:rsidRPr="00DC7986">
        <w:rPr>
          <w:rFonts w:ascii="Times New Roman" w:hAnsi="Times New Roman" w:cs="Times New Roman"/>
          <w:sz w:val="24"/>
          <w:szCs w:val="24"/>
        </w:rPr>
        <w:t xml:space="preserve"> (1 g of glass beads </w:t>
      </w:r>
      <w:r w:rsidRPr="00DC7986">
        <w:rPr>
          <w:rFonts w:ascii="Times New Roman" w:hAnsi="Times New Roman" w:cs="Times New Roman"/>
          <w:i/>
          <w:sz w:val="24"/>
          <w:szCs w:val="24"/>
        </w:rPr>
        <w:t>per</w:t>
      </w:r>
      <w:r w:rsidRPr="00DC7986">
        <w:rPr>
          <w:rFonts w:ascii="Times New Roman" w:hAnsi="Times New Roman" w:cs="Times New Roman"/>
          <w:sz w:val="24"/>
          <w:szCs w:val="24"/>
        </w:rPr>
        <w:t xml:space="preserve"> sample, equal amounts of beads of 0.5 and 0.1 mm) using a </w:t>
      </w:r>
      <w:proofErr w:type="spellStart"/>
      <w:r w:rsidRPr="00DC7986">
        <w:rPr>
          <w:rFonts w:ascii="Times New Roman" w:hAnsi="Times New Roman" w:cs="Times New Roman"/>
          <w:sz w:val="24"/>
          <w:szCs w:val="24"/>
        </w:rPr>
        <w:t>TissueLyzer</w:t>
      </w:r>
      <w:proofErr w:type="spellEnd"/>
      <w:r w:rsidRPr="00DC7986">
        <w:rPr>
          <w:rFonts w:ascii="Times New Roman" w:hAnsi="Times New Roman" w:cs="Times New Roman"/>
          <w:sz w:val="24"/>
          <w:szCs w:val="24"/>
        </w:rPr>
        <w:t xml:space="preserve"> LT Adapter (Qiagen, Germany) for 5min at maximum speed, with the aid of an extraction buffer (50 mM NaH</w:t>
      </w:r>
      <w:r w:rsidRPr="00DC7986">
        <w:rPr>
          <w:rFonts w:ascii="Times New Roman" w:hAnsi="Times New Roman" w:cs="Times New Roman"/>
          <w:sz w:val="24"/>
          <w:szCs w:val="24"/>
          <w:vertAlign w:val="subscript"/>
        </w:rPr>
        <w:t>2</w:t>
      </w:r>
      <w:r w:rsidRPr="00DC7986">
        <w:rPr>
          <w:rFonts w:ascii="Times New Roman" w:hAnsi="Times New Roman" w:cs="Times New Roman"/>
          <w:sz w:val="24"/>
          <w:szCs w:val="24"/>
        </w:rPr>
        <w:t>PO</w:t>
      </w:r>
      <w:r w:rsidRPr="00DC7986">
        <w:rPr>
          <w:rFonts w:ascii="Times New Roman" w:hAnsi="Times New Roman" w:cs="Times New Roman"/>
          <w:sz w:val="24"/>
          <w:szCs w:val="24"/>
          <w:vertAlign w:val="subscript"/>
        </w:rPr>
        <w:t>4</w:t>
      </w:r>
      <w:r w:rsidRPr="00DC7986">
        <w:rPr>
          <w:rFonts w:ascii="Times New Roman" w:hAnsi="Times New Roman" w:cs="Times New Roman"/>
          <w:sz w:val="24"/>
          <w:szCs w:val="24"/>
        </w:rPr>
        <w:t xml:space="preserve">, 50 mM NaCl, 500 mM Tris-HCl, 5% SDS, pH 8; 600 µL </w:t>
      </w:r>
      <w:r w:rsidRPr="00DC7986">
        <w:rPr>
          <w:rFonts w:ascii="Times New Roman" w:hAnsi="Times New Roman" w:cs="Times New Roman"/>
          <w:i/>
          <w:sz w:val="24"/>
          <w:szCs w:val="24"/>
        </w:rPr>
        <w:t xml:space="preserve">per </w:t>
      </w:r>
      <w:r w:rsidRPr="00DC7986">
        <w:rPr>
          <w:rFonts w:ascii="Times New Roman" w:hAnsi="Times New Roman" w:cs="Times New Roman"/>
          <w:sz w:val="24"/>
          <w:szCs w:val="24"/>
        </w:rPr>
        <w:t>culture). Afterwards, the sample was mixed with a half volume of each: phenol and chloroform containing isoamyl alcohol (24:1; hereafter defined as solution A); shaken for 2min and centrifuged (5min, 2,400</w:t>
      </w:r>
      <w:r w:rsidRPr="00DC7986">
        <w:rPr>
          <w:rFonts w:ascii="Times New Roman" w:hAnsi="Times New Roman" w:cs="Times New Roman"/>
          <w:i/>
          <w:sz w:val="24"/>
          <w:szCs w:val="24"/>
        </w:rPr>
        <w:t>g</w:t>
      </w:r>
      <w:r w:rsidRPr="00DC7986">
        <w:rPr>
          <w:rFonts w:ascii="Times New Roman" w:hAnsi="Times New Roman" w:cs="Times New Roman"/>
          <w:sz w:val="24"/>
          <w:szCs w:val="24"/>
        </w:rPr>
        <w:t xml:space="preserve">) to recover the upper supernatant that was re-extracted with an equal volume of solution A, and recovered as described before. To this mixture 1/3 volume of 6M NaCl and 1/10 volume of 10% of </w:t>
      </w:r>
      <w:proofErr w:type="spellStart"/>
      <w:r w:rsidRPr="00DC7986">
        <w:rPr>
          <w:rFonts w:ascii="Times New Roman" w:hAnsi="Times New Roman" w:cs="Times New Roman"/>
          <w:sz w:val="24"/>
          <w:szCs w:val="24"/>
        </w:rPr>
        <w:t>cetyl</w:t>
      </w:r>
      <w:proofErr w:type="spellEnd"/>
      <w:r w:rsidRPr="00DC7986">
        <w:rPr>
          <w:rFonts w:ascii="Times New Roman" w:hAnsi="Times New Roman" w:cs="Times New Roman"/>
          <w:sz w:val="24"/>
          <w:szCs w:val="24"/>
        </w:rPr>
        <w:t xml:space="preserve"> trimethylammonium bromide (CTAB) in 0.7M of NaCl were added, and the mixture was incubated for 30min at 65</w:t>
      </w:r>
      <w:r w:rsidR="00AB120C" w:rsidRPr="00DC7986">
        <w:rPr>
          <w:rFonts w:ascii="Times New Roman" w:hAnsi="Times New Roman" w:cs="Times New Roman"/>
          <w:sz w:val="24"/>
          <w:szCs w:val="24"/>
        </w:rPr>
        <w:t xml:space="preserve"> </w:t>
      </w:r>
      <w:r w:rsidRPr="00DC7986">
        <w:rPr>
          <w:rFonts w:ascii="Times New Roman" w:hAnsi="Times New Roman" w:cs="Times New Roman"/>
          <w:sz w:val="24"/>
          <w:szCs w:val="24"/>
        </w:rPr>
        <w:t>ºC. After cooling to room temperature, an equal volume of solution A was added, shaken and centrifuged (2 min, 1</w:t>
      </w:r>
      <w:r w:rsidR="00AB120C" w:rsidRPr="00DC7986">
        <w:rPr>
          <w:rFonts w:ascii="Times New Roman" w:hAnsi="Times New Roman" w:cs="Times New Roman"/>
          <w:sz w:val="24"/>
          <w:szCs w:val="24"/>
        </w:rPr>
        <w:t>,</w:t>
      </w:r>
      <w:r w:rsidRPr="00DC7986">
        <w:rPr>
          <w:rFonts w:ascii="Times New Roman" w:hAnsi="Times New Roman" w:cs="Times New Roman"/>
          <w:sz w:val="24"/>
          <w:szCs w:val="24"/>
        </w:rPr>
        <w:t>400</w:t>
      </w:r>
      <w:r w:rsidRPr="00DC7986">
        <w:rPr>
          <w:rFonts w:ascii="Times New Roman" w:hAnsi="Times New Roman" w:cs="Times New Roman"/>
          <w:i/>
          <w:sz w:val="24"/>
          <w:szCs w:val="24"/>
        </w:rPr>
        <w:t>g</w:t>
      </w:r>
      <w:r w:rsidRPr="00DC7986">
        <w:rPr>
          <w:rFonts w:ascii="Times New Roman" w:hAnsi="Times New Roman" w:cs="Times New Roman"/>
          <w:sz w:val="24"/>
          <w:szCs w:val="24"/>
        </w:rPr>
        <w:t>) to recover the supernatant. Finally, DNA was precipitated in 2/3 volume of isopropanol and 1/10 volume of acetate solution (3M) during 20min at room temperature, and recovered by centrifugation (20min, 6,800</w:t>
      </w:r>
      <w:r w:rsidRPr="00DC7986">
        <w:rPr>
          <w:rFonts w:ascii="Times New Roman" w:hAnsi="Times New Roman" w:cs="Times New Roman"/>
          <w:i/>
          <w:sz w:val="24"/>
          <w:szCs w:val="24"/>
        </w:rPr>
        <w:t>g</w:t>
      </w:r>
      <w:r w:rsidRPr="00DC7986">
        <w:rPr>
          <w:rFonts w:ascii="Times New Roman" w:hAnsi="Times New Roman" w:cs="Times New Roman"/>
          <w:sz w:val="24"/>
          <w:szCs w:val="24"/>
        </w:rPr>
        <w:t>). The DNA pellet was washed with 200 µL of ethanol (70%), recovered by centrifugation as before, air dried for 60min, eluted in 50 µL of TE buffer (Qiagen, Germany) and finally stored at -20</w:t>
      </w:r>
      <w:r w:rsidR="00AB120C" w:rsidRPr="00DC7986">
        <w:rPr>
          <w:rFonts w:ascii="Times New Roman" w:hAnsi="Times New Roman" w:cs="Times New Roman"/>
          <w:sz w:val="24"/>
          <w:szCs w:val="24"/>
        </w:rPr>
        <w:t xml:space="preserve"> </w:t>
      </w:r>
      <w:r w:rsidRPr="00DC7986">
        <w:rPr>
          <w:rFonts w:ascii="Times New Roman" w:hAnsi="Times New Roman" w:cs="Times New Roman"/>
          <w:sz w:val="24"/>
          <w:szCs w:val="24"/>
        </w:rPr>
        <w:t xml:space="preserve">ºC. Prior to use, the DNA samples were cleaned using the </w:t>
      </w:r>
      <w:proofErr w:type="spellStart"/>
      <w:r w:rsidRPr="00DC7986">
        <w:rPr>
          <w:rFonts w:ascii="Times New Roman" w:hAnsi="Times New Roman" w:cs="Times New Roman"/>
          <w:sz w:val="24"/>
          <w:szCs w:val="24"/>
        </w:rPr>
        <w:t>GeneClean</w:t>
      </w:r>
      <w:proofErr w:type="spellEnd"/>
      <w:r w:rsidRPr="00DC7986">
        <w:rPr>
          <w:rFonts w:ascii="Times New Roman" w:hAnsi="Times New Roman" w:cs="Times New Roman"/>
          <w:sz w:val="24"/>
          <w:szCs w:val="24"/>
        </w:rPr>
        <w:t xml:space="preserve"> Turbo kit for 100-300 kb fragments (MP Biomedicals, USA) following the manufacturer instructions.</w:t>
      </w:r>
      <w:r w:rsidR="00DC7986">
        <w:rPr>
          <w:rFonts w:ascii="Times New Roman" w:hAnsi="Times New Roman" w:cs="Times New Roman"/>
          <w:sz w:val="24"/>
          <w:szCs w:val="24"/>
        </w:rPr>
        <w:t xml:space="preserve"> </w:t>
      </w:r>
      <w:r w:rsidRPr="00AC4A03">
        <w:rPr>
          <w:rFonts w:ascii="Times New Roman" w:eastAsia="Times New Roman" w:hAnsi="Times New Roman" w:cs="Times New Roman"/>
          <w:sz w:val="24"/>
          <w:szCs w:val="24"/>
          <w:u w:val="single"/>
        </w:rPr>
        <w:t>Illumina Sequencing.</w:t>
      </w:r>
      <w:r w:rsidRPr="00AC4A03">
        <w:rPr>
          <w:rFonts w:ascii="Times New Roman" w:eastAsia="Times New Roman" w:hAnsi="Times New Roman" w:cs="Times New Roman"/>
          <w:b/>
          <w:sz w:val="24"/>
          <w:szCs w:val="24"/>
        </w:rPr>
        <w:t xml:space="preserve"> </w:t>
      </w:r>
      <w:r w:rsidRPr="00AC4A03">
        <w:rPr>
          <w:rFonts w:ascii="Times New Roman" w:eastAsia="Times New Roman" w:hAnsi="Times New Roman" w:cs="Times New Roman"/>
          <w:sz w:val="24"/>
          <w:szCs w:val="24"/>
        </w:rPr>
        <w:t xml:space="preserve">The ITS2 region of fungal rDNA was amplified by PCR in a </w:t>
      </w:r>
      <w:proofErr w:type="spellStart"/>
      <w:r w:rsidRPr="00AC4A03">
        <w:rPr>
          <w:rFonts w:ascii="Times New Roman" w:eastAsia="Times New Roman" w:hAnsi="Times New Roman" w:cs="Times New Roman"/>
          <w:sz w:val="24"/>
          <w:szCs w:val="24"/>
        </w:rPr>
        <w:t>GeneAmp</w:t>
      </w:r>
      <w:proofErr w:type="spellEnd"/>
      <w:r w:rsidRPr="00AC4A03">
        <w:rPr>
          <w:rFonts w:ascii="Times New Roman" w:eastAsia="Times New Roman" w:hAnsi="Times New Roman" w:cs="Times New Roman"/>
          <w:sz w:val="24"/>
          <w:szCs w:val="24"/>
        </w:rPr>
        <w:t xml:space="preserve"> PCR system 2720 (Applied Biosystems) using barcoded gITS7 and ITS4 primers (gITS7, '5'- GTG ART CAT CGA RTC TTT G-'3'; ITS4, '5'- TCC </w:t>
      </w:r>
      <w:proofErr w:type="spellStart"/>
      <w:r w:rsidRPr="00AC4A03">
        <w:rPr>
          <w:rFonts w:ascii="Times New Roman" w:eastAsia="Times New Roman" w:hAnsi="Times New Roman" w:cs="Times New Roman"/>
          <w:sz w:val="24"/>
          <w:szCs w:val="24"/>
        </w:rPr>
        <w:t>TCC</w:t>
      </w:r>
      <w:proofErr w:type="spellEnd"/>
      <w:r w:rsidRPr="00AC4A03">
        <w:rPr>
          <w:rFonts w:ascii="Times New Roman" w:eastAsia="Times New Roman" w:hAnsi="Times New Roman" w:cs="Times New Roman"/>
          <w:sz w:val="24"/>
          <w:szCs w:val="24"/>
        </w:rPr>
        <w:t xml:space="preserve"> GCT TAT TGA TAT GC-'3')</w:t>
      </w:r>
      <w:r w:rsidR="008907F4">
        <w:rPr>
          <w:rFonts w:ascii="Times New Roman" w:eastAsia="Times New Roman" w:hAnsi="Times New Roman" w:cs="Times New Roman"/>
          <w:sz w:val="24"/>
          <w:szCs w:val="24"/>
        </w:rPr>
        <w:fldChar w:fldCharType="begin"/>
      </w:r>
      <w:r w:rsidR="008907F4">
        <w:rPr>
          <w:rFonts w:ascii="Times New Roman" w:eastAsia="Times New Roman" w:hAnsi="Times New Roman" w:cs="Times New Roman"/>
          <w:sz w:val="24"/>
          <w:szCs w:val="24"/>
        </w:rPr>
        <w:instrText xml:space="preserve"> ADDIN EN.CITE &lt;EndNote&gt;&lt;Cite&gt;&lt;Author&gt;Ihrmark&lt;/Author&gt;&lt;Year&gt;2012&lt;/Year&gt;&lt;RecNum&gt;53&lt;/RecNum&gt;&lt;DisplayText&gt;&lt;style face="superscript"&gt;5&lt;/style&gt;&lt;/DisplayText&gt;&lt;record&gt;&lt;rec-number&gt;53&lt;/rec-number&gt;&lt;foreign-keys&gt;&lt;key app="EN" db-id="2rfsx9rapweadwev95s5wwp5rf9aav0wzpfd" timestamp="1667932097"&gt;53&lt;/key&gt;&lt;/foreign-keys&gt;&lt;ref-type name="Journal Article"&gt;17&lt;/ref-type&gt;&lt;contributors&gt;&lt;authors&gt;&lt;author&gt;Ihrmark, Katarina&lt;/author&gt;&lt;author&gt;Bödeker, Inga&lt;/author&gt;&lt;author&gt;Cruz-Martinez, Karelyn&lt;/author&gt;&lt;author&gt;Friberg, Hanna&lt;/author&gt;&lt;author&gt;Kubartova, Ariana&lt;/author&gt;&lt;author&gt;Schenck, Jessica&lt;/author&gt;&lt;author&gt;Strid, Ylva&lt;/author&gt;&lt;author&gt;Stenlid, Jan&lt;/author&gt;&lt;author&gt;Brandström-Durling, Mikael&lt;/author&gt;&lt;author&gt;Clemmensen, Karina E&lt;/author&gt;&lt;/authors&gt;&lt;/contributors&gt;&lt;titles&gt;&lt;title&gt;New primers to amplify the fungal ITS2 region–evaluation by 454-sequencing of artificial and natural communities&lt;/title&gt;&lt;secondary-title&gt;FEMS microbiology ecology&lt;/secondary-title&gt;&lt;/titles&gt;&lt;periodical&gt;&lt;full-title&gt;FEMS microbiology ecology&lt;/full-title&gt;&lt;abbr-1&gt;FEMS Microbiol. Ecol.&lt;/abbr-1&gt;&lt;/periodical&gt;&lt;pages&gt;666-677&lt;/pages&gt;&lt;volume&gt;82&lt;/volume&gt;&lt;number&gt;3&lt;/number&gt;&lt;dates&gt;&lt;year&gt;2012&lt;/year&gt;&lt;/dates&gt;&lt;isbn&gt;0168-6496&lt;/isbn&gt;&lt;urls&gt;&lt;/urls&gt;&lt;/record&gt;&lt;/Cite&gt;&lt;/EndNote&gt;</w:instrText>
      </w:r>
      <w:r w:rsidR="008907F4">
        <w:rPr>
          <w:rFonts w:ascii="Times New Roman" w:eastAsia="Times New Roman" w:hAnsi="Times New Roman" w:cs="Times New Roman"/>
          <w:sz w:val="24"/>
          <w:szCs w:val="24"/>
        </w:rPr>
        <w:fldChar w:fldCharType="separate"/>
      </w:r>
      <w:r w:rsidR="008907F4" w:rsidRPr="008907F4">
        <w:rPr>
          <w:rFonts w:ascii="Times New Roman" w:eastAsia="Times New Roman" w:hAnsi="Times New Roman" w:cs="Times New Roman"/>
          <w:noProof/>
          <w:sz w:val="24"/>
          <w:szCs w:val="24"/>
          <w:vertAlign w:val="superscript"/>
        </w:rPr>
        <w:t>5</w:t>
      </w:r>
      <w:r w:rsidR="008907F4">
        <w:rPr>
          <w:rFonts w:ascii="Times New Roman" w:eastAsia="Times New Roman" w:hAnsi="Times New Roman" w:cs="Times New Roman"/>
          <w:sz w:val="24"/>
          <w:szCs w:val="24"/>
        </w:rPr>
        <w:fldChar w:fldCharType="end"/>
      </w:r>
      <w:r w:rsidRPr="00AC4A03">
        <w:rPr>
          <w:rFonts w:ascii="Times New Roman" w:eastAsia="Times New Roman" w:hAnsi="Times New Roman" w:cs="Times New Roman"/>
          <w:sz w:val="24"/>
          <w:szCs w:val="24"/>
        </w:rPr>
        <w:t xml:space="preserve"> in technical triplicate, including quality controls, as previously described</w:t>
      </w:r>
      <w:r w:rsidR="008907F4">
        <w:rPr>
          <w:rFonts w:ascii="Times New Roman" w:eastAsia="Times New Roman" w:hAnsi="Times New Roman" w:cs="Times New Roman"/>
          <w:sz w:val="24"/>
          <w:szCs w:val="24"/>
        </w:rPr>
        <w:fldChar w:fldCharType="begin"/>
      </w:r>
      <w:r w:rsidR="008907F4">
        <w:rPr>
          <w:rFonts w:ascii="Times New Roman" w:eastAsia="Times New Roman" w:hAnsi="Times New Roman" w:cs="Times New Roman"/>
          <w:sz w:val="24"/>
          <w:szCs w:val="24"/>
        </w:rPr>
        <w:instrText xml:space="preserve"> ADDIN EN.CITE &lt;EndNote&gt;&lt;Cite&gt;&lt;Author&gt;Žifčáková&lt;/Author&gt;&lt;Year&gt;2016&lt;/Year&gt;&lt;RecNum&gt;52&lt;/RecNum&gt;&lt;DisplayText&gt;&lt;style face="superscript"&gt;6&lt;/style&gt;&lt;/DisplayText&gt;&lt;record&gt;&lt;rec-number&gt;52&lt;/rec-number&gt;&lt;foreign-keys&gt;&lt;key app="EN" db-id="2rfsx9rapweadwev95s5wwp5rf9aav0wzpfd" timestamp="1667932091"&gt;52&lt;/key&gt;&lt;/foreign-keys&gt;&lt;ref-type name="Journal Article"&gt;17&lt;/ref-type&gt;&lt;contributors&gt;&lt;authors&gt;&lt;author&gt;Žifčáková, Lucia&lt;/author&gt;&lt;author&gt;Větrovský, Tomáš&lt;/author&gt;&lt;author&gt;Howe, Adina&lt;/author&gt;&lt;author&gt;Baldrian, Petr&lt;/author&gt;&lt;/authors&gt;&lt;/contributors&gt;&lt;titles&gt;&lt;title&gt;Microbial activity in forest soil reflects the changes in ecosystem properties between summer and winter&lt;/title&gt;&lt;secondary-title&gt;Environmental microbiology&lt;/secondary-title&gt;&lt;/titles&gt;&lt;periodical&gt;&lt;full-title&gt;Environmental microbiology&lt;/full-title&gt;&lt;abbr-1&gt;Environ. Microbiol.&lt;/abbr-1&gt;&lt;/periodical&gt;&lt;pages&gt;288-301&lt;/pages&gt;&lt;volume&gt;18&lt;/volume&gt;&lt;number&gt;1&lt;/number&gt;&lt;dates&gt;&lt;year&gt;2016&lt;/year&gt;&lt;/dates&gt;&lt;isbn&gt;1462-2920&lt;/isbn&gt;&lt;urls&gt;&lt;/urls&gt;&lt;/record&gt;&lt;/Cite&gt;&lt;/EndNote&gt;</w:instrText>
      </w:r>
      <w:r w:rsidR="008907F4">
        <w:rPr>
          <w:rFonts w:ascii="Times New Roman" w:eastAsia="Times New Roman" w:hAnsi="Times New Roman" w:cs="Times New Roman"/>
          <w:sz w:val="24"/>
          <w:szCs w:val="24"/>
        </w:rPr>
        <w:fldChar w:fldCharType="separate"/>
      </w:r>
      <w:r w:rsidR="008907F4" w:rsidRPr="008907F4">
        <w:rPr>
          <w:rFonts w:ascii="Times New Roman" w:eastAsia="Times New Roman" w:hAnsi="Times New Roman" w:cs="Times New Roman"/>
          <w:noProof/>
          <w:sz w:val="24"/>
          <w:szCs w:val="24"/>
          <w:vertAlign w:val="superscript"/>
        </w:rPr>
        <w:t>6</w:t>
      </w:r>
      <w:r w:rsidR="008907F4">
        <w:rPr>
          <w:rFonts w:ascii="Times New Roman" w:eastAsia="Times New Roman" w:hAnsi="Times New Roman" w:cs="Times New Roman"/>
          <w:sz w:val="24"/>
          <w:szCs w:val="24"/>
        </w:rPr>
        <w:fldChar w:fldCharType="end"/>
      </w:r>
      <w:r w:rsidRPr="00AC4A03">
        <w:rPr>
          <w:rFonts w:ascii="Times New Roman" w:eastAsia="Times New Roman" w:hAnsi="Times New Roman" w:cs="Times New Roman"/>
          <w:sz w:val="24"/>
          <w:szCs w:val="24"/>
        </w:rPr>
        <w:t xml:space="preserve">. The quality of the PCR products was monitored by gel electrophoresis. The technical replicates were pooled and sequenced on an Illumina </w:t>
      </w:r>
      <w:proofErr w:type="spellStart"/>
      <w:r w:rsidRPr="00AC4A03">
        <w:rPr>
          <w:rFonts w:ascii="Times New Roman" w:eastAsia="Times New Roman" w:hAnsi="Times New Roman" w:cs="Times New Roman"/>
          <w:sz w:val="24"/>
          <w:szCs w:val="24"/>
        </w:rPr>
        <w:t>MiSeq</w:t>
      </w:r>
      <w:proofErr w:type="spellEnd"/>
      <w:r w:rsidRPr="00AC4A03">
        <w:rPr>
          <w:rFonts w:ascii="Times New Roman" w:eastAsia="Times New Roman" w:hAnsi="Times New Roman" w:cs="Times New Roman"/>
          <w:sz w:val="24"/>
          <w:szCs w:val="24"/>
        </w:rPr>
        <w:t xml:space="preserve"> system operated by the Gene Expression Unit at the Instituto </w:t>
      </w:r>
      <w:proofErr w:type="spellStart"/>
      <w:r w:rsidRPr="00AC4A03">
        <w:rPr>
          <w:rFonts w:ascii="Times New Roman" w:eastAsia="Times New Roman" w:hAnsi="Times New Roman" w:cs="Times New Roman"/>
          <w:sz w:val="24"/>
          <w:szCs w:val="24"/>
        </w:rPr>
        <w:t>Gulbenkian</w:t>
      </w:r>
      <w:proofErr w:type="spellEnd"/>
      <w:r w:rsidRPr="00AC4A03">
        <w:rPr>
          <w:rFonts w:ascii="Times New Roman" w:eastAsia="Times New Roman" w:hAnsi="Times New Roman" w:cs="Times New Roman"/>
          <w:sz w:val="24"/>
          <w:szCs w:val="24"/>
        </w:rPr>
        <w:t xml:space="preserve"> de </w:t>
      </w:r>
      <w:proofErr w:type="spellStart"/>
      <w:r w:rsidRPr="00AC4A03">
        <w:rPr>
          <w:rFonts w:ascii="Times New Roman" w:eastAsia="Times New Roman" w:hAnsi="Times New Roman" w:cs="Times New Roman"/>
          <w:sz w:val="24"/>
          <w:szCs w:val="24"/>
        </w:rPr>
        <w:t>Ciência</w:t>
      </w:r>
      <w:proofErr w:type="spellEnd"/>
      <w:r w:rsidRPr="00AC4A03">
        <w:rPr>
          <w:rFonts w:ascii="Times New Roman" w:eastAsia="Times New Roman" w:hAnsi="Times New Roman" w:cs="Times New Roman"/>
          <w:sz w:val="24"/>
          <w:szCs w:val="24"/>
        </w:rPr>
        <w:t xml:space="preserve"> (Oeiras, Portugal).</w:t>
      </w:r>
    </w:p>
    <w:p w14:paraId="707DCE43" w14:textId="18376A08" w:rsidR="009B6468" w:rsidRPr="00AC4A03" w:rsidRDefault="009B6468" w:rsidP="00AC4A03">
      <w:pPr>
        <w:spacing w:after="0" w:line="360" w:lineRule="auto"/>
        <w:jc w:val="both"/>
        <w:rPr>
          <w:rFonts w:ascii="Times New Roman" w:hAnsi="Times New Roman" w:cs="Times New Roman"/>
        </w:rPr>
      </w:pPr>
      <w:r w:rsidRPr="00AC4A03">
        <w:rPr>
          <w:rFonts w:ascii="Times New Roman" w:eastAsia="Times New Roman" w:hAnsi="Times New Roman" w:cs="Times New Roman"/>
          <w:sz w:val="24"/>
          <w:szCs w:val="24"/>
          <w:u w:val="single"/>
        </w:rPr>
        <w:lastRenderedPageBreak/>
        <w:t>Amplicon sequencing data analysis</w:t>
      </w:r>
      <w:r w:rsidRPr="00AC4A03">
        <w:rPr>
          <w:rFonts w:ascii="Times New Roman" w:eastAsia="Times New Roman" w:hAnsi="Times New Roman" w:cs="Times New Roman"/>
          <w:sz w:val="24"/>
          <w:szCs w:val="24"/>
        </w:rPr>
        <w:t>.</w:t>
      </w:r>
      <w:r w:rsidR="00505CEA" w:rsidRPr="00AC4A03">
        <w:rPr>
          <w:rFonts w:ascii="Times New Roman" w:eastAsia="Times New Roman" w:hAnsi="Times New Roman" w:cs="Times New Roman"/>
          <w:sz w:val="24"/>
          <w:szCs w:val="24"/>
        </w:rPr>
        <w:t xml:space="preserve"> </w:t>
      </w:r>
      <w:r w:rsidRPr="00AC4A03">
        <w:rPr>
          <w:rFonts w:ascii="Times New Roman" w:eastAsia="Times New Roman" w:hAnsi="Times New Roman" w:cs="Times New Roman"/>
          <w:sz w:val="24"/>
          <w:szCs w:val="24"/>
        </w:rPr>
        <w:t>The amplicon sequencing data were processed using the pipeline SEED 2.1</w:t>
      </w:r>
      <w:r w:rsidR="008907F4">
        <w:rPr>
          <w:rFonts w:ascii="Times New Roman" w:eastAsia="Times New Roman" w:hAnsi="Times New Roman" w:cs="Times New Roman"/>
          <w:sz w:val="24"/>
          <w:szCs w:val="24"/>
        </w:rPr>
        <w:fldChar w:fldCharType="begin"/>
      </w:r>
      <w:r w:rsidR="008907F4">
        <w:rPr>
          <w:rFonts w:ascii="Times New Roman" w:eastAsia="Times New Roman" w:hAnsi="Times New Roman" w:cs="Times New Roman"/>
          <w:sz w:val="24"/>
          <w:szCs w:val="24"/>
        </w:rPr>
        <w:instrText xml:space="preserve"> ADDIN EN.CITE &lt;EndNote&gt;&lt;Cite&gt;&lt;Author&gt;Větrovský&lt;/Author&gt;&lt;Year&gt;2018&lt;/Year&gt;&lt;RecNum&gt;54&lt;/RecNum&gt;&lt;DisplayText&gt;&lt;style face="superscript"&gt;7&lt;/style&gt;&lt;/DisplayText&gt;&lt;record&gt;&lt;rec-number&gt;54&lt;/rec-number&gt;&lt;foreign-keys&gt;&lt;key app="EN" db-id="2rfsx9rapweadwev95s5wwp5rf9aav0wzpfd" timestamp="1667932104"&gt;54&lt;/key&gt;&lt;/foreign-keys&gt;&lt;ref-type name="Journal Article"&gt;17&lt;/ref-type&gt;&lt;contributors&gt;&lt;authors&gt;&lt;author&gt;Větrovský, Tomáš&lt;/author&gt;&lt;author&gt;Baldrian, Petr&lt;/author&gt;&lt;author&gt;Morais, Daniel&lt;/author&gt;&lt;/authors&gt;&lt;/contributors&gt;&lt;titles&gt;&lt;title&gt;SEED 2: a user-friendly platform for amplicon high-throughput sequencing data analyses&lt;/title&gt;&lt;secondary-title&gt;Bioinformatics&lt;/secondary-title&gt;&lt;/titles&gt;&lt;periodical&gt;&lt;full-title&gt;Bioinformatics&lt;/full-title&gt;&lt;abbr-1&gt;Bioinformatics&lt;/abbr-1&gt;&lt;/periodical&gt;&lt;dates&gt;&lt;year&gt;2018&lt;/year&gt;&lt;/dates&gt;&lt;urls&gt;&lt;/urls&gt;&lt;/record&gt;&lt;/Cite&gt;&lt;/EndNote&gt;</w:instrText>
      </w:r>
      <w:r w:rsidR="008907F4">
        <w:rPr>
          <w:rFonts w:ascii="Times New Roman" w:eastAsia="Times New Roman" w:hAnsi="Times New Roman" w:cs="Times New Roman"/>
          <w:sz w:val="24"/>
          <w:szCs w:val="24"/>
        </w:rPr>
        <w:fldChar w:fldCharType="separate"/>
      </w:r>
      <w:r w:rsidR="008907F4" w:rsidRPr="008907F4">
        <w:rPr>
          <w:rFonts w:ascii="Times New Roman" w:eastAsia="Times New Roman" w:hAnsi="Times New Roman" w:cs="Times New Roman"/>
          <w:noProof/>
          <w:sz w:val="24"/>
          <w:szCs w:val="24"/>
          <w:vertAlign w:val="superscript"/>
        </w:rPr>
        <w:t>7</w:t>
      </w:r>
      <w:r w:rsidR="008907F4">
        <w:rPr>
          <w:rFonts w:ascii="Times New Roman" w:eastAsia="Times New Roman" w:hAnsi="Times New Roman" w:cs="Times New Roman"/>
          <w:sz w:val="24"/>
          <w:szCs w:val="24"/>
        </w:rPr>
        <w:fldChar w:fldCharType="end"/>
      </w:r>
      <w:r w:rsidRPr="00AC4A03">
        <w:rPr>
          <w:rFonts w:ascii="Times New Roman" w:eastAsia="Times New Roman" w:hAnsi="Times New Roman" w:cs="Times New Roman"/>
          <w:sz w:val="24"/>
          <w:szCs w:val="24"/>
        </w:rPr>
        <w:t xml:space="preserve"> as applied before</w:t>
      </w:r>
      <w:r w:rsidRPr="00AC4A03">
        <w:rPr>
          <w:rFonts w:ascii="Times New Roman" w:eastAsia="Times New Roman" w:hAnsi="Times New Roman" w:cs="Times New Roman"/>
          <w:color w:val="000000" w:themeColor="text1"/>
          <w:sz w:val="24"/>
          <w:szCs w:val="24"/>
        </w:rPr>
        <w:t>.</w:t>
      </w:r>
      <w:r w:rsidRPr="00AC4A03">
        <w:rPr>
          <w:rFonts w:ascii="Times New Roman" w:eastAsia="Times New Roman" w:hAnsi="Times New Roman" w:cs="Times New Roman"/>
          <w:sz w:val="24"/>
          <w:szCs w:val="24"/>
        </w:rPr>
        <w:t xml:space="preserve"> Brieﬂy, paired-end reads were joined using FASTQ-join</w:t>
      </w:r>
      <w:r w:rsidR="00711FEA">
        <w:rPr>
          <w:rFonts w:ascii="Times New Roman" w:eastAsia="Times New Roman" w:hAnsi="Times New Roman" w:cs="Times New Roman"/>
          <w:sz w:val="24"/>
          <w:szCs w:val="24"/>
        </w:rPr>
        <w:fldChar w:fldCharType="begin"/>
      </w:r>
      <w:r w:rsidR="00711FEA">
        <w:rPr>
          <w:rFonts w:ascii="Times New Roman" w:eastAsia="Times New Roman" w:hAnsi="Times New Roman" w:cs="Times New Roman"/>
          <w:sz w:val="24"/>
          <w:szCs w:val="24"/>
        </w:rPr>
        <w:instrText xml:space="preserve"> ADDIN EN.CITE &lt;EndNote&gt;&lt;Cite&gt;&lt;Author&gt;Aronesty&lt;/Author&gt;&lt;Year&gt;2013&lt;/Year&gt;&lt;RecNum&gt;72&lt;/RecNum&gt;&lt;DisplayText&gt;&lt;style face="superscript"&gt;8&lt;/style&gt;&lt;/DisplayText&gt;&lt;record&gt;&lt;rec-number&gt;72&lt;/rec-number&gt;&lt;foreign-keys&gt;&lt;key app="EN" db-id="2rfsx9rapweadwev95s5wwp5rf9aav0wzpfd" timestamp="1668073574"&gt;72&lt;/key&gt;&lt;/foreign-keys&gt;&lt;ref-type name="Journal Article"&gt;17&lt;/ref-type&gt;&lt;contributors&gt;&lt;authors&gt;&lt;author&gt;Aronesty, Erik&lt;/author&gt;&lt;/authors&gt;&lt;/contributors&gt;&lt;titles&gt;&lt;title&gt;Comparison of sequencing utility programs&lt;/title&gt;&lt;secondary-title&gt;The open bioinformatics journal&lt;/secondary-title&gt;&lt;/titles&gt;&lt;periodical&gt;&lt;full-title&gt;The open bioinformatics journal&lt;/full-title&gt;&lt;abbr-1&gt;Open Bioinform. J.&lt;/abbr-1&gt;&lt;/periodical&gt;&lt;volume&gt;7&lt;/volume&gt;&lt;number&gt;1&lt;/number&gt;&lt;dates&gt;&lt;year&gt;2013&lt;/year&gt;&lt;/dates&gt;&lt;urls&gt;&lt;/urls&gt;&lt;/record&gt;&lt;/Cite&gt;&lt;Cite&gt;&lt;Author&gt;Aronesty&lt;/Author&gt;&lt;Year&gt;2013&lt;/Year&gt;&lt;RecNum&gt;72&lt;/RecNum&gt;&lt;record&gt;&lt;rec-number&gt;72&lt;/rec-number&gt;&lt;foreign-keys&gt;&lt;key app="EN" db-id="2rfsx9rapweadwev95s5wwp5rf9aav0wzpfd" timestamp="1668073574"&gt;72&lt;/key&gt;&lt;/foreign-keys&gt;&lt;ref-type name="Journal Article"&gt;17&lt;/ref-type&gt;&lt;contributors&gt;&lt;authors&gt;&lt;author&gt;Aronesty, Erik&lt;/author&gt;&lt;/authors&gt;&lt;/contributors&gt;&lt;titles&gt;&lt;title&gt;Comparison of sequencing utility programs&lt;/title&gt;&lt;secondary-title&gt;The open bioinformatics journal&lt;/secondary-title&gt;&lt;/titles&gt;&lt;periodical&gt;&lt;full-title&gt;The open bioinformatics journal&lt;/full-title&gt;&lt;abbr-1&gt;Open Bioinform. J.&lt;/abbr-1&gt;&lt;/periodical&gt;&lt;volume&gt;7&lt;/volume&gt;&lt;number&gt;1&lt;/number&gt;&lt;dates&gt;&lt;year&gt;2013&lt;/year&gt;&lt;/dates&gt;&lt;urls&gt;&lt;/urls&gt;&lt;/record&gt;&lt;/Cite&gt;&lt;/EndNote&gt;</w:instrText>
      </w:r>
      <w:r w:rsidR="00711FEA">
        <w:rPr>
          <w:rFonts w:ascii="Times New Roman" w:eastAsia="Times New Roman" w:hAnsi="Times New Roman" w:cs="Times New Roman"/>
          <w:sz w:val="24"/>
          <w:szCs w:val="24"/>
        </w:rPr>
        <w:fldChar w:fldCharType="separate"/>
      </w:r>
      <w:r w:rsidR="00711FEA" w:rsidRPr="00711FEA">
        <w:rPr>
          <w:rFonts w:ascii="Times New Roman" w:eastAsia="Times New Roman" w:hAnsi="Times New Roman" w:cs="Times New Roman"/>
          <w:noProof/>
          <w:sz w:val="24"/>
          <w:szCs w:val="24"/>
          <w:vertAlign w:val="superscript"/>
        </w:rPr>
        <w:t>8</w:t>
      </w:r>
      <w:r w:rsidR="00711FEA">
        <w:rPr>
          <w:rFonts w:ascii="Times New Roman" w:eastAsia="Times New Roman" w:hAnsi="Times New Roman" w:cs="Times New Roman"/>
          <w:sz w:val="24"/>
          <w:szCs w:val="24"/>
        </w:rPr>
        <w:fldChar w:fldCharType="end"/>
      </w:r>
      <w:r w:rsidRPr="00AC4A03">
        <w:rPr>
          <w:rFonts w:ascii="Times New Roman" w:eastAsia="Times New Roman" w:hAnsi="Times New Roman" w:cs="Times New Roman"/>
          <w:sz w:val="24"/>
          <w:szCs w:val="24"/>
        </w:rPr>
        <w:t>. The ITS2 region was extracted using ITSx1.0.11</w:t>
      </w:r>
      <w:r w:rsidR="00711FEA">
        <w:rPr>
          <w:rFonts w:ascii="Times New Roman" w:eastAsia="Times New Roman" w:hAnsi="Times New Roman" w:cs="Times New Roman"/>
          <w:sz w:val="24"/>
          <w:szCs w:val="24"/>
        </w:rPr>
        <w:fldChar w:fldCharType="begin">
          <w:fldData xml:space="preserve">PEVuZE5vdGU+PENpdGU+PEF1dGhvcj5OaWxzc29uPC9BdXRob3I+PFllYXI+MjAxMDwvWWVhcj48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</w:fldData>
        </w:fldChar>
      </w:r>
      <w:r w:rsidR="00711FEA">
        <w:rPr>
          <w:rFonts w:ascii="Times New Roman" w:eastAsia="Times New Roman" w:hAnsi="Times New Roman" w:cs="Times New Roman"/>
          <w:sz w:val="24"/>
          <w:szCs w:val="24"/>
        </w:rPr>
        <w:instrText xml:space="preserve"> ADDIN EN.CITE </w:instrText>
      </w:r>
      <w:r w:rsidR="00711FEA">
        <w:rPr>
          <w:rFonts w:ascii="Times New Roman" w:eastAsia="Times New Roman" w:hAnsi="Times New Roman" w:cs="Times New Roman"/>
          <w:sz w:val="24"/>
          <w:szCs w:val="24"/>
        </w:rPr>
        <w:fldChar w:fldCharType="begin">
          <w:fldData xml:space="preserve">PEVuZE5vdGU+PENpdGU+PEF1dGhvcj5OaWxzc29uPC9BdXRob3I+PFllYXI+MjAxMDwvWWVhcj48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</w:fldData>
        </w:fldChar>
      </w:r>
      <w:r w:rsidR="00711FEA">
        <w:rPr>
          <w:rFonts w:ascii="Times New Roman" w:eastAsia="Times New Roman" w:hAnsi="Times New Roman" w:cs="Times New Roman"/>
          <w:sz w:val="24"/>
          <w:szCs w:val="24"/>
        </w:rPr>
        <w:instrText xml:space="preserve"> ADDIN EN.CITE.DATA </w:instrText>
      </w:r>
      <w:r w:rsidR="00711FEA">
        <w:rPr>
          <w:rFonts w:ascii="Times New Roman" w:eastAsia="Times New Roman" w:hAnsi="Times New Roman" w:cs="Times New Roman"/>
          <w:sz w:val="24"/>
          <w:szCs w:val="24"/>
        </w:rPr>
      </w:r>
      <w:r w:rsidR="00711FEA">
        <w:rPr>
          <w:rFonts w:ascii="Times New Roman" w:eastAsia="Times New Roman" w:hAnsi="Times New Roman" w:cs="Times New Roman"/>
          <w:sz w:val="24"/>
          <w:szCs w:val="24"/>
        </w:rPr>
        <w:fldChar w:fldCharType="end"/>
      </w:r>
      <w:r w:rsidR="00711FEA">
        <w:rPr>
          <w:rFonts w:ascii="Times New Roman" w:eastAsia="Times New Roman" w:hAnsi="Times New Roman" w:cs="Times New Roman"/>
          <w:sz w:val="24"/>
          <w:szCs w:val="24"/>
        </w:rPr>
      </w:r>
      <w:r w:rsidR="00711FEA">
        <w:rPr>
          <w:rFonts w:ascii="Times New Roman" w:eastAsia="Times New Roman" w:hAnsi="Times New Roman" w:cs="Times New Roman"/>
          <w:sz w:val="24"/>
          <w:szCs w:val="24"/>
        </w:rPr>
        <w:fldChar w:fldCharType="separate"/>
      </w:r>
      <w:r w:rsidR="00711FEA" w:rsidRPr="00711FEA">
        <w:rPr>
          <w:rFonts w:ascii="Times New Roman" w:eastAsia="Times New Roman" w:hAnsi="Times New Roman" w:cs="Times New Roman"/>
          <w:noProof/>
          <w:sz w:val="24"/>
          <w:szCs w:val="24"/>
          <w:vertAlign w:val="superscript"/>
        </w:rPr>
        <w:t>9</w:t>
      </w:r>
      <w:r w:rsidR="00711FEA">
        <w:rPr>
          <w:rFonts w:ascii="Times New Roman" w:eastAsia="Times New Roman" w:hAnsi="Times New Roman" w:cs="Times New Roman"/>
          <w:sz w:val="24"/>
          <w:szCs w:val="24"/>
        </w:rPr>
        <w:fldChar w:fldCharType="end"/>
      </w:r>
      <w:r w:rsidRPr="00AC4A03">
        <w:rPr>
          <w:rFonts w:ascii="Times New Roman" w:eastAsia="Times New Roman" w:hAnsi="Times New Roman" w:cs="Times New Roman"/>
          <w:sz w:val="24"/>
          <w:szCs w:val="24"/>
        </w:rPr>
        <w:t xml:space="preserve"> before processing. The chimeras were identified using USEARCH 8.1.1861 and deleted. Sequences were clustered using UPARSE implemented within USEARCH</w:t>
      </w:r>
      <w:r w:rsidR="00711FEA">
        <w:rPr>
          <w:rFonts w:ascii="Times New Roman" w:eastAsia="Times New Roman" w:hAnsi="Times New Roman" w:cs="Times New Roman"/>
          <w:sz w:val="24"/>
          <w:szCs w:val="24"/>
        </w:rPr>
        <w:fldChar w:fldCharType="begin"/>
      </w:r>
      <w:r w:rsidR="00711FEA">
        <w:rPr>
          <w:rFonts w:ascii="Times New Roman" w:eastAsia="Times New Roman" w:hAnsi="Times New Roman" w:cs="Times New Roman"/>
          <w:sz w:val="24"/>
          <w:szCs w:val="24"/>
        </w:rPr>
        <w:instrText xml:space="preserve"> ADDIN EN.CITE &lt;EndNote&gt;&lt;Cite&gt;&lt;Author&gt;Edgar&lt;/Author&gt;&lt;Year&gt;2013&lt;/Year&gt;&lt;RecNum&gt;75&lt;/RecNum&gt;&lt;DisplayText&gt;&lt;style face="superscript"&gt;10&lt;/style&gt;&lt;/DisplayText&gt;&lt;record&gt;&lt;rec-number&gt;75&lt;/rec-number&gt;&lt;foreign-keys&gt;&lt;key app="EN" db-id="2rfsx9rapweadwev95s5wwp5rf9aav0wzpfd" timestamp="1668073722"&gt;75&lt;/key&gt;&lt;/foreign-keys&gt;&lt;ref-type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methods&lt;/full-title&gt;&lt;abbr-1&gt;Nat. Methods&lt;/abbr-1&gt;&lt;/periodical&gt;&lt;pages&gt;996-998&lt;/pages&gt;&lt;volume&gt;10&lt;/volume&gt;&lt;number&gt;10&lt;/number&gt;&lt;dates&gt;&lt;year&gt;2013&lt;/year&gt;&lt;/dates&gt;&lt;isbn&gt;1548-7105&lt;/isbn&gt;&lt;urls&gt;&lt;/urls&gt;&lt;/record&gt;&lt;/Cite&gt;&lt;Cite&gt;&lt;Author&gt;Edgar&lt;/Author&gt;&lt;Year&gt;2013&lt;/Year&gt;&lt;RecNum&gt;75&lt;/RecNum&gt;&lt;record&gt;&lt;rec-number&gt;75&lt;/rec-number&gt;&lt;foreign-keys&gt;&lt;key app="EN" db-id="2rfsx9rapweadwev95s5wwp5rf9aav0wzpfd" timestamp="1668073722"&gt;75&lt;/key&gt;&lt;/foreign-keys&gt;&lt;ref-type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methods&lt;/full-title&gt;&lt;abbr-1&gt;Nat. Methods&lt;/abbr-1&gt;&lt;/periodical&gt;&lt;pages&gt;996-998&lt;/pages&gt;&lt;volume&gt;10&lt;/volume&gt;&lt;number&gt;10&lt;/number&gt;&lt;dates&gt;&lt;year&gt;2013&lt;/year&gt;&lt;/dates&gt;&lt;isbn&gt;1548-7105&lt;/isbn&gt;&lt;urls&gt;&lt;/urls&gt;&lt;/record&gt;&lt;/Cite&gt;&lt;/EndNote&gt;</w:instrText>
      </w:r>
      <w:r w:rsidR="00711FEA">
        <w:rPr>
          <w:rFonts w:ascii="Times New Roman" w:eastAsia="Times New Roman" w:hAnsi="Times New Roman" w:cs="Times New Roman"/>
          <w:sz w:val="24"/>
          <w:szCs w:val="24"/>
        </w:rPr>
        <w:fldChar w:fldCharType="separate"/>
      </w:r>
      <w:r w:rsidR="00711FEA" w:rsidRPr="00711FEA">
        <w:rPr>
          <w:rFonts w:ascii="Times New Roman" w:eastAsia="Times New Roman" w:hAnsi="Times New Roman" w:cs="Times New Roman"/>
          <w:noProof/>
          <w:sz w:val="24"/>
          <w:szCs w:val="24"/>
          <w:vertAlign w:val="superscript"/>
        </w:rPr>
        <w:t>10</w:t>
      </w:r>
      <w:r w:rsidR="00711FEA">
        <w:rPr>
          <w:rFonts w:ascii="Times New Roman" w:eastAsia="Times New Roman" w:hAnsi="Times New Roman" w:cs="Times New Roman"/>
          <w:sz w:val="24"/>
          <w:szCs w:val="24"/>
        </w:rPr>
        <w:fldChar w:fldCharType="end"/>
      </w:r>
      <w:r w:rsidRPr="00AC4A03">
        <w:rPr>
          <w:rFonts w:ascii="Times New Roman" w:eastAsia="Times New Roman" w:hAnsi="Times New Roman" w:cs="Times New Roman"/>
          <w:sz w:val="24"/>
          <w:szCs w:val="24"/>
        </w:rPr>
        <w:t xml:space="preserve"> at a 97% similarity level. The most abundant sequences were selected for each cluster, and the closest hits were identiﬁed using </w:t>
      </w:r>
      <w:proofErr w:type="spellStart"/>
      <w:r w:rsidRPr="00AC4A03">
        <w:rPr>
          <w:rFonts w:ascii="Times New Roman" w:eastAsia="Times New Roman" w:hAnsi="Times New Roman" w:cs="Times New Roman"/>
          <w:sz w:val="24"/>
          <w:szCs w:val="24"/>
        </w:rPr>
        <w:t>BLASTn</w:t>
      </w:r>
      <w:proofErr w:type="spellEnd"/>
      <w:r w:rsidRPr="00AC4A03">
        <w:rPr>
          <w:rFonts w:ascii="Times New Roman" w:eastAsia="Times New Roman" w:hAnsi="Times New Roman" w:cs="Times New Roman"/>
          <w:sz w:val="24"/>
          <w:szCs w:val="24"/>
        </w:rPr>
        <w:t xml:space="preserve"> against GenBank. Singletons were discarded.</w:t>
      </w:r>
    </w:p>
    <w:p w14:paraId="2761C5F3" w14:textId="0D37DCC6" w:rsidR="00AB120C" w:rsidRPr="00AC4A03" w:rsidRDefault="00262F96" w:rsidP="00AB120C">
      <w:pPr>
        <w:pStyle w:val="Paragraph"/>
        <w:suppressAutoHyphens/>
        <w:spacing w:before="240" w:line="360" w:lineRule="auto"/>
        <w:ind w:firstLine="0"/>
        <w:jc w:val="both"/>
        <w:rPr>
          <w:lang w:val="en-GB"/>
        </w:rPr>
      </w:pPr>
      <w:r w:rsidRPr="00AC4A03">
        <w:rPr>
          <w:b/>
          <w:lang w:val="en-GB"/>
        </w:rPr>
        <w:t>Isolation of the cultivable fungal strains from the larvae (pre-mortem).</w:t>
      </w:r>
      <w:r w:rsidRPr="00AC4A03">
        <w:rPr>
          <w:lang w:val="en-GB"/>
        </w:rPr>
        <w:t xml:space="preserve"> Ground larva</w:t>
      </w:r>
      <w:r w:rsidR="00451BF7">
        <w:rPr>
          <w:lang w:val="en-GB"/>
        </w:rPr>
        <w:t>l</w:t>
      </w:r>
      <w:r w:rsidRPr="00AC4A03">
        <w:rPr>
          <w:lang w:val="en-GB"/>
        </w:rPr>
        <w:t xml:space="preserve"> biomass was resuspended in peptone water (1:10 larvae </w:t>
      </w:r>
      <w:proofErr w:type="spellStart"/>
      <w:proofErr w:type="gramStart"/>
      <w:r w:rsidRPr="00AC4A03">
        <w:rPr>
          <w:lang w:val="en-GB"/>
        </w:rPr>
        <w:t>biomass:peptone</w:t>
      </w:r>
      <w:proofErr w:type="spellEnd"/>
      <w:proofErr w:type="gramEnd"/>
      <w:r w:rsidRPr="00AC4A03">
        <w:rPr>
          <w:lang w:val="en-GB"/>
        </w:rPr>
        <w:t xml:space="preserve"> water, 0.1% w/v, incubated for 1h, 37 °C, 100 rpm) and then spread onto solid Malt Extract Agar (MEA) supplemented with 0.1% (v/v) chloramphenicol to inhibit bacterial growth (in triplicate). Morphologically distinct fungal colonies (checked daily) were isolated by transfer to fresh media; isolates were cultivated for 4 days in MEA (spores were harvested and stored as described above). DNA extraction was performed using the Quick-DNA</w:t>
      </w:r>
      <w:r w:rsidRPr="00AC4A03">
        <w:rPr>
          <w:vertAlign w:val="superscript"/>
          <w:lang w:val="en-GB"/>
        </w:rPr>
        <w:t xml:space="preserve">TM </w:t>
      </w:r>
      <w:r w:rsidRPr="00AC4A03">
        <w:rPr>
          <w:lang w:val="en-GB"/>
        </w:rPr>
        <w:t xml:space="preserve">Fungal/Bacterial </w:t>
      </w:r>
      <w:proofErr w:type="spellStart"/>
      <w:r w:rsidRPr="00AC4A03">
        <w:rPr>
          <w:lang w:val="en-GB"/>
        </w:rPr>
        <w:t>Microprep</w:t>
      </w:r>
      <w:proofErr w:type="spellEnd"/>
      <w:r w:rsidRPr="00AC4A03">
        <w:rPr>
          <w:lang w:val="en-GB"/>
        </w:rPr>
        <w:t xml:space="preserve"> Kit (</w:t>
      </w:r>
      <w:proofErr w:type="spellStart"/>
      <w:r w:rsidRPr="00AC4A03">
        <w:rPr>
          <w:lang w:val="en-GB"/>
        </w:rPr>
        <w:t>Zymo</w:t>
      </w:r>
      <w:proofErr w:type="spellEnd"/>
      <w:r w:rsidRPr="00AC4A03">
        <w:rPr>
          <w:lang w:val="en-GB"/>
        </w:rPr>
        <w:t xml:space="preserve"> Research). All strains were characterised by ITS sequencing (primers gITS7 and ITS4). Details of the PCR conditions, primer sequences, and sequence assembly were similar to those described above (</w:t>
      </w:r>
      <w:proofErr w:type="spellStart"/>
      <w:r w:rsidRPr="00AC4A03">
        <w:rPr>
          <w:lang w:val="en-GB"/>
        </w:rPr>
        <w:t>Metataxonomics</w:t>
      </w:r>
      <w:proofErr w:type="spellEnd"/>
      <w:r w:rsidRPr="00AC4A03">
        <w:rPr>
          <w:lang w:val="en-GB"/>
        </w:rPr>
        <w:t>). Sequence similarity searches were performed in public databases (</w:t>
      </w:r>
      <w:proofErr w:type="spellStart"/>
      <w:proofErr w:type="gramStart"/>
      <w:r w:rsidRPr="00AC4A03">
        <w:rPr>
          <w:lang w:val="en-GB"/>
        </w:rPr>
        <w:t>GenBank;http</w:t>
      </w:r>
      <w:proofErr w:type="spellEnd"/>
      <w:r w:rsidRPr="00AC4A03">
        <w:rPr>
          <w:lang w:val="en-GB"/>
        </w:rPr>
        <w:t>://www.ncbi.nlm.nih.gov/</w:t>
      </w:r>
      <w:proofErr w:type="gramEnd"/>
      <w:r w:rsidRPr="00AC4A03">
        <w:rPr>
          <w:lang w:val="en-GB"/>
        </w:rPr>
        <w:t xml:space="preserve">) with BLAST (version 2.5.0). </w:t>
      </w:r>
      <w:bookmarkStart w:id="3" w:name="_Hlk117087835"/>
    </w:p>
    <w:bookmarkEnd w:id="3"/>
    <w:p w14:paraId="5E4777FC" w14:textId="77777777" w:rsidR="00262F96" w:rsidRPr="00AC4A03" w:rsidRDefault="00262F96" w:rsidP="00505CEA">
      <w:pPr>
        <w:pStyle w:val="Paragraph"/>
        <w:suppressAutoHyphens/>
        <w:spacing w:before="0" w:line="360" w:lineRule="auto"/>
        <w:ind w:firstLine="0"/>
        <w:jc w:val="both"/>
        <w:rPr>
          <w:b/>
          <w:bCs/>
          <w:lang w:val="en-GB"/>
        </w:rPr>
      </w:pPr>
    </w:p>
    <w:p w14:paraId="41E4DCBF" w14:textId="41331CCC" w:rsidR="009B6468" w:rsidRPr="00AC4A03" w:rsidRDefault="009B6468" w:rsidP="00505CEA">
      <w:pPr>
        <w:pStyle w:val="Paragraph"/>
        <w:suppressAutoHyphens/>
        <w:spacing w:before="0" w:line="360" w:lineRule="auto"/>
        <w:ind w:firstLine="0"/>
        <w:jc w:val="both"/>
        <w:rPr>
          <w:bCs/>
          <w:lang w:val="en-GB"/>
        </w:rPr>
      </w:pPr>
      <w:r w:rsidRPr="00AC4A03">
        <w:rPr>
          <w:b/>
          <w:bCs/>
          <w:lang w:val="en-GB"/>
        </w:rPr>
        <w:t>Microsatellite genotyping</w:t>
      </w:r>
      <w:r w:rsidR="00DC7986">
        <w:rPr>
          <w:b/>
          <w:bCs/>
          <w:lang w:val="en-GB"/>
        </w:rPr>
        <w:t xml:space="preserve">. </w:t>
      </w:r>
      <w:r w:rsidRPr="00AC4A03">
        <w:rPr>
          <w:bCs/>
          <w:lang w:val="en-GB"/>
        </w:rPr>
        <w:t>Genotyping was performed by CD Genomics (NY, USA) with a panel of nine short tandem repeats (TRs) as previously described</w:t>
      </w:r>
      <w:r w:rsidR="008907F4">
        <w:rPr>
          <w:bCs/>
          <w:lang w:val="en-GB"/>
        </w:rPr>
        <w:fldChar w:fldCharType="begin"/>
      </w:r>
      <w:r w:rsidR="00711FEA">
        <w:rPr>
          <w:bCs/>
          <w:lang w:val="en-GB"/>
        </w:rPr>
        <w:instrText xml:space="preserve"> ADDIN EN.CITE &lt;EndNote&gt;&lt;Cite&gt;&lt;Author&gt;de Valk&lt;/Author&gt;&lt;Year&gt;2005&lt;/Year&gt;&lt;RecNum&gt;37&lt;/RecNum&gt;&lt;DisplayText&gt;&lt;style face="superscript"&gt;11&lt;/style&gt;&lt;/DisplayText&gt;&lt;record&gt;&lt;rec-number&gt;37&lt;/rec-number&gt;&lt;foreign-keys&gt;&lt;key app="EN" db-id="2rfsx9rapweadwev95s5wwp5rf9aav0wzpfd" timestamp="1667931972"&gt;37&lt;/key&gt;&lt;/foreign-keys&gt;&lt;ref-type name="Journal Article"&gt;17&lt;/ref-type&gt;&lt;contributors&gt;&lt;authors&gt;&lt;author&gt;de Valk, Hanneke A&lt;/author&gt;&lt;author&gt;Meis, Jacques FGM&lt;/author&gt;&lt;author&gt;Curfs, Ilse M&lt;/author&gt;&lt;author&gt;Muehlethaler, Konrad&lt;/author&gt;&lt;author&gt;Mouton, Johan W&lt;/author&gt;&lt;author&gt;Klaassen, Corné HW&lt;/author&gt;&lt;/authors&gt;&lt;/contributors&gt;&lt;titles&gt;&lt;title&gt;&lt;style face="normal" font="default" size="100%"&gt;Use of a novel panel of nine short tandem repeats for exact and high-resolution fingerprinting of &lt;/style&gt;&lt;style face="italic" font="default" size="100%"&gt;Aspergillus fumigatus&lt;/style&gt;&lt;style face="normal" font="default" size="100%"&gt; isolates&lt;/style&gt;&lt;/title&gt;&lt;secondary-title&gt;Journal of clinical microbiology&lt;/secondary-title&gt;&lt;/titles&gt;&lt;periodical&gt;&lt;full-title&gt;Journal of clinical microbiology&lt;/full-title&gt;&lt;abbr-1&gt;J. Clin. Microbiol.&lt;/abbr-1&gt;&lt;/periodical&gt;&lt;pages&gt;4112-4120&lt;/pages&gt;&lt;volume&gt;43&lt;/volume&gt;&lt;number&gt;8&lt;/number&gt;&lt;dates&gt;&lt;year&gt;2005&lt;/year&gt;&lt;/dates&gt;&lt;isbn&gt;0095-1137&lt;/isbn&gt;&lt;urls&gt;&lt;/urls&gt;&lt;/record&gt;&lt;/Cite&gt;&lt;/EndNote&gt;</w:instrText>
      </w:r>
      <w:r w:rsidR="008907F4">
        <w:rPr>
          <w:bCs/>
          <w:lang w:val="en-GB"/>
        </w:rPr>
        <w:fldChar w:fldCharType="separate"/>
      </w:r>
      <w:r w:rsidR="00711FEA" w:rsidRPr="00711FEA">
        <w:rPr>
          <w:bCs/>
          <w:noProof/>
          <w:vertAlign w:val="superscript"/>
          <w:lang w:val="en-GB"/>
        </w:rPr>
        <w:t>11</w:t>
      </w:r>
      <w:r w:rsidR="008907F4">
        <w:rPr>
          <w:bCs/>
          <w:lang w:val="en-GB"/>
        </w:rPr>
        <w:fldChar w:fldCharType="end"/>
      </w:r>
      <w:r w:rsidRPr="00AC4A03">
        <w:rPr>
          <w:bCs/>
          <w:lang w:val="en-GB"/>
        </w:rPr>
        <w:t>. In brief, three separate multiplex PCRs amplifications were performed to obtain three dinucleotide, three trinucleotide and three tetranucleotide loci fragments. Each PCR mixture contained 1x reaction buffer, 0.3 mM of the corresponding amplification primers, 0.2 mM deoxynucleotide triphosphates, 0.5 U of Hot Start Taq DNA Polymerase and 1 ng of genomic DNA. Amplification was performed using the following thermal protocol: 5min of initial denaturation at 95</w:t>
      </w:r>
      <w:r w:rsidR="00AB120C" w:rsidRPr="00AC4A03">
        <w:rPr>
          <w:bCs/>
          <w:lang w:val="en-GB"/>
        </w:rPr>
        <w:t xml:space="preserve"> </w:t>
      </w:r>
      <w:r w:rsidRPr="00AC4A03">
        <w:rPr>
          <w:bCs/>
          <w:lang w:val="en-GB"/>
        </w:rPr>
        <w:t>°C, followed by 35 cycles of 30sec of denaturation at 95</w:t>
      </w:r>
      <w:r w:rsidR="00AB120C" w:rsidRPr="00AC4A03">
        <w:rPr>
          <w:bCs/>
          <w:lang w:val="en-GB"/>
        </w:rPr>
        <w:t xml:space="preserve"> </w:t>
      </w:r>
      <w:r w:rsidRPr="00AC4A03">
        <w:rPr>
          <w:bCs/>
          <w:lang w:val="en-GB"/>
        </w:rPr>
        <w:t>°C, 30sec of annealing at 60</w:t>
      </w:r>
      <w:r w:rsidR="00AB120C" w:rsidRPr="00AC4A03">
        <w:rPr>
          <w:bCs/>
          <w:lang w:val="en-GB"/>
        </w:rPr>
        <w:t xml:space="preserve"> </w:t>
      </w:r>
      <w:r w:rsidRPr="00AC4A03">
        <w:rPr>
          <w:bCs/>
          <w:lang w:val="en-GB"/>
        </w:rPr>
        <w:t>°C and 30sec of extension at 72</w:t>
      </w:r>
      <w:r w:rsidR="00AB120C" w:rsidRPr="00AC4A03">
        <w:rPr>
          <w:bCs/>
          <w:lang w:val="en-GB"/>
        </w:rPr>
        <w:t xml:space="preserve"> </w:t>
      </w:r>
      <w:r w:rsidRPr="00AC4A03">
        <w:rPr>
          <w:bCs/>
          <w:lang w:val="en-GB"/>
        </w:rPr>
        <w:t>°C, with final extension for 30min at 60</w:t>
      </w:r>
      <w:r w:rsidR="00AB120C" w:rsidRPr="00AC4A03">
        <w:rPr>
          <w:bCs/>
          <w:lang w:val="en-GB"/>
        </w:rPr>
        <w:t xml:space="preserve"> </w:t>
      </w:r>
      <w:r w:rsidRPr="00AC4A03">
        <w:rPr>
          <w:bCs/>
          <w:lang w:val="en-GB"/>
        </w:rPr>
        <w:t>°C. The obtained fragments were denatured at 95</w:t>
      </w:r>
      <w:r w:rsidR="00AB120C" w:rsidRPr="00AC4A03">
        <w:rPr>
          <w:bCs/>
          <w:lang w:val="en-GB"/>
        </w:rPr>
        <w:t xml:space="preserve"> </w:t>
      </w:r>
      <w:r w:rsidRPr="00AC4A03">
        <w:rPr>
          <w:bCs/>
          <w:lang w:val="en-GB"/>
        </w:rPr>
        <w:t xml:space="preserve">°C for 3min in a mixture containing 1.0 </w:t>
      </w:r>
      <w:proofErr w:type="spellStart"/>
      <w:r w:rsidRPr="00AC4A03">
        <w:rPr>
          <w:bCs/>
          <w:lang w:val="en-GB"/>
        </w:rPr>
        <w:t>μl</w:t>
      </w:r>
      <w:proofErr w:type="spellEnd"/>
      <w:r w:rsidRPr="00AC4A03">
        <w:rPr>
          <w:bCs/>
          <w:lang w:val="en-GB"/>
        </w:rPr>
        <w:t xml:space="preserve"> of PCR product, molecular weight internal standard and 0.05% formamide. The fragment analysis was performed on the Applied Biosystems 3730xl DNA Analyzer, and the sizes determined using </w:t>
      </w:r>
      <w:proofErr w:type="spellStart"/>
      <w:r w:rsidRPr="00AC4A03">
        <w:rPr>
          <w:bCs/>
          <w:lang w:val="en-GB"/>
        </w:rPr>
        <w:t>GeneMapper</w:t>
      </w:r>
      <w:proofErr w:type="spellEnd"/>
      <w:r w:rsidRPr="00AC4A03">
        <w:rPr>
          <w:bCs/>
          <w:lang w:val="en-GB"/>
        </w:rPr>
        <w:t xml:space="preserve"> Software 5.</w:t>
      </w:r>
    </w:p>
    <w:p w14:paraId="03F55FE9" w14:textId="77777777" w:rsidR="009B6468" w:rsidRPr="00AC4A03" w:rsidRDefault="009B6468" w:rsidP="00505CEA">
      <w:pPr>
        <w:spacing w:after="0" w:line="360" w:lineRule="auto"/>
        <w:rPr>
          <w:rFonts w:ascii="Times New Roman" w:hAnsi="Times New Roman" w:cs="Times New Roman"/>
        </w:rPr>
      </w:pPr>
    </w:p>
    <w:p w14:paraId="2FFB7B2D" w14:textId="565020E7" w:rsidR="009B6468" w:rsidRPr="00AC4A03" w:rsidRDefault="009B6468" w:rsidP="00505CEA">
      <w:pPr>
        <w:pStyle w:val="Paragraph"/>
        <w:suppressAutoHyphens/>
        <w:spacing w:before="0" w:line="360" w:lineRule="auto"/>
        <w:ind w:firstLine="0"/>
        <w:jc w:val="both"/>
        <w:rPr>
          <w:bCs/>
          <w:lang w:val="en-GB"/>
        </w:rPr>
      </w:pPr>
      <w:r w:rsidRPr="00AC4A03">
        <w:rPr>
          <w:b/>
          <w:lang w:val="en-GB"/>
        </w:rPr>
        <w:lastRenderedPageBreak/>
        <w:t>Minimal Inhibitory Concentrations (MIC</w:t>
      </w:r>
      <w:r w:rsidR="00DC7986">
        <w:rPr>
          <w:b/>
          <w:lang w:val="en-GB"/>
        </w:rPr>
        <w:t>s</w:t>
      </w:r>
      <w:r w:rsidRPr="00AC4A03">
        <w:rPr>
          <w:b/>
          <w:lang w:val="en-GB"/>
        </w:rPr>
        <w:t xml:space="preserve">) </w:t>
      </w:r>
      <w:r w:rsidR="00DC7986">
        <w:rPr>
          <w:b/>
          <w:lang w:val="en-GB"/>
        </w:rPr>
        <w:t xml:space="preserve">of antifungals </w:t>
      </w:r>
      <w:r w:rsidRPr="00AC4A03">
        <w:rPr>
          <w:b/>
          <w:lang w:val="en-GB"/>
        </w:rPr>
        <w:t>and EC</w:t>
      </w:r>
      <w:r w:rsidR="00AC4A03" w:rsidRPr="00AC4A03">
        <w:rPr>
          <w:b/>
          <w:vertAlign w:val="subscript"/>
          <w:lang w:val="en-GB"/>
        </w:rPr>
        <w:t>50</w:t>
      </w:r>
      <w:r w:rsidRPr="00AC4A03">
        <w:rPr>
          <w:b/>
          <w:lang w:val="en-GB"/>
        </w:rPr>
        <w:t xml:space="preserve"> </w:t>
      </w:r>
      <w:r w:rsidRPr="00AC4A03">
        <w:rPr>
          <w:b/>
        </w:rPr>
        <w:t>levels</w:t>
      </w:r>
      <w:r w:rsidRPr="00AC4A03">
        <w:rPr>
          <w:b/>
          <w:lang w:val="en-GB"/>
        </w:rPr>
        <w:t xml:space="preserve"> of </w:t>
      </w:r>
      <w:r w:rsidR="00AB120C" w:rsidRPr="00AC4A03">
        <w:rPr>
          <w:b/>
          <w:bCs/>
          <w:lang w:val="en-GB"/>
        </w:rPr>
        <w:t xml:space="preserve">pollutants </w:t>
      </w:r>
      <w:r w:rsidRPr="00AC4A03">
        <w:rPr>
          <w:b/>
          <w:lang w:val="en-GB"/>
        </w:rPr>
        <w:t xml:space="preserve">against </w:t>
      </w:r>
      <w:r w:rsidR="00AB120C" w:rsidRPr="00AC4A03">
        <w:rPr>
          <w:b/>
          <w:lang w:val="en-GB"/>
        </w:rPr>
        <w:t xml:space="preserve">each </w:t>
      </w:r>
      <w:r w:rsidRPr="00AC4A03">
        <w:rPr>
          <w:b/>
          <w:lang w:val="en-GB"/>
        </w:rPr>
        <w:t>fungal strain</w:t>
      </w:r>
      <w:r w:rsidR="00DC7986">
        <w:rPr>
          <w:b/>
          <w:lang w:val="en-GB"/>
        </w:rPr>
        <w:t xml:space="preserve">. </w:t>
      </w:r>
      <w:r w:rsidRPr="00AC4A03">
        <w:rPr>
          <w:bCs/>
          <w:lang w:val="en-GB"/>
        </w:rPr>
        <w:t>MICs were determined using a microbroth dilution format according to the EUCAST reference method</w:t>
      </w:r>
      <w:r w:rsidR="008907F4">
        <w:rPr>
          <w:bCs/>
          <w:lang w:val="en-GB"/>
        </w:rPr>
        <w:fldChar w:fldCharType="begin"/>
      </w:r>
      <w:r w:rsidR="00711FEA">
        <w:rPr>
          <w:bCs/>
          <w:lang w:val="en-GB"/>
        </w:rPr>
        <w:instrText xml:space="preserve"> ADDIN EN.CITE &lt;EndNote&gt;&lt;Cite&gt;&lt;Author&gt;Testing&lt;/Author&gt;&lt;Year&gt;2008&lt;/Year&gt;&lt;RecNum&gt;57&lt;/RecNum&gt;&lt;DisplayText&gt;&lt;style face="superscript"&gt;12&lt;/style&gt;&lt;/DisplayText&gt;&lt;record&gt;&lt;rec-number&gt;57&lt;/rec-number&gt;&lt;foreign-keys&gt;&lt;key app="EN" db-id="2rfsx9rapweadwev95s5wwp5rf9aav0wzpfd" timestamp="1667932125"&gt;57&lt;/key&gt;&lt;/foreign-keys&gt;&lt;ref-type name="Journal Article"&gt;17&lt;/ref-type&gt;&lt;contributors&gt;&lt;authors&gt;&lt;author&gt;Subcommittee on Antifungal Susceptibility Testing of the ESCMID European Committee for Antimicrobial Susceptibility Testing&lt;/author&gt;&lt;/authors&gt;&lt;/contributors&gt;&lt;titles&gt;&lt;title&gt;EUCAST technical note on the method for the determination of broth dilution minimum inhibitory concentrations of antifungal agents for conidia-forming moulds&lt;/title&gt;&lt;secondary-title&gt;Clinical microbiology and infection&lt;/secondary-title&gt;&lt;/titles&gt;&lt;periodical&gt;&lt;full-title&gt;Clinical microbiology and infection&lt;/full-title&gt;&lt;abbr-1&gt;Clin. Microbiol. Infect.&lt;/abbr-1&gt;&lt;/periodical&gt;&lt;pages&gt;982-984&lt;/pages&gt;&lt;volume&gt;14&lt;/volume&gt;&lt;number&gt;10&lt;/number&gt;&lt;dates&gt;&lt;year&gt;2008&lt;/year&gt;&lt;/dates&gt;&lt;isbn&gt;1469-0691&lt;/isbn&gt;&lt;urls&gt;&lt;/urls&gt;&lt;/record&gt;&lt;/Cite&gt;&lt;/EndNote&gt;</w:instrText>
      </w:r>
      <w:r w:rsidR="008907F4">
        <w:rPr>
          <w:bCs/>
          <w:lang w:val="en-GB"/>
        </w:rPr>
        <w:fldChar w:fldCharType="separate"/>
      </w:r>
      <w:r w:rsidR="00711FEA" w:rsidRPr="00711FEA">
        <w:rPr>
          <w:bCs/>
          <w:noProof/>
          <w:vertAlign w:val="superscript"/>
          <w:lang w:val="en-GB"/>
        </w:rPr>
        <w:t>12</w:t>
      </w:r>
      <w:r w:rsidR="008907F4">
        <w:rPr>
          <w:bCs/>
          <w:lang w:val="en-GB"/>
        </w:rPr>
        <w:fldChar w:fldCharType="end"/>
      </w:r>
      <w:r w:rsidRPr="00AC4A03">
        <w:rPr>
          <w:bCs/>
          <w:lang w:val="en-GB"/>
        </w:rPr>
        <w:t xml:space="preserve">. Tests were carried out with RPMI-1640 medium (R6504, with L-glutamine and without sodium bicarbonate) supplemented with </w:t>
      </w:r>
      <w:r w:rsidR="00AC4A03" w:rsidRPr="00AC4A03">
        <w:rPr>
          <w:bCs/>
          <w:lang w:val="en-GB"/>
        </w:rPr>
        <w:t>2%</w:t>
      </w:r>
      <w:r w:rsidR="00AC4A03">
        <w:rPr>
          <w:bCs/>
          <w:lang w:val="en-GB"/>
        </w:rPr>
        <w:t xml:space="preserve"> </w:t>
      </w:r>
      <w:r w:rsidRPr="00AC4A03">
        <w:rPr>
          <w:bCs/>
          <w:lang w:val="en-GB"/>
        </w:rPr>
        <w:t>glucose and 0.165 mol·L</w:t>
      </w:r>
      <w:r w:rsidRPr="00AC4A03">
        <w:rPr>
          <w:bCs/>
          <w:vertAlign w:val="superscript"/>
          <w:lang w:val="en-GB"/>
        </w:rPr>
        <w:t>-1</w:t>
      </w:r>
      <w:r w:rsidRPr="00AC4A03">
        <w:rPr>
          <w:bCs/>
          <w:lang w:val="en-GB"/>
        </w:rPr>
        <w:t xml:space="preserve"> of 3-(N-morpholino) </w:t>
      </w:r>
      <w:proofErr w:type="spellStart"/>
      <w:r w:rsidRPr="00AC4A03">
        <w:rPr>
          <w:bCs/>
          <w:lang w:val="en-GB"/>
        </w:rPr>
        <w:t>propanesulfonic</w:t>
      </w:r>
      <w:proofErr w:type="spellEnd"/>
      <w:r w:rsidRPr="00AC4A03">
        <w:rPr>
          <w:bCs/>
          <w:lang w:val="en-GB"/>
        </w:rPr>
        <w:t xml:space="preserve"> acid (MOPS) </w:t>
      </w:r>
      <w:r w:rsidR="00AC4A03">
        <w:rPr>
          <w:bCs/>
          <w:lang w:val="en-GB"/>
        </w:rPr>
        <w:t xml:space="preserve">and a </w:t>
      </w:r>
      <w:r w:rsidRPr="00AC4A03">
        <w:rPr>
          <w:bCs/>
          <w:lang w:val="en-GB"/>
        </w:rPr>
        <w:t>pH adjusted to 7.0. The concentrations tested, all in mg·L</w:t>
      </w:r>
      <w:r w:rsidRPr="00AC4A03">
        <w:rPr>
          <w:bCs/>
          <w:vertAlign w:val="superscript"/>
          <w:lang w:val="en-GB"/>
        </w:rPr>
        <w:t>-1</w:t>
      </w:r>
      <w:r w:rsidRPr="00AC4A03">
        <w:rPr>
          <w:bCs/>
          <w:lang w:val="en-GB"/>
        </w:rPr>
        <w:t xml:space="preserve">, ranged from 256 to 0.5 for amphotericin B, from 8 to 0.016 for </w:t>
      </w:r>
      <w:proofErr w:type="spellStart"/>
      <w:r w:rsidRPr="00AC4A03">
        <w:rPr>
          <w:bCs/>
          <w:lang w:val="en-GB"/>
        </w:rPr>
        <w:t>posaconazole</w:t>
      </w:r>
      <w:proofErr w:type="spellEnd"/>
      <w:r w:rsidRPr="00AC4A03">
        <w:rPr>
          <w:bCs/>
          <w:lang w:val="en-GB"/>
        </w:rPr>
        <w:t>, and from 512 to 1 for either pollutant. Spore suspensions were prepared to a final working inoculum of 10</w:t>
      </w:r>
      <w:r w:rsidRPr="00AC4A03">
        <w:rPr>
          <w:bCs/>
          <w:vertAlign w:val="superscript"/>
          <w:lang w:val="en-GB"/>
        </w:rPr>
        <w:t>6</w:t>
      </w:r>
      <w:r w:rsidRPr="00AC4A03">
        <w:rPr>
          <w:bCs/>
          <w:lang w:val="en-GB"/>
        </w:rPr>
        <w:t xml:space="preserve"> conidia·mL</w:t>
      </w:r>
      <w:r w:rsidRPr="00AC4A03">
        <w:rPr>
          <w:bCs/>
          <w:vertAlign w:val="superscript"/>
          <w:lang w:val="en-GB"/>
        </w:rPr>
        <w:t>-1</w:t>
      </w:r>
      <w:r w:rsidRPr="00AC4A03">
        <w:rPr>
          <w:bCs/>
          <w:lang w:val="en-GB"/>
        </w:rPr>
        <w:t>.  Growth and negative control</w:t>
      </w:r>
      <w:r w:rsidR="00AB120C" w:rsidRPr="00AC4A03">
        <w:rPr>
          <w:bCs/>
          <w:lang w:val="en-GB"/>
        </w:rPr>
        <w:t>s</w:t>
      </w:r>
      <w:r w:rsidRPr="00AC4A03">
        <w:rPr>
          <w:bCs/>
          <w:lang w:val="en-GB"/>
        </w:rPr>
        <w:t xml:space="preserve"> were included in all tests. The microplates were incubated at 37 ºC for 48h. The lowest concentration that showed no growth under microscopic observation was considered the MIC.</w:t>
      </w:r>
      <w:r w:rsidRPr="00AC4A03">
        <w:rPr>
          <w:b/>
          <w:lang w:val="en-GB"/>
        </w:rPr>
        <w:t xml:space="preserve"> </w:t>
      </w:r>
      <w:r w:rsidRPr="00AC4A03">
        <w:rPr>
          <w:bCs/>
          <w:lang w:val="en-GB"/>
        </w:rPr>
        <w:t>EC</w:t>
      </w:r>
      <w:r w:rsidR="00AB120C" w:rsidRPr="00AC4A03">
        <w:rPr>
          <w:bCs/>
          <w:vertAlign w:val="subscript"/>
          <w:lang w:val="en-GB"/>
        </w:rPr>
        <w:t>50</w:t>
      </w:r>
      <w:r w:rsidRPr="00AC4A03">
        <w:rPr>
          <w:bCs/>
          <w:lang w:val="en-GB"/>
        </w:rPr>
        <w:t xml:space="preserve"> levels of pollutants were assessed on basis of hyphal radial growth rate of filamentous fungi. Petri plates (55 mm) were prepared to contain 10 mL of mineral minimal media jellified with 1% phytagel and supplemented with PCP (final concentrations: 1, 2, 2.5, 4, 5, 7.5, 10, 25, 50 and 100 mg·L</w:t>
      </w:r>
      <w:r w:rsidRPr="00AC4A03">
        <w:rPr>
          <w:bCs/>
          <w:vertAlign w:val="superscript"/>
          <w:lang w:val="en-GB"/>
        </w:rPr>
        <w:t>-1</w:t>
      </w:r>
      <w:r w:rsidRPr="00AC4A03">
        <w:rPr>
          <w:bCs/>
          <w:lang w:val="en-GB"/>
        </w:rPr>
        <w:t>) or TCS (final concentrations: 1, 2, 4, 5, 7.5, 10, 25, 50, 100, 150 and 300 mg·L</w:t>
      </w:r>
      <w:r w:rsidRPr="00AC4A03">
        <w:rPr>
          <w:bCs/>
          <w:vertAlign w:val="superscript"/>
          <w:lang w:val="en-GB"/>
        </w:rPr>
        <w:t>-1</w:t>
      </w:r>
      <w:r w:rsidRPr="00AC4A03">
        <w:rPr>
          <w:bCs/>
          <w:lang w:val="en-GB"/>
        </w:rPr>
        <w:t>). Controls, without pollutants, were also made. The assay was carried out by inoculating 1 µl of spore suspension containing 2×10</w:t>
      </w:r>
      <w:r w:rsidRPr="00AC4A03">
        <w:rPr>
          <w:bCs/>
          <w:vertAlign w:val="superscript"/>
          <w:lang w:val="en-GB"/>
        </w:rPr>
        <w:t>5</w:t>
      </w:r>
      <w:r w:rsidRPr="00AC4A03">
        <w:rPr>
          <w:bCs/>
          <w:lang w:val="en-GB"/>
        </w:rPr>
        <w:t xml:space="preserve"> conidia into the centre of the plate and incubated at 37 °C for 48h. Radial growth of mycelia</w:t>
      </w:r>
      <w:r w:rsidRPr="00AC4A03">
        <w:t xml:space="preserve"> </w:t>
      </w:r>
      <w:r w:rsidRPr="00AC4A03">
        <w:rPr>
          <w:bCs/>
          <w:lang w:val="en-GB"/>
        </w:rPr>
        <w:t>(colony diameter</w:t>
      </w:r>
      <w:r w:rsidR="00AC4A03">
        <w:rPr>
          <w:bCs/>
          <w:lang w:val="en-GB"/>
        </w:rPr>
        <w:t xml:space="preserve">, </w:t>
      </w:r>
      <w:r w:rsidRPr="00AC4A03">
        <w:rPr>
          <w:bCs/>
          <w:lang w:val="en-GB"/>
        </w:rPr>
        <w:t xml:space="preserve">mm) was measured using a Vernier calliper (associated error ± 0.05 mm), plates that did not displayed visible growth were visualised under the microscope to confirm growth inhibition. </w:t>
      </w:r>
    </w:p>
    <w:p w14:paraId="5DB1477C" w14:textId="77777777" w:rsidR="009B6468" w:rsidRPr="00AC4A03" w:rsidRDefault="009B6468" w:rsidP="00505CEA">
      <w:pPr>
        <w:spacing w:after="0" w:line="360" w:lineRule="auto"/>
        <w:rPr>
          <w:rFonts w:ascii="Times New Roman" w:hAnsi="Times New Roman" w:cs="Times New Roman"/>
        </w:rPr>
      </w:pPr>
    </w:p>
    <w:p w14:paraId="4768D317" w14:textId="1E0DB6BA" w:rsidR="009B6468" w:rsidRPr="00AC4A03" w:rsidRDefault="009B6468" w:rsidP="00505CEA">
      <w:pPr>
        <w:spacing w:after="0" w:line="360" w:lineRule="auto"/>
        <w:rPr>
          <w:rFonts w:ascii="Times New Roman" w:eastAsia="Times New Roman" w:hAnsi="Times New Roman" w:cs="Times New Roman"/>
          <w:b/>
          <w:bCs/>
          <w:sz w:val="24"/>
          <w:szCs w:val="24"/>
        </w:rPr>
      </w:pPr>
      <w:r w:rsidRPr="00AC4A03">
        <w:rPr>
          <w:rFonts w:ascii="Times New Roman" w:eastAsia="Times New Roman" w:hAnsi="Times New Roman" w:cs="Times New Roman"/>
          <w:b/>
          <w:sz w:val="24"/>
          <w:szCs w:val="24"/>
        </w:rPr>
        <w:t>Statistical analyses</w:t>
      </w:r>
      <w:r w:rsidR="00DC7986">
        <w:rPr>
          <w:rFonts w:ascii="Times New Roman" w:eastAsia="Times New Roman" w:hAnsi="Times New Roman" w:cs="Times New Roman"/>
          <w:b/>
          <w:sz w:val="24"/>
          <w:szCs w:val="24"/>
        </w:rPr>
        <w:t xml:space="preserve">. </w:t>
      </w:r>
      <w:r w:rsidRPr="00AC4A03">
        <w:rPr>
          <w:rFonts w:ascii="Times New Roman" w:eastAsia="Times New Roman" w:hAnsi="Times New Roman" w:cs="Times New Roman"/>
          <w:bCs/>
          <w:sz w:val="24"/>
          <w:szCs w:val="24"/>
        </w:rPr>
        <w:t xml:space="preserve">The boxplots showing the dispersion and containing each measured spore were generated using ggplot2 package in R (4.2.1). The survival curves were computed using </w:t>
      </w:r>
      <w:proofErr w:type="spellStart"/>
      <w:r w:rsidRPr="00AC4A03">
        <w:rPr>
          <w:rFonts w:ascii="Times New Roman" w:eastAsia="Times New Roman" w:hAnsi="Times New Roman" w:cs="Times New Roman"/>
          <w:bCs/>
          <w:sz w:val="24"/>
          <w:szCs w:val="24"/>
        </w:rPr>
        <w:t>survminer</w:t>
      </w:r>
      <w:proofErr w:type="spellEnd"/>
      <w:r w:rsidRPr="00AC4A03">
        <w:rPr>
          <w:rFonts w:ascii="Times New Roman" w:eastAsia="Times New Roman" w:hAnsi="Times New Roman" w:cs="Times New Roman"/>
          <w:bCs/>
          <w:sz w:val="24"/>
          <w:szCs w:val="24"/>
        </w:rPr>
        <w:t xml:space="preserve"> package and the plots generated using the </w:t>
      </w:r>
      <w:proofErr w:type="spellStart"/>
      <w:r w:rsidRPr="00AC4A03">
        <w:rPr>
          <w:rFonts w:ascii="Times New Roman" w:eastAsia="Times New Roman" w:hAnsi="Times New Roman" w:cs="Times New Roman"/>
          <w:bCs/>
          <w:sz w:val="24"/>
          <w:szCs w:val="24"/>
        </w:rPr>
        <w:t>ggsurvplot</w:t>
      </w:r>
      <w:proofErr w:type="spellEnd"/>
      <w:r w:rsidRPr="00AC4A03">
        <w:rPr>
          <w:rFonts w:ascii="Times New Roman" w:eastAsia="Times New Roman" w:hAnsi="Times New Roman" w:cs="Times New Roman"/>
          <w:bCs/>
          <w:sz w:val="24"/>
          <w:szCs w:val="24"/>
        </w:rPr>
        <w:t xml:space="preserve"> function included in the package ggplot2 in R (4.2.1). </w:t>
      </w:r>
      <w:r w:rsidRPr="00AC4A03">
        <w:rPr>
          <w:rFonts w:ascii="Times New Roman" w:eastAsia="Times New Roman" w:hAnsi="Times New Roman" w:cs="Times New Roman"/>
          <w:color w:val="000000" w:themeColor="text1"/>
          <w:sz w:val="24"/>
          <w:szCs w:val="24"/>
        </w:rPr>
        <w:t>The calculations to obtain the EC</w:t>
      </w:r>
      <w:r w:rsidRPr="00AC4A03">
        <w:rPr>
          <w:rFonts w:ascii="Times New Roman" w:eastAsia="Times New Roman" w:hAnsi="Times New Roman" w:cs="Times New Roman"/>
          <w:color w:val="000000" w:themeColor="text1"/>
          <w:sz w:val="24"/>
          <w:szCs w:val="24"/>
          <w:vertAlign w:val="subscript"/>
        </w:rPr>
        <w:t>50</w:t>
      </w:r>
      <w:r w:rsidRPr="00AC4A03">
        <w:rPr>
          <w:rFonts w:ascii="Times New Roman" w:eastAsia="Times New Roman" w:hAnsi="Times New Roman" w:cs="Times New Roman"/>
          <w:color w:val="000000" w:themeColor="text1"/>
          <w:sz w:val="24"/>
          <w:szCs w:val="24"/>
        </w:rPr>
        <w:t xml:space="preserve"> values of PCP and TCS towards </w:t>
      </w:r>
      <w:r w:rsidR="00A33266" w:rsidRPr="00AC4A03">
        <w:rPr>
          <w:rFonts w:ascii="Times New Roman" w:eastAsia="Times New Roman" w:hAnsi="Times New Roman" w:cs="Times New Roman"/>
          <w:color w:val="000000" w:themeColor="text1"/>
          <w:sz w:val="24"/>
          <w:szCs w:val="24"/>
        </w:rPr>
        <w:t>the mycobiota or each fungal strain</w:t>
      </w:r>
      <w:r w:rsidRPr="00AC4A03">
        <w:rPr>
          <w:rFonts w:ascii="Times New Roman" w:eastAsia="Times New Roman" w:hAnsi="Times New Roman" w:cs="Times New Roman"/>
          <w:color w:val="000000" w:themeColor="text1"/>
          <w:sz w:val="24"/>
          <w:szCs w:val="24"/>
        </w:rPr>
        <w:t>, were computed by adjusting measurements to a logistic regression using the dose effect tool of XL-STAT (</w:t>
      </w:r>
      <w:proofErr w:type="spellStart"/>
      <w:r w:rsidRPr="00AC4A03">
        <w:rPr>
          <w:rFonts w:ascii="Times New Roman" w:hAnsi="Times New Roman" w:cs="Times New Roman"/>
          <w:sz w:val="24"/>
          <w:szCs w:val="24"/>
        </w:rPr>
        <w:t>Addinsoft</w:t>
      </w:r>
      <w:proofErr w:type="spellEnd"/>
      <w:r w:rsidRPr="00AC4A03">
        <w:rPr>
          <w:rFonts w:ascii="Times New Roman" w:hAnsi="Times New Roman" w:cs="Times New Roman"/>
          <w:sz w:val="24"/>
          <w:szCs w:val="24"/>
        </w:rPr>
        <w:t>, version 2014.5.03)</w:t>
      </w:r>
      <w:r w:rsidRPr="00AC4A03">
        <w:rPr>
          <w:rFonts w:ascii="Times New Roman" w:eastAsia="Times New Roman" w:hAnsi="Times New Roman" w:cs="Times New Roman"/>
          <w:color w:val="000000" w:themeColor="text1"/>
          <w:sz w:val="24"/>
          <w:szCs w:val="24"/>
        </w:rPr>
        <w:t xml:space="preserve">. </w:t>
      </w:r>
      <w:r w:rsidRPr="00AC4A03">
        <w:rPr>
          <w:rFonts w:ascii="Times New Roman" w:eastAsia="Times New Roman" w:hAnsi="Times New Roman" w:cs="Times New Roman"/>
          <w:bCs/>
          <w:sz w:val="24"/>
          <w:szCs w:val="24"/>
        </w:rPr>
        <w:t xml:space="preserve">The percentage of growth inhibition for each tested concentration (IC) was calculated using the </w:t>
      </w:r>
      <w:proofErr w:type="spellStart"/>
      <w:r w:rsidRPr="00AC4A03">
        <w:rPr>
          <w:rFonts w:ascii="Times New Roman" w:eastAsia="Times New Roman" w:hAnsi="Times New Roman" w:cs="Times New Roman"/>
          <w:bCs/>
          <w:sz w:val="24"/>
          <w:szCs w:val="24"/>
        </w:rPr>
        <w:t>Gompertz</w:t>
      </w:r>
      <w:proofErr w:type="spellEnd"/>
      <w:r w:rsidRPr="00AC4A03">
        <w:rPr>
          <w:rFonts w:ascii="Times New Roman" w:eastAsia="Times New Roman" w:hAnsi="Times New Roman" w:cs="Times New Roman"/>
          <w:bCs/>
          <w:sz w:val="24"/>
          <w:szCs w:val="24"/>
        </w:rPr>
        <w:t xml:space="preserve"> model available at the dose effect tool of XL-STAT (</w:t>
      </w:r>
      <w:proofErr w:type="spellStart"/>
      <w:r w:rsidRPr="00AC4A03">
        <w:rPr>
          <w:rFonts w:ascii="Times New Roman" w:eastAsia="Times New Roman" w:hAnsi="Times New Roman" w:cs="Times New Roman"/>
          <w:bCs/>
          <w:sz w:val="24"/>
          <w:szCs w:val="24"/>
        </w:rPr>
        <w:t>Addinsoft</w:t>
      </w:r>
      <w:proofErr w:type="spellEnd"/>
      <w:r w:rsidRPr="00AC4A03">
        <w:rPr>
          <w:rFonts w:ascii="Times New Roman" w:eastAsia="Times New Roman" w:hAnsi="Times New Roman" w:cs="Times New Roman"/>
          <w:bCs/>
          <w:sz w:val="24"/>
          <w:szCs w:val="24"/>
        </w:rPr>
        <w:t>, version 2014.5.03).</w:t>
      </w:r>
      <w:r w:rsidRPr="00AC4A03">
        <w:rPr>
          <w:rFonts w:ascii="Times New Roman" w:hAnsi="Times New Roman" w:cs="Times New Roman"/>
          <w:b/>
          <w:bCs/>
        </w:rPr>
        <w:br w:type="page"/>
      </w:r>
    </w:p>
    <w:p w14:paraId="48E5195D" w14:textId="54F2A485" w:rsidR="00C83A1C" w:rsidRPr="00AC4A03" w:rsidRDefault="00C83A1C" w:rsidP="00505CEA">
      <w:pPr>
        <w:pStyle w:val="Paragraph"/>
        <w:suppressAutoHyphens/>
        <w:spacing w:before="0" w:line="360" w:lineRule="auto"/>
        <w:ind w:firstLine="0"/>
        <w:contextualSpacing/>
        <w:jc w:val="both"/>
        <w:rPr>
          <w:b/>
          <w:bCs/>
          <w:lang w:val="en-GB"/>
        </w:rPr>
      </w:pPr>
      <w:r w:rsidRPr="00AC4A03">
        <w:rPr>
          <w:b/>
          <w:bCs/>
          <w:lang w:val="en-GB"/>
        </w:rPr>
        <w:lastRenderedPageBreak/>
        <w:t xml:space="preserve">Preliminary comparison between the sizes of airborne and surface spores </w:t>
      </w:r>
      <w:r w:rsidR="00A33266" w:rsidRPr="00AC4A03">
        <w:rPr>
          <w:b/>
          <w:bCs/>
          <w:lang w:val="en-GB"/>
        </w:rPr>
        <w:t xml:space="preserve">collected </w:t>
      </w:r>
      <w:r w:rsidRPr="00AC4A03">
        <w:rPr>
          <w:b/>
          <w:bCs/>
          <w:lang w:val="en-GB"/>
        </w:rPr>
        <w:t>upon MC3000 cultivation</w:t>
      </w:r>
    </w:p>
    <w:p w14:paraId="1D9A89D0" w14:textId="51FBEDE8" w:rsidR="00AF7CD1" w:rsidRPr="00AC4A03" w:rsidRDefault="00694B08" w:rsidP="00505CEA">
      <w:pPr>
        <w:spacing w:after="0" w:line="360" w:lineRule="auto"/>
        <w:jc w:val="center"/>
        <w:rPr>
          <w:rFonts w:ascii="Times New Roman" w:hAnsi="Times New Roman" w:cs="Times New Roman"/>
        </w:rPr>
      </w:pPr>
      <w:r w:rsidRPr="00AC4A03">
        <w:rPr>
          <w:rFonts w:ascii="Times New Roman" w:hAnsi="Times New Roman" w:cs="Times New Roman"/>
          <w:noProof/>
          <w:lang w:eastAsia="en-GB"/>
        </w:rPr>
        <w:drawing>
          <wp:inline distT="0" distB="0" distL="0" distR="0" wp14:anchorId="3CE65480" wp14:editId="0664FBB7">
            <wp:extent cx="3708000" cy="499874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8000" cy="4998749"/>
                    </a:xfrm>
                    <a:prstGeom prst="rect">
                      <a:avLst/>
                    </a:prstGeom>
                    <a:noFill/>
                    <a:ln>
                      <a:noFill/>
                    </a:ln>
                  </pic:spPr>
                </pic:pic>
              </a:graphicData>
            </a:graphic>
          </wp:inline>
        </w:drawing>
      </w:r>
    </w:p>
    <w:p w14:paraId="4865E5CF" w14:textId="77777777" w:rsidR="00505CEA" w:rsidRPr="00AC4A03" w:rsidRDefault="00505CEA" w:rsidP="00505CEA">
      <w:pPr>
        <w:spacing w:after="0" w:line="360" w:lineRule="auto"/>
        <w:rPr>
          <w:rFonts w:ascii="Times New Roman" w:hAnsi="Times New Roman" w:cs="Times New Roman"/>
          <w:b/>
          <w:bCs/>
        </w:rPr>
      </w:pPr>
    </w:p>
    <w:p w14:paraId="0BEE8A26" w14:textId="450D4E0F" w:rsidR="00AF7CD1" w:rsidRPr="00AC4A03" w:rsidRDefault="003A2B55" w:rsidP="00DC7986">
      <w:pPr>
        <w:spacing w:after="0" w:line="360" w:lineRule="auto"/>
        <w:jc w:val="both"/>
        <w:rPr>
          <w:rFonts w:ascii="Times New Roman" w:hAnsi="Times New Roman" w:cs="Times New Roman"/>
        </w:rPr>
      </w:pPr>
      <w:r w:rsidRPr="00AC4A03">
        <w:rPr>
          <w:rFonts w:ascii="Times New Roman" w:hAnsi="Times New Roman" w:cs="Times New Roman"/>
          <w:b/>
          <w:bCs/>
        </w:rPr>
        <w:t xml:space="preserve">Figure S1 </w:t>
      </w:r>
      <w:r w:rsidR="00677D08" w:rsidRPr="00AC4A03">
        <w:rPr>
          <w:rFonts w:ascii="Times New Roman" w:hAnsi="Times New Roman" w:cs="Times New Roman"/>
          <w:b/>
          <w:bCs/>
        </w:rPr>
        <w:t>–</w:t>
      </w:r>
      <w:r w:rsidRPr="00AC4A03">
        <w:rPr>
          <w:rFonts w:ascii="Times New Roman" w:hAnsi="Times New Roman" w:cs="Times New Roman"/>
        </w:rPr>
        <w:t xml:space="preserve"> </w:t>
      </w:r>
      <w:r w:rsidR="00677D08" w:rsidRPr="00AC4A03">
        <w:rPr>
          <w:rFonts w:ascii="Times New Roman" w:hAnsi="Times New Roman" w:cs="Times New Roman"/>
        </w:rPr>
        <w:t>Boxplots of preliminary measurements of spores’ sizes (area in µm</w:t>
      </w:r>
      <w:r w:rsidR="00677D08" w:rsidRPr="00AC4A03">
        <w:rPr>
          <w:rFonts w:ascii="Times New Roman" w:hAnsi="Times New Roman" w:cs="Times New Roman"/>
          <w:vertAlign w:val="superscript"/>
        </w:rPr>
        <w:t>2</w:t>
      </w:r>
      <w:r w:rsidR="00677D08" w:rsidRPr="00AC4A03">
        <w:rPr>
          <w:rFonts w:ascii="Times New Roman" w:hAnsi="Times New Roman" w:cs="Times New Roman"/>
        </w:rPr>
        <w:t xml:space="preserve">) of both fractions collected upon MC3000 experiments: airborne and </w:t>
      </w:r>
      <w:r w:rsidR="00A33266" w:rsidRPr="00902969">
        <w:rPr>
          <w:rFonts w:ascii="Times New Roman" w:hAnsi="Times New Roman" w:cs="Times New Roman"/>
        </w:rPr>
        <w:t xml:space="preserve">deposited on the media </w:t>
      </w:r>
      <w:r w:rsidR="00677D08" w:rsidRPr="00AC4A03">
        <w:rPr>
          <w:rFonts w:ascii="Times New Roman" w:hAnsi="Times New Roman" w:cs="Times New Roman"/>
        </w:rPr>
        <w:t xml:space="preserve">surface. Overall, the average size of the spores produced under test conditions (PCP and TCS) was smaller than those collected in </w:t>
      </w:r>
      <w:r w:rsidR="00A33266" w:rsidRPr="00AC4A03">
        <w:rPr>
          <w:rFonts w:ascii="Times New Roman" w:hAnsi="Times New Roman" w:cs="Times New Roman"/>
        </w:rPr>
        <w:t xml:space="preserve">unpolluted </w:t>
      </w:r>
      <w:r w:rsidR="00677D08" w:rsidRPr="00AC4A03">
        <w:rPr>
          <w:rFonts w:ascii="Times New Roman" w:hAnsi="Times New Roman" w:cs="Times New Roman"/>
        </w:rPr>
        <w:t xml:space="preserve">conditions </w:t>
      </w:r>
      <w:r w:rsidR="00A33266" w:rsidRPr="00AC4A03">
        <w:rPr>
          <w:rFonts w:ascii="Times New Roman" w:hAnsi="Times New Roman" w:cs="Times New Roman"/>
        </w:rPr>
        <w:t xml:space="preserve">(control) </w:t>
      </w:r>
      <w:r w:rsidR="00677D08" w:rsidRPr="00AC4A03">
        <w:rPr>
          <w:rFonts w:ascii="Times New Roman" w:hAnsi="Times New Roman" w:cs="Times New Roman"/>
        </w:rPr>
        <w:t>both for airborne and surface</w:t>
      </w:r>
      <w:r w:rsidR="00A33266" w:rsidRPr="00AC4A03">
        <w:rPr>
          <w:rFonts w:ascii="Times New Roman" w:hAnsi="Times New Roman" w:cs="Times New Roman"/>
        </w:rPr>
        <w:t xml:space="preserve"> spore</w:t>
      </w:r>
      <w:r w:rsidR="00677D08" w:rsidRPr="00AC4A03">
        <w:rPr>
          <w:rFonts w:ascii="Times New Roman" w:hAnsi="Times New Roman" w:cs="Times New Roman"/>
        </w:rPr>
        <w:t xml:space="preserve"> fractions.</w:t>
      </w:r>
    </w:p>
    <w:p w14:paraId="1BD9184D" w14:textId="77777777" w:rsidR="00B13601" w:rsidRPr="00AC4A03" w:rsidRDefault="00B13601" w:rsidP="00505CEA">
      <w:pPr>
        <w:spacing w:after="0" w:line="360" w:lineRule="auto"/>
        <w:rPr>
          <w:rFonts w:ascii="Times New Roman" w:hAnsi="Times New Roman" w:cs="Times New Roman"/>
        </w:rPr>
      </w:pPr>
    </w:p>
    <w:p w14:paraId="449637AC" w14:textId="51E293E8" w:rsidR="00B13601" w:rsidRPr="00AC4A03" w:rsidRDefault="00B13601" w:rsidP="00505CEA">
      <w:pPr>
        <w:spacing w:after="0" w:line="360" w:lineRule="auto"/>
        <w:rPr>
          <w:rFonts w:ascii="Times New Roman" w:hAnsi="Times New Roman" w:cs="Times New Roman"/>
        </w:rPr>
      </w:pPr>
      <w:r w:rsidRPr="00AC4A03">
        <w:rPr>
          <w:rFonts w:ascii="Times New Roman" w:hAnsi="Times New Roman" w:cs="Times New Roman"/>
        </w:rPr>
        <w:br w:type="page"/>
      </w:r>
    </w:p>
    <w:p w14:paraId="1E690A61" w14:textId="37FAB97D" w:rsidR="00AF7CD1" w:rsidRPr="00AC4A03" w:rsidRDefault="00D07191" w:rsidP="00505CEA">
      <w:pPr>
        <w:pStyle w:val="Paragraph"/>
        <w:suppressAutoHyphens/>
        <w:spacing w:before="0" w:line="360" w:lineRule="auto"/>
        <w:ind w:firstLine="0"/>
        <w:contextualSpacing/>
        <w:jc w:val="both"/>
        <w:rPr>
          <w:b/>
          <w:bCs/>
          <w:lang w:val="en-GB"/>
        </w:rPr>
      </w:pPr>
      <w:r w:rsidRPr="00AC4A03">
        <w:rPr>
          <w:b/>
          <w:bCs/>
          <w:lang w:val="en-GB"/>
        </w:rPr>
        <w:lastRenderedPageBreak/>
        <w:t xml:space="preserve">The 33 species clusters identified </w:t>
      </w:r>
      <w:r w:rsidR="00DD0DEF" w:rsidRPr="00AC4A03">
        <w:rPr>
          <w:b/>
          <w:bCs/>
          <w:lang w:val="en-GB"/>
        </w:rPr>
        <w:t>by</w:t>
      </w:r>
      <w:r w:rsidRPr="00AC4A03">
        <w:rPr>
          <w:b/>
          <w:bCs/>
          <w:lang w:val="en-GB"/>
        </w:rPr>
        <w:t xml:space="preserve"> </w:t>
      </w:r>
      <w:proofErr w:type="spellStart"/>
      <w:r w:rsidRPr="00AC4A03">
        <w:rPr>
          <w:b/>
          <w:bCs/>
          <w:lang w:val="en-GB"/>
        </w:rPr>
        <w:t>metataxonomics</w:t>
      </w:r>
      <w:proofErr w:type="spellEnd"/>
      <w:r w:rsidRPr="00AC4A03">
        <w:rPr>
          <w:b/>
          <w:bCs/>
          <w:lang w:val="en-GB"/>
        </w:rPr>
        <w:t xml:space="preserve"> analysis of the airborne fungal spores collected upon MC3000 </w:t>
      </w:r>
      <w:r w:rsidR="00422A00" w:rsidRPr="00AC4A03">
        <w:rPr>
          <w:b/>
          <w:bCs/>
          <w:lang w:val="en-GB"/>
        </w:rPr>
        <w:t>cultivation</w:t>
      </w:r>
    </w:p>
    <w:p w14:paraId="000829AB" w14:textId="77777777" w:rsidR="00CF7D01" w:rsidRPr="00AC4A03" w:rsidRDefault="00CF7D01" w:rsidP="00505CEA">
      <w:pPr>
        <w:pStyle w:val="Paragraph"/>
        <w:suppressAutoHyphens/>
        <w:spacing w:before="0" w:line="360" w:lineRule="auto"/>
        <w:ind w:firstLine="0"/>
        <w:contextualSpacing/>
        <w:jc w:val="both"/>
        <w:rPr>
          <w:b/>
          <w:bCs/>
          <w:lang w:val="en-GB"/>
        </w:rPr>
      </w:pPr>
    </w:p>
    <w:p w14:paraId="52F93AA6" w14:textId="3182EB0B" w:rsidR="00AF7CD1" w:rsidRPr="00AC4A03" w:rsidRDefault="00CF7D01" w:rsidP="00505CEA">
      <w:pPr>
        <w:pStyle w:val="Paragraph"/>
        <w:suppressAutoHyphens/>
        <w:spacing w:before="0" w:line="360" w:lineRule="auto"/>
        <w:ind w:firstLine="0"/>
        <w:contextualSpacing/>
        <w:jc w:val="both"/>
        <w:rPr>
          <w:lang w:val="en-GB"/>
        </w:rPr>
      </w:pPr>
      <w:r w:rsidRPr="00AC4A03">
        <w:rPr>
          <w:b/>
          <w:bCs/>
          <w:lang w:val="en-GB"/>
        </w:rPr>
        <w:t>Table S</w:t>
      </w:r>
      <w:r w:rsidR="00AE1AE6" w:rsidRPr="00AC4A03">
        <w:rPr>
          <w:b/>
          <w:bCs/>
          <w:lang w:val="en-GB"/>
        </w:rPr>
        <w:t>1</w:t>
      </w:r>
      <w:r w:rsidRPr="00AC4A03">
        <w:rPr>
          <w:b/>
          <w:bCs/>
          <w:lang w:val="en-GB"/>
        </w:rPr>
        <w:t xml:space="preserve"> </w:t>
      </w:r>
      <w:r w:rsidR="00F51C66" w:rsidRPr="00AC4A03">
        <w:rPr>
          <w:b/>
          <w:bCs/>
          <w:lang w:val="en-GB"/>
        </w:rPr>
        <w:t xml:space="preserve">– </w:t>
      </w:r>
      <w:r w:rsidR="00F51C66" w:rsidRPr="00AC4A03">
        <w:rPr>
          <w:lang w:val="en-GB"/>
        </w:rPr>
        <w:t xml:space="preserve">Species clusters obtained using </w:t>
      </w:r>
      <w:proofErr w:type="spellStart"/>
      <w:r w:rsidR="00F51C66" w:rsidRPr="00AC4A03">
        <w:rPr>
          <w:lang w:val="en-GB"/>
        </w:rPr>
        <w:t>metataxonomics</w:t>
      </w:r>
      <w:proofErr w:type="spellEnd"/>
      <w:r w:rsidR="00F51C66" w:rsidRPr="00AC4A03">
        <w:rPr>
          <w:lang w:val="en-GB"/>
        </w:rPr>
        <w:t>. For the OTUs matching strains isolated from larvae</w:t>
      </w:r>
      <w:r w:rsidR="00422A00" w:rsidRPr="00AC4A03">
        <w:rPr>
          <w:lang w:val="en-GB"/>
        </w:rPr>
        <w:t xml:space="preserve"> prior to their infection with either inoculum</w:t>
      </w:r>
      <w:r w:rsidR="00F51C66" w:rsidRPr="00AC4A03">
        <w:rPr>
          <w:lang w:val="en-GB"/>
        </w:rPr>
        <w:t>, the individual isolates’ sequences were aligned, and clusters discriminated whenever possible. For the remaining species the accession numbers</w:t>
      </w:r>
      <w:r w:rsidR="000E5347" w:rsidRPr="00AC4A03">
        <w:rPr>
          <w:lang w:val="en-GB"/>
        </w:rPr>
        <w:t xml:space="preserve"> were considered to cluster OTUs in species groups.</w:t>
      </w:r>
      <w:r w:rsidRPr="00AC4A03">
        <w:rPr>
          <w:lang w:val="en-GB"/>
        </w:rPr>
        <w:t xml:space="preserve"> </w:t>
      </w:r>
    </w:p>
    <w:tbl>
      <w:tblPr>
        <w:tblW w:w="9735" w:type="dxa"/>
        <w:jc w:val="center"/>
        <w:tblLayout w:type="fixed"/>
        <w:tblLook w:val="04A0" w:firstRow="1" w:lastRow="0" w:firstColumn="1" w:lastColumn="0" w:noHBand="0" w:noVBand="1"/>
      </w:tblPr>
      <w:tblGrid>
        <w:gridCol w:w="4111"/>
        <w:gridCol w:w="1008"/>
        <w:gridCol w:w="810"/>
        <w:gridCol w:w="720"/>
        <w:gridCol w:w="1170"/>
        <w:gridCol w:w="990"/>
        <w:gridCol w:w="926"/>
      </w:tblGrid>
      <w:tr w:rsidR="00DC7986" w:rsidRPr="00DC7986" w14:paraId="63873C0A" w14:textId="77777777" w:rsidTr="00896244">
        <w:trPr>
          <w:trHeight w:val="20"/>
          <w:jc w:val="center"/>
        </w:trPr>
        <w:tc>
          <w:tcPr>
            <w:tcW w:w="4111" w:type="dxa"/>
            <w:tcBorders>
              <w:top w:val="single" w:sz="4" w:space="0" w:color="auto"/>
              <w:left w:val="nil"/>
              <w:bottom w:val="single" w:sz="4" w:space="0" w:color="auto"/>
              <w:right w:val="nil"/>
            </w:tcBorders>
            <w:shd w:val="clear" w:color="auto" w:fill="auto"/>
            <w:noWrap/>
            <w:vAlign w:val="bottom"/>
          </w:tcPr>
          <w:p w14:paraId="0CCA5892" w14:textId="77777777" w:rsidR="00A33266" w:rsidRPr="00AC4A03" w:rsidRDefault="00A33266" w:rsidP="00DC7986">
            <w:pPr>
              <w:spacing w:after="0" w:line="240" w:lineRule="auto"/>
              <w:rPr>
                <w:rFonts w:ascii="Times New Roman" w:eastAsia="Times New Roman" w:hAnsi="Times New Roman" w:cs="Times New Roman"/>
                <w:b/>
                <w:bCs/>
                <w:color w:val="000000"/>
                <w:sz w:val="18"/>
                <w:szCs w:val="18"/>
              </w:rPr>
            </w:pPr>
          </w:p>
        </w:tc>
        <w:tc>
          <w:tcPr>
            <w:tcW w:w="2538" w:type="dxa"/>
            <w:gridSpan w:val="3"/>
            <w:tcBorders>
              <w:top w:val="single" w:sz="4" w:space="0" w:color="auto"/>
              <w:left w:val="nil"/>
              <w:bottom w:val="single" w:sz="4" w:space="0" w:color="auto"/>
              <w:right w:val="nil"/>
            </w:tcBorders>
            <w:shd w:val="clear" w:color="auto" w:fill="auto"/>
            <w:vAlign w:val="center"/>
          </w:tcPr>
          <w:p w14:paraId="33BCAE20" w14:textId="241F804D" w:rsidR="00A33266" w:rsidRPr="00AC4A03" w:rsidRDefault="00A33266" w:rsidP="00DC7986">
            <w:pPr>
              <w:spacing w:after="0" w:line="240" w:lineRule="auto"/>
              <w:jc w:val="center"/>
              <w:rPr>
                <w:rFonts w:ascii="Times New Roman" w:eastAsia="Times New Roman" w:hAnsi="Times New Roman" w:cs="Times New Roman"/>
                <w:b/>
                <w:bCs/>
                <w:color w:val="000000"/>
                <w:sz w:val="18"/>
                <w:szCs w:val="18"/>
              </w:rPr>
            </w:pPr>
            <w:r w:rsidRPr="00AC4A03">
              <w:rPr>
                <w:rFonts w:ascii="Times New Roman" w:eastAsia="Times New Roman" w:hAnsi="Times New Roman" w:cs="Times New Roman"/>
                <w:b/>
                <w:bCs/>
                <w:color w:val="000000"/>
                <w:sz w:val="18"/>
                <w:szCs w:val="18"/>
              </w:rPr>
              <w:t>Airborne spores</w:t>
            </w:r>
          </w:p>
        </w:tc>
        <w:tc>
          <w:tcPr>
            <w:tcW w:w="3086" w:type="dxa"/>
            <w:gridSpan w:val="3"/>
            <w:tcBorders>
              <w:top w:val="single" w:sz="4" w:space="0" w:color="auto"/>
              <w:left w:val="nil"/>
              <w:bottom w:val="single" w:sz="4" w:space="0" w:color="auto"/>
              <w:right w:val="nil"/>
            </w:tcBorders>
            <w:shd w:val="clear" w:color="auto" w:fill="auto"/>
            <w:vAlign w:val="center"/>
          </w:tcPr>
          <w:p w14:paraId="613C5B4B" w14:textId="5AD49F67" w:rsidR="00A33266" w:rsidRPr="00AC4A03" w:rsidRDefault="00A33266" w:rsidP="00DC7986">
            <w:pPr>
              <w:spacing w:after="0" w:line="240" w:lineRule="auto"/>
              <w:jc w:val="center"/>
              <w:rPr>
                <w:rFonts w:ascii="Times New Roman" w:eastAsia="Times New Roman" w:hAnsi="Times New Roman" w:cs="Times New Roman"/>
                <w:b/>
                <w:bCs/>
                <w:color w:val="000000"/>
                <w:sz w:val="18"/>
                <w:szCs w:val="18"/>
              </w:rPr>
            </w:pPr>
            <w:r w:rsidRPr="00AC4A03">
              <w:rPr>
                <w:rFonts w:ascii="Times New Roman" w:eastAsia="Times New Roman" w:hAnsi="Times New Roman" w:cs="Times New Roman"/>
                <w:b/>
                <w:bCs/>
                <w:color w:val="000000"/>
                <w:sz w:val="18"/>
                <w:szCs w:val="18"/>
              </w:rPr>
              <w:t>Inside larvae</w:t>
            </w:r>
          </w:p>
        </w:tc>
      </w:tr>
      <w:tr w:rsidR="00422A00" w:rsidRPr="00DC7986" w14:paraId="1446CF0A" w14:textId="77777777" w:rsidTr="00896244">
        <w:trPr>
          <w:trHeight w:val="20"/>
          <w:jc w:val="center"/>
        </w:trPr>
        <w:tc>
          <w:tcPr>
            <w:tcW w:w="4111" w:type="dxa"/>
            <w:tcBorders>
              <w:top w:val="single" w:sz="4" w:space="0" w:color="auto"/>
              <w:left w:val="nil"/>
              <w:bottom w:val="single" w:sz="4" w:space="0" w:color="auto"/>
              <w:right w:val="nil"/>
            </w:tcBorders>
            <w:shd w:val="clear" w:color="auto" w:fill="auto"/>
            <w:noWrap/>
            <w:vAlign w:val="bottom"/>
            <w:hideMark/>
          </w:tcPr>
          <w:p w14:paraId="78E34E07" w14:textId="77777777" w:rsidR="006E3A27" w:rsidRPr="00AC4A03" w:rsidRDefault="006E3A27" w:rsidP="00DC7986">
            <w:pPr>
              <w:spacing w:after="0" w:line="240" w:lineRule="auto"/>
              <w:rPr>
                <w:rFonts w:ascii="Times New Roman" w:eastAsia="Times New Roman" w:hAnsi="Times New Roman" w:cs="Times New Roman"/>
                <w:b/>
                <w:bCs/>
                <w:color w:val="000000"/>
                <w:sz w:val="18"/>
                <w:szCs w:val="18"/>
              </w:rPr>
            </w:pPr>
            <w:r w:rsidRPr="00AC4A03">
              <w:rPr>
                <w:rFonts w:ascii="Times New Roman" w:eastAsia="Times New Roman" w:hAnsi="Times New Roman" w:cs="Times New Roman"/>
                <w:b/>
                <w:bCs/>
                <w:color w:val="000000"/>
                <w:sz w:val="18"/>
                <w:szCs w:val="18"/>
              </w:rPr>
              <w:t>Species cluster</w:t>
            </w:r>
          </w:p>
        </w:tc>
        <w:tc>
          <w:tcPr>
            <w:tcW w:w="1008" w:type="dxa"/>
            <w:tcBorders>
              <w:top w:val="single" w:sz="4" w:space="0" w:color="auto"/>
              <w:left w:val="nil"/>
              <w:bottom w:val="single" w:sz="4" w:space="0" w:color="auto"/>
              <w:right w:val="nil"/>
            </w:tcBorders>
            <w:shd w:val="clear" w:color="auto" w:fill="auto"/>
            <w:vAlign w:val="center"/>
            <w:hideMark/>
          </w:tcPr>
          <w:p w14:paraId="433569F0" w14:textId="1BC38323" w:rsidR="006E3A27" w:rsidRPr="00DC7986" w:rsidRDefault="00A33266" w:rsidP="00DC7986">
            <w:pPr>
              <w:spacing w:after="0" w:line="240" w:lineRule="auto"/>
              <w:jc w:val="center"/>
              <w:rPr>
                <w:rFonts w:ascii="Times New Roman" w:eastAsia="Times New Roman" w:hAnsi="Times New Roman" w:cs="Times New Roman"/>
                <w:b/>
                <w:bCs/>
                <w:color w:val="000000"/>
                <w:sz w:val="16"/>
                <w:szCs w:val="18"/>
              </w:rPr>
            </w:pPr>
            <w:r w:rsidRPr="00DC7986">
              <w:rPr>
                <w:rFonts w:ascii="Times New Roman" w:eastAsia="Times New Roman" w:hAnsi="Times New Roman" w:cs="Times New Roman"/>
                <w:b/>
                <w:bCs/>
                <w:color w:val="000000"/>
                <w:sz w:val="16"/>
                <w:szCs w:val="18"/>
              </w:rPr>
              <w:t>Unpolluted</w:t>
            </w:r>
            <w:r w:rsidR="006E3A27" w:rsidRPr="00DC7986">
              <w:rPr>
                <w:rFonts w:ascii="Times New Roman" w:eastAsia="Times New Roman" w:hAnsi="Times New Roman" w:cs="Times New Roman"/>
                <w:b/>
                <w:bCs/>
                <w:color w:val="000000"/>
                <w:sz w:val="16"/>
                <w:szCs w:val="18"/>
              </w:rPr>
              <w:br/>
            </w:r>
          </w:p>
        </w:tc>
        <w:tc>
          <w:tcPr>
            <w:tcW w:w="810" w:type="dxa"/>
            <w:tcBorders>
              <w:top w:val="single" w:sz="4" w:space="0" w:color="auto"/>
              <w:left w:val="nil"/>
              <w:bottom w:val="single" w:sz="4" w:space="0" w:color="auto"/>
              <w:right w:val="nil"/>
            </w:tcBorders>
            <w:shd w:val="clear" w:color="auto" w:fill="auto"/>
            <w:vAlign w:val="center"/>
            <w:hideMark/>
          </w:tcPr>
          <w:p w14:paraId="732DFEB7" w14:textId="368AA0B8" w:rsidR="006E3A27" w:rsidRPr="00DC7986" w:rsidRDefault="006E3A27" w:rsidP="00DC7986">
            <w:pPr>
              <w:spacing w:after="0" w:line="240" w:lineRule="auto"/>
              <w:jc w:val="center"/>
              <w:rPr>
                <w:rFonts w:ascii="Times New Roman" w:eastAsia="Times New Roman" w:hAnsi="Times New Roman" w:cs="Times New Roman"/>
                <w:b/>
                <w:bCs/>
                <w:color w:val="000000"/>
                <w:sz w:val="16"/>
                <w:szCs w:val="18"/>
              </w:rPr>
            </w:pPr>
            <w:r w:rsidRPr="00DC7986">
              <w:rPr>
                <w:rFonts w:ascii="Times New Roman" w:eastAsia="Times New Roman" w:hAnsi="Times New Roman" w:cs="Times New Roman"/>
                <w:b/>
                <w:bCs/>
                <w:color w:val="000000"/>
                <w:sz w:val="16"/>
                <w:szCs w:val="18"/>
              </w:rPr>
              <w:t>PCP</w:t>
            </w:r>
            <w:r w:rsidRPr="00DC7986">
              <w:rPr>
                <w:rFonts w:ascii="Times New Roman" w:eastAsia="Times New Roman" w:hAnsi="Times New Roman" w:cs="Times New Roman"/>
                <w:b/>
                <w:bCs/>
                <w:color w:val="000000"/>
                <w:sz w:val="16"/>
                <w:szCs w:val="18"/>
              </w:rPr>
              <w:br/>
            </w:r>
          </w:p>
        </w:tc>
        <w:tc>
          <w:tcPr>
            <w:tcW w:w="720" w:type="dxa"/>
            <w:tcBorders>
              <w:top w:val="single" w:sz="4" w:space="0" w:color="auto"/>
              <w:left w:val="nil"/>
              <w:bottom w:val="single" w:sz="4" w:space="0" w:color="auto"/>
              <w:right w:val="nil"/>
            </w:tcBorders>
            <w:shd w:val="clear" w:color="auto" w:fill="auto"/>
            <w:vAlign w:val="center"/>
            <w:hideMark/>
          </w:tcPr>
          <w:p w14:paraId="4691AD37" w14:textId="7F4485DC" w:rsidR="006E3A27" w:rsidRPr="00DC7986" w:rsidRDefault="006E3A27" w:rsidP="00DC7986">
            <w:pPr>
              <w:spacing w:after="0" w:line="240" w:lineRule="auto"/>
              <w:jc w:val="center"/>
              <w:rPr>
                <w:rFonts w:ascii="Times New Roman" w:eastAsia="Times New Roman" w:hAnsi="Times New Roman" w:cs="Times New Roman"/>
                <w:b/>
                <w:bCs/>
                <w:color w:val="000000"/>
                <w:sz w:val="16"/>
                <w:szCs w:val="18"/>
              </w:rPr>
            </w:pPr>
            <w:r w:rsidRPr="00DC7986">
              <w:rPr>
                <w:rFonts w:ascii="Times New Roman" w:eastAsia="Times New Roman" w:hAnsi="Times New Roman" w:cs="Times New Roman"/>
                <w:b/>
                <w:bCs/>
                <w:color w:val="000000"/>
                <w:sz w:val="16"/>
                <w:szCs w:val="18"/>
              </w:rPr>
              <w:t>TCS</w:t>
            </w:r>
            <w:r w:rsidRPr="00DC7986">
              <w:rPr>
                <w:rFonts w:ascii="Times New Roman" w:eastAsia="Times New Roman" w:hAnsi="Times New Roman" w:cs="Times New Roman"/>
                <w:b/>
                <w:bCs/>
                <w:color w:val="000000"/>
                <w:sz w:val="16"/>
                <w:szCs w:val="18"/>
              </w:rPr>
              <w:br/>
            </w:r>
          </w:p>
        </w:tc>
        <w:tc>
          <w:tcPr>
            <w:tcW w:w="1170" w:type="dxa"/>
            <w:tcBorders>
              <w:top w:val="single" w:sz="4" w:space="0" w:color="auto"/>
              <w:left w:val="nil"/>
              <w:bottom w:val="single" w:sz="4" w:space="0" w:color="auto"/>
              <w:right w:val="nil"/>
            </w:tcBorders>
            <w:shd w:val="clear" w:color="auto" w:fill="auto"/>
            <w:vAlign w:val="center"/>
            <w:hideMark/>
          </w:tcPr>
          <w:p w14:paraId="5DAEDED6" w14:textId="0D0D914E" w:rsidR="006E3A27" w:rsidRPr="00DC7986" w:rsidRDefault="00A33266" w:rsidP="00DC7986">
            <w:pPr>
              <w:spacing w:after="0" w:line="240" w:lineRule="auto"/>
              <w:jc w:val="center"/>
              <w:rPr>
                <w:rFonts w:ascii="Times New Roman" w:eastAsia="Times New Roman" w:hAnsi="Times New Roman" w:cs="Times New Roman"/>
                <w:b/>
                <w:bCs/>
                <w:color w:val="000000"/>
                <w:sz w:val="16"/>
                <w:szCs w:val="18"/>
              </w:rPr>
            </w:pPr>
            <w:r w:rsidRPr="00DC7986">
              <w:rPr>
                <w:rFonts w:ascii="Times New Roman" w:eastAsia="Times New Roman" w:hAnsi="Times New Roman" w:cs="Times New Roman"/>
                <w:b/>
                <w:bCs/>
                <w:color w:val="000000"/>
                <w:sz w:val="16"/>
                <w:szCs w:val="18"/>
              </w:rPr>
              <w:t>Unpolluted-inoculum</w:t>
            </w:r>
            <w:r w:rsidR="006E3A27" w:rsidRPr="00DC7986">
              <w:rPr>
                <w:rFonts w:ascii="Times New Roman" w:eastAsia="Times New Roman" w:hAnsi="Times New Roman" w:cs="Times New Roman"/>
                <w:b/>
                <w:bCs/>
                <w:color w:val="000000"/>
                <w:sz w:val="16"/>
                <w:szCs w:val="18"/>
              </w:rPr>
              <w:br/>
            </w:r>
          </w:p>
        </w:tc>
        <w:tc>
          <w:tcPr>
            <w:tcW w:w="990" w:type="dxa"/>
            <w:tcBorders>
              <w:top w:val="single" w:sz="4" w:space="0" w:color="auto"/>
              <w:left w:val="nil"/>
              <w:bottom w:val="single" w:sz="4" w:space="0" w:color="auto"/>
              <w:right w:val="nil"/>
            </w:tcBorders>
            <w:shd w:val="clear" w:color="auto" w:fill="auto"/>
            <w:vAlign w:val="center"/>
            <w:hideMark/>
          </w:tcPr>
          <w:p w14:paraId="18A79900" w14:textId="5C8C1070" w:rsidR="006E3A27" w:rsidRPr="00DC7986" w:rsidRDefault="006E3A27" w:rsidP="00DC7986">
            <w:pPr>
              <w:spacing w:after="0" w:line="240" w:lineRule="auto"/>
              <w:jc w:val="center"/>
              <w:rPr>
                <w:rFonts w:ascii="Times New Roman" w:eastAsia="Times New Roman" w:hAnsi="Times New Roman" w:cs="Times New Roman"/>
                <w:b/>
                <w:bCs/>
                <w:color w:val="000000"/>
                <w:sz w:val="16"/>
                <w:szCs w:val="18"/>
              </w:rPr>
            </w:pPr>
            <w:r w:rsidRPr="00DC7986">
              <w:rPr>
                <w:rFonts w:ascii="Times New Roman" w:eastAsia="Times New Roman" w:hAnsi="Times New Roman" w:cs="Times New Roman"/>
                <w:b/>
                <w:bCs/>
                <w:color w:val="000000"/>
                <w:sz w:val="16"/>
                <w:szCs w:val="18"/>
              </w:rPr>
              <w:t>PCP</w:t>
            </w:r>
            <w:r w:rsidR="00A33266" w:rsidRPr="00DC7986">
              <w:rPr>
                <w:rFonts w:ascii="Times New Roman" w:eastAsia="Times New Roman" w:hAnsi="Times New Roman" w:cs="Times New Roman"/>
                <w:b/>
                <w:bCs/>
                <w:color w:val="000000"/>
                <w:sz w:val="16"/>
                <w:szCs w:val="18"/>
              </w:rPr>
              <w:t>-inoculum</w:t>
            </w:r>
            <w:r w:rsidRPr="00DC7986">
              <w:rPr>
                <w:rFonts w:ascii="Times New Roman" w:eastAsia="Times New Roman" w:hAnsi="Times New Roman" w:cs="Times New Roman"/>
                <w:b/>
                <w:bCs/>
                <w:color w:val="000000"/>
                <w:sz w:val="16"/>
                <w:szCs w:val="18"/>
              </w:rPr>
              <w:br/>
            </w:r>
          </w:p>
        </w:tc>
        <w:tc>
          <w:tcPr>
            <w:tcW w:w="926" w:type="dxa"/>
            <w:tcBorders>
              <w:top w:val="single" w:sz="4" w:space="0" w:color="auto"/>
              <w:left w:val="nil"/>
              <w:bottom w:val="single" w:sz="4" w:space="0" w:color="auto"/>
              <w:right w:val="nil"/>
            </w:tcBorders>
            <w:shd w:val="clear" w:color="auto" w:fill="auto"/>
            <w:vAlign w:val="center"/>
            <w:hideMark/>
          </w:tcPr>
          <w:p w14:paraId="70A565FF" w14:textId="045F84E1" w:rsidR="006E3A27" w:rsidRPr="00DC7986" w:rsidRDefault="006E3A27" w:rsidP="00DC7986">
            <w:pPr>
              <w:spacing w:after="0" w:line="240" w:lineRule="auto"/>
              <w:jc w:val="center"/>
              <w:rPr>
                <w:rFonts w:ascii="Times New Roman" w:eastAsia="Times New Roman" w:hAnsi="Times New Roman" w:cs="Times New Roman"/>
                <w:b/>
                <w:bCs/>
                <w:color w:val="000000"/>
                <w:sz w:val="16"/>
                <w:szCs w:val="18"/>
              </w:rPr>
            </w:pPr>
            <w:r w:rsidRPr="00DC7986">
              <w:rPr>
                <w:rFonts w:ascii="Times New Roman" w:eastAsia="Times New Roman" w:hAnsi="Times New Roman" w:cs="Times New Roman"/>
                <w:b/>
                <w:bCs/>
                <w:color w:val="000000"/>
                <w:sz w:val="16"/>
                <w:szCs w:val="18"/>
              </w:rPr>
              <w:t>TCS</w:t>
            </w:r>
            <w:r w:rsidR="00A33266" w:rsidRPr="00DC7986">
              <w:rPr>
                <w:rFonts w:ascii="Times New Roman" w:eastAsia="Times New Roman" w:hAnsi="Times New Roman" w:cs="Times New Roman"/>
                <w:b/>
                <w:bCs/>
                <w:color w:val="000000"/>
                <w:sz w:val="16"/>
                <w:szCs w:val="18"/>
              </w:rPr>
              <w:t>-inoculum</w:t>
            </w:r>
            <w:r w:rsidRPr="00DC7986">
              <w:rPr>
                <w:rFonts w:ascii="Times New Roman" w:eastAsia="Times New Roman" w:hAnsi="Times New Roman" w:cs="Times New Roman"/>
                <w:b/>
                <w:bCs/>
                <w:color w:val="000000"/>
                <w:sz w:val="16"/>
                <w:szCs w:val="18"/>
              </w:rPr>
              <w:br/>
            </w:r>
          </w:p>
        </w:tc>
      </w:tr>
      <w:tr w:rsidR="00422A00" w:rsidRPr="00DC7986" w14:paraId="35AE617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B817F95" w14:textId="5F795B04" w:rsidR="006E3A27" w:rsidRPr="00AC4A03" w:rsidRDefault="006E3A27" w:rsidP="00DC7986">
            <w:pPr>
              <w:spacing w:after="0" w:line="240" w:lineRule="auto"/>
              <w:rPr>
                <w:rFonts w:ascii="Times New Roman" w:eastAsia="Times New Roman" w:hAnsi="Times New Roman" w:cs="Times New Roman"/>
                <w:color w:val="000000"/>
                <w:sz w:val="18"/>
                <w:szCs w:val="18"/>
              </w:rPr>
            </w:pPr>
            <w:r w:rsidRPr="00AC4A03">
              <w:rPr>
                <w:rFonts w:ascii="Times New Roman" w:eastAsia="Times New Roman" w:hAnsi="Times New Roman" w:cs="Times New Roman"/>
                <w:i/>
                <w:iCs/>
                <w:color w:val="000000"/>
                <w:sz w:val="18"/>
                <w:szCs w:val="18"/>
              </w:rPr>
              <w:t>Aspergillus fumigatus</w:t>
            </w:r>
            <w:r w:rsidRPr="00AC4A03">
              <w:rPr>
                <w:rFonts w:ascii="Times New Roman" w:eastAsia="Times New Roman" w:hAnsi="Times New Roman" w:cs="Times New Roman"/>
                <w:color w:val="000000"/>
                <w:sz w:val="18"/>
                <w:szCs w:val="18"/>
              </w:rPr>
              <w:t xml:space="preserve"> </w:t>
            </w:r>
            <w:r w:rsidR="00422A00" w:rsidRPr="00AC4A03">
              <w:rPr>
                <w:rFonts w:ascii="Times New Roman" w:eastAsia="Times New Roman" w:hAnsi="Times New Roman" w:cs="Times New Roman"/>
                <w:color w:val="000000"/>
                <w:sz w:val="18"/>
                <w:szCs w:val="18"/>
              </w:rPr>
              <w:t xml:space="preserve">strains: </w:t>
            </w:r>
            <w:r w:rsidRPr="00AC4A03">
              <w:rPr>
                <w:rFonts w:ascii="Times New Roman" w:eastAsia="Times New Roman" w:hAnsi="Times New Roman" w:cs="Times New Roman"/>
                <w:color w:val="000000"/>
                <w:sz w:val="18"/>
                <w:szCs w:val="18"/>
              </w:rPr>
              <w:t>Cluster 1 or 3</w:t>
            </w:r>
          </w:p>
        </w:tc>
        <w:tc>
          <w:tcPr>
            <w:tcW w:w="1008" w:type="dxa"/>
            <w:tcBorders>
              <w:top w:val="nil"/>
              <w:left w:val="nil"/>
              <w:bottom w:val="nil"/>
              <w:right w:val="nil"/>
            </w:tcBorders>
            <w:shd w:val="clear" w:color="auto" w:fill="auto"/>
            <w:noWrap/>
            <w:vAlign w:val="center"/>
            <w:hideMark/>
          </w:tcPr>
          <w:p w14:paraId="320865E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92385</w:t>
            </w:r>
          </w:p>
        </w:tc>
        <w:tc>
          <w:tcPr>
            <w:tcW w:w="810" w:type="dxa"/>
            <w:tcBorders>
              <w:top w:val="nil"/>
              <w:left w:val="nil"/>
              <w:bottom w:val="nil"/>
              <w:right w:val="nil"/>
            </w:tcBorders>
            <w:shd w:val="clear" w:color="auto" w:fill="auto"/>
            <w:noWrap/>
            <w:vAlign w:val="center"/>
            <w:hideMark/>
          </w:tcPr>
          <w:p w14:paraId="073907D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95372</w:t>
            </w:r>
          </w:p>
        </w:tc>
        <w:tc>
          <w:tcPr>
            <w:tcW w:w="720" w:type="dxa"/>
            <w:tcBorders>
              <w:top w:val="nil"/>
              <w:left w:val="nil"/>
              <w:bottom w:val="nil"/>
              <w:right w:val="nil"/>
            </w:tcBorders>
            <w:shd w:val="clear" w:color="auto" w:fill="auto"/>
            <w:noWrap/>
            <w:vAlign w:val="center"/>
            <w:hideMark/>
          </w:tcPr>
          <w:p w14:paraId="31EE5ED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93324</w:t>
            </w:r>
          </w:p>
        </w:tc>
        <w:tc>
          <w:tcPr>
            <w:tcW w:w="1170" w:type="dxa"/>
            <w:tcBorders>
              <w:top w:val="nil"/>
              <w:left w:val="nil"/>
              <w:bottom w:val="nil"/>
              <w:right w:val="nil"/>
            </w:tcBorders>
            <w:shd w:val="clear" w:color="auto" w:fill="auto"/>
            <w:noWrap/>
            <w:vAlign w:val="center"/>
            <w:hideMark/>
          </w:tcPr>
          <w:p w14:paraId="20B8CCC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98791</w:t>
            </w:r>
          </w:p>
        </w:tc>
        <w:tc>
          <w:tcPr>
            <w:tcW w:w="990" w:type="dxa"/>
            <w:tcBorders>
              <w:top w:val="nil"/>
              <w:left w:val="nil"/>
              <w:bottom w:val="nil"/>
              <w:right w:val="nil"/>
            </w:tcBorders>
            <w:shd w:val="clear" w:color="auto" w:fill="auto"/>
            <w:noWrap/>
            <w:vAlign w:val="center"/>
            <w:hideMark/>
          </w:tcPr>
          <w:p w14:paraId="6C95898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85084</w:t>
            </w:r>
          </w:p>
        </w:tc>
        <w:tc>
          <w:tcPr>
            <w:tcW w:w="926" w:type="dxa"/>
            <w:tcBorders>
              <w:top w:val="nil"/>
              <w:left w:val="nil"/>
              <w:bottom w:val="nil"/>
              <w:right w:val="nil"/>
            </w:tcBorders>
            <w:shd w:val="clear" w:color="auto" w:fill="auto"/>
            <w:noWrap/>
            <w:vAlign w:val="center"/>
            <w:hideMark/>
          </w:tcPr>
          <w:p w14:paraId="3FC9A43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88106</w:t>
            </w:r>
          </w:p>
        </w:tc>
      </w:tr>
      <w:tr w:rsidR="00422A00" w:rsidRPr="00DC7986" w14:paraId="5B452C56"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DDD2F79" w14:textId="4DA599E5" w:rsidR="006E3A27" w:rsidRPr="00AC4A03" w:rsidRDefault="006E3A27" w:rsidP="00DC7986">
            <w:pPr>
              <w:spacing w:after="0" w:line="240" w:lineRule="auto"/>
              <w:rPr>
                <w:rFonts w:ascii="Times New Roman" w:eastAsia="Times New Roman" w:hAnsi="Times New Roman" w:cs="Times New Roman"/>
                <w:color w:val="000000"/>
                <w:sz w:val="18"/>
                <w:szCs w:val="18"/>
              </w:rPr>
            </w:pPr>
            <w:r w:rsidRPr="00AC4A03">
              <w:rPr>
                <w:rFonts w:ascii="Times New Roman" w:eastAsia="Times New Roman" w:hAnsi="Times New Roman" w:cs="Times New Roman"/>
                <w:i/>
                <w:iCs/>
                <w:color w:val="000000"/>
                <w:sz w:val="18"/>
                <w:szCs w:val="18"/>
              </w:rPr>
              <w:t xml:space="preserve">Aspergillus </w:t>
            </w:r>
            <w:proofErr w:type="spellStart"/>
            <w:r w:rsidRPr="00AC4A03">
              <w:rPr>
                <w:rFonts w:ascii="Times New Roman" w:eastAsia="Times New Roman" w:hAnsi="Times New Roman" w:cs="Times New Roman"/>
                <w:i/>
                <w:iCs/>
                <w:color w:val="000000"/>
                <w:sz w:val="18"/>
                <w:szCs w:val="18"/>
              </w:rPr>
              <w:t>niger</w:t>
            </w:r>
            <w:proofErr w:type="spellEnd"/>
            <w:r w:rsidRPr="00AC4A03">
              <w:rPr>
                <w:rFonts w:ascii="Times New Roman" w:eastAsia="Times New Roman" w:hAnsi="Times New Roman" w:cs="Times New Roman"/>
                <w:color w:val="000000"/>
                <w:sz w:val="18"/>
                <w:szCs w:val="18"/>
              </w:rPr>
              <w:t xml:space="preserve"> </w:t>
            </w:r>
            <w:r w:rsidR="00422A00" w:rsidRPr="00AC4A03">
              <w:rPr>
                <w:rFonts w:ascii="Times New Roman" w:eastAsia="Times New Roman" w:hAnsi="Times New Roman" w:cs="Times New Roman"/>
                <w:color w:val="000000"/>
                <w:sz w:val="18"/>
                <w:szCs w:val="18"/>
              </w:rPr>
              <w:t xml:space="preserve">strains: </w:t>
            </w:r>
            <w:r w:rsidRPr="00AC4A03">
              <w:rPr>
                <w:rFonts w:ascii="Times New Roman" w:eastAsia="Times New Roman" w:hAnsi="Times New Roman" w:cs="Times New Roman"/>
                <w:color w:val="000000"/>
                <w:sz w:val="18"/>
                <w:szCs w:val="18"/>
              </w:rPr>
              <w:t>Cluster 2</w:t>
            </w:r>
          </w:p>
        </w:tc>
        <w:tc>
          <w:tcPr>
            <w:tcW w:w="1008" w:type="dxa"/>
            <w:tcBorders>
              <w:top w:val="nil"/>
              <w:left w:val="nil"/>
              <w:bottom w:val="nil"/>
              <w:right w:val="nil"/>
            </w:tcBorders>
            <w:shd w:val="clear" w:color="auto" w:fill="auto"/>
            <w:noWrap/>
            <w:vAlign w:val="center"/>
            <w:hideMark/>
          </w:tcPr>
          <w:p w14:paraId="297325B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4608</w:t>
            </w:r>
          </w:p>
        </w:tc>
        <w:tc>
          <w:tcPr>
            <w:tcW w:w="810" w:type="dxa"/>
            <w:tcBorders>
              <w:top w:val="nil"/>
              <w:left w:val="nil"/>
              <w:bottom w:val="nil"/>
              <w:right w:val="nil"/>
            </w:tcBorders>
            <w:shd w:val="clear" w:color="auto" w:fill="auto"/>
            <w:noWrap/>
            <w:vAlign w:val="center"/>
            <w:hideMark/>
          </w:tcPr>
          <w:p w14:paraId="417B124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3511</w:t>
            </w:r>
          </w:p>
        </w:tc>
        <w:tc>
          <w:tcPr>
            <w:tcW w:w="720" w:type="dxa"/>
            <w:tcBorders>
              <w:top w:val="nil"/>
              <w:left w:val="nil"/>
              <w:bottom w:val="nil"/>
              <w:right w:val="nil"/>
            </w:tcBorders>
            <w:shd w:val="clear" w:color="auto" w:fill="auto"/>
            <w:noWrap/>
            <w:vAlign w:val="center"/>
            <w:hideMark/>
          </w:tcPr>
          <w:p w14:paraId="2979397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5256</w:t>
            </w:r>
          </w:p>
        </w:tc>
        <w:tc>
          <w:tcPr>
            <w:tcW w:w="1170" w:type="dxa"/>
            <w:tcBorders>
              <w:top w:val="nil"/>
              <w:left w:val="nil"/>
              <w:bottom w:val="nil"/>
              <w:right w:val="nil"/>
            </w:tcBorders>
            <w:shd w:val="clear" w:color="auto" w:fill="auto"/>
            <w:noWrap/>
            <w:vAlign w:val="center"/>
            <w:hideMark/>
          </w:tcPr>
          <w:p w14:paraId="2A9E2D8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861</w:t>
            </w:r>
          </w:p>
        </w:tc>
        <w:tc>
          <w:tcPr>
            <w:tcW w:w="990" w:type="dxa"/>
            <w:tcBorders>
              <w:top w:val="nil"/>
              <w:left w:val="nil"/>
              <w:bottom w:val="nil"/>
              <w:right w:val="nil"/>
            </w:tcBorders>
            <w:shd w:val="clear" w:color="auto" w:fill="auto"/>
            <w:noWrap/>
            <w:vAlign w:val="center"/>
            <w:hideMark/>
          </w:tcPr>
          <w:p w14:paraId="1145365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10783</w:t>
            </w:r>
          </w:p>
        </w:tc>
        <w:tc>
          <w:tcPr>
            <w:tcW w:w="926" w:type="dxa"/>
            <w:tcBorders>
              <w:top w:val="nil"/>
              <w:left w:val="nil"/>
              <w:bottom w:val="nil"/>
              <w:right w:val="nil"/>
            </w:tcBorders>
            <w:shd w:val="clear" w:color="auto" w:fill="auto"/>
            <w:noWrap/>
            <w:vAlign w:val="center"/>
            <w:hideMark/>
          </w:tcPr>
          <w:p w14:paraId="2743489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11543</w:t>
            </w:r>
          </w:p>
        </w:tc>
      </w:tr>
      <w:tr w:rsidR="00422A00" w:rsidRPr="00DC7986" w14:paraId="2DFA410F"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07C2CAC5"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Trichoderma </w:t>
            </w:r>
            <w:proofErr w:type="spellStart"/>
            <w:r w:rsidRPr="00AC4A03">
              <w:rPr>
                <w:rFonts w:ascii="Times New Roman" w:eastAsia="Times New Roman" w:hAnsi="Times New Roman" w:cs="Times New Roman"/>
                <w:i/>
                <w:iCs/>
                <w:color w:val="000000"/>
                <w:sz w:val="18"/>
                <w:szCs w:val="18"/>
              </w:rPr>
              <w:t>scalesiae</w:t>
            </w:r>
            <w:proofErr w:type="spellEnd"/>
          </w:p>
        </w:tc>
        <w:tc>
          <w:tcPr>
            <w:tcW w:w="1008" w:type="dxa"/>
            <w:tcBorders>
              <w:top w:val="nil"/>
              <w:left w:val="nil"/>
              <w:bottom w:val="nil"/>
              <w:right w:val="nil"/>
            </w:tcBorders>
            <w:shd w:val="clear" w:color="auto" w:fill="auto"/>
            <w:noWrap/>
            <w:vAlign w:val="center"/>
            <w:hideMark/>
          </w:tcPr>
          <w:p w14:paraId="56E98DC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327</w:t>
            </w:r>
          </w:p>
        </w:tc>
        <w:tc>
          <w:tcPr>
            <w:tcW w:w="810" w:type="dxa"/>
            <w:tcBorders>
              <w:top w:val="nil"/>
              <w:left w:val="nil"/>
              <w:bottom w:val="nil"/>
              <w:right w:val="nil"/>
            </w:tcBorders>
            <w:shd w:val="clear" w:color="auto" w:fill="auto"/>
            <w:noWrap/>
            <w:vAlign w:val="center"/>
            <w:hideMark/>
          </w:tcPr>
          <w:p w14:paraId="58F0FD8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150</w:t>
            </w:r>
          </w:p>
        </w:tc>
        <w:tc>
          <w:tcPr>
            <w:tcW w:w="720" w:type="dxa"/>
            <w:tcBorders>
              <w:top w:val="nil"/>
              <w:left w:val="nil"/>
              <w:bottom w:val="nil"/>
              <w:right w:val="nil"/>
            </w:tcBorders>
            <w:shd w:val="clear" w:color="auto" w:fill="auto"/>
            <w:noWrap/>
            <w:vAlign w:val="center"/>
            <w:hideMark/>
          </w:tcPr>
          <w:p w14:paraId="303C30D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211</w:t>
            </w:r>
          </w:p>
        </w:tc>
        <w:tc>
          <w:tcPr>
            <w:tcW w:w="1170" w:type="dxa"/>
            <w:tcBorders>
              <w:top w:val="nil"/>
              <w:left w:val="nil"/>
              <w:bottom w:val="nil"/>
              <w:right w:val="nil"/>
            </w:tcBorders>
            <w:shd w:val="clear" w:color="auto" w:fill="auto"/>
            <w:noWrap/>
            <w:vAlign w:val="center"/>
            <w:hideMark/>
          </w:tcPr>
          <w:p w14:paraId="102B66E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229</w:t>
            </w:r>
          </w:p>
        </w:tc>
        <w:tc>
          <w:tcPr>
            <w:tcW w:w="990" w:type="dxa"/>
            <w:tcBorders>
              <w:top w:val="nil"/>
              <w:left w:val="nil"/>
              <w:bottom w:val="nil"/>
              <w:right w:val="nil"/>
            </w:tcBorders>
            <w:shd w:val="clear" w:color="auto" w:fill="auto"/>
            <w:noWrap/>
            <w:vAlign w:val="center"/>
            <w:hideMark/>
          </w:tcPr>
          <w:p w14:paraId="6C18675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3878</w:t>
            </w:r>
          </w:p>
        </w:tc>
        <w:tc>
          <w:tcPr>
            <w:tcW w:w="926" w:type="dxa"/>
            <w:tcBorders>
              <w:top w:val="nil"/>
              <w:left w:val="nil"/>
              <w:bottom w:val="nil"/>
              <w:right w:val="nil"/>
            </w:tcBorders>
            <w:shd w:val="clear" w:color="auto" w:fill="auto"/>
            <w:noWrap/>
            <w:vAlign w:val="center"/>
            <w:hideMark/>
          </w:tcPr>
          <w:p w14:paraId="7F424FB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34</w:t>
            </w:r>
          </w:p>
        </w:tc>
      </w:tr>
      <w:tr w:rsidR="00422A00" w:rsidRPr="00DC7986" w14:paraId="13CCBDA0"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49E9ADD"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Trichosporon</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coremiiforme</w:t>
            </w:r>
            <w:proofErr w:type="spellEnd"/>
          </w:p>
        </w:tc>
        <w:tc>
          <w:tcPr>
            <w:tcW w:w="1008" w:type="dxa"/>
            <w:tcBorders>
              <w:top w:val="nil"/>
              <w:left w:val="nil"/>
              <w:bottom w:val="nil"/>
              <w:right w:val="nil"/>
            </w:tcBorders>
            <w:shd w:val="clear" w:color="auto" w:fill="auto"/>
            <w:noWrap/>
            <w:vAlign w:val="center"/>
            <w:hideMark/>
          </w:tcPr>
          <w:p w14:paraId="03A7F5E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1035</w:t>
            </w:r>
          </w:p>
        </w:tc>
        <w:tc>
          <w:tcPr>
            <w:tcW w:w="810" w:type="dxa"/>
            <w:tcBorders>
              <w:top w:val="nil"/>
              <w:left w:val="nil"/>
              <w:bottom w:val="nil"/>
              <w:right w:val="nil"/>
            </w:tcBorders>
            <w:shd w:val="clear" w:color="auto" w:fill="auto"/>
            <w:noWrap/>
            <w:vAlign w:val="center"/>
            <w:hideMark/>
          </w:tcPr>
          <w:p w14:paraId="5D90EAF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326</w:t>
            </w:r>
          </w:p>
        </w:tc>
        <w:tc>
          <w:tcPr>
            <w:tcW w:w="720" w:type="dxa"/>
            <w:tcBorders>
              <w:top w:val="nil"/>
              <w:left w:val="nil"/>
              <w:bottom w:val="nil"/>
              <w:right w:val="nil"/>
            </w:tcBorders>
            <w:shd w:val="clear" w:color="auto" w:fill="auto"/>
            <w:noWrap/>
            <w:vAlign w:val="center"/>
            <w:hideMark/>
          </w:tcPr>
          <w:p w14:paraId="1B93F0D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359</w:t>
            </w:r>
          </w:p>
        </w:tc>
        <w:tc>
          <w:tcPr>
            <w:tcW w:w="1170" w:type="dxa"/>
            <w:tcBorders>
              <w:top w:val="nil"/>
              <w:left w:val="nil"/>
              <w:bottom w:val="nil"/>
              <w:right w:val="nil"/>
            </w:tcBorders>
            <w:shd w:val="clear" w:color="auto" w:fill="auto"/>
            <w:noWrap/>
            <w:vAlign w:val="center"/>
            <w:hideMark/>
          </w:tcPr>
          <w:p w14:paraId="158AFE1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w:t>
            </w:r>
          </w:p>
        </w:tc>
        <w:tc>
          <w:tcPr>
            <w:tcW w:w="990" w:type="dxa"/>
            <w:tcBorders>
              <w:top w:val="nil"/>
              <w:left w:val="nil"/>
              <w:bottom w:val="nil"/>
              <w:right w:val="nil"/>
            </w:tcBorders>
            <w:shd w:val="clear" w:color="auto" w:fill="auto"/>
            <w:noWrap/>
            <w:vAlign w:val="center"/>
            <w:hideMark/>
          </w:tcPr>
          <w:p w14:paraId="104167C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w:t>
            </w:r>
          </w:p>
        </w:tc>
        <w:tc>
          <w:tcPr>
            <w:tcW w:w="926" w:type="dxa"/>
            <w:tcBorders>
              <w:top w:val="nil"/>
              <w:left w:val="nil"/>
              <w:bottom w:val="nil"/>
              <w:right w:val="nil"/>
            </w:tcBorders>
            <w:shd w:val="clear" w:color="auto" w:fill="auto"/>
            <w:noWrap/>
            <w:vAlign w:val="center"/>
            <w:hideMark/>
          </w:tcPr>
          <w:p w14:paraId="38363CF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w:t>
            </w:r>
          </w:p>
        </w:tc>
      </w:tr>
      <w:tr w:rsidR="00422A00" w:rsidRPr="00DC7986" w14:paraId="631F4807"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30934EF6"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Sporidiobolus</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salmonicolor</w:t>
            </w:r>
            <w:proofErr w:type="spellEnd"/>
          </w:p>
        </w:tc>
        <w:tc>
          <w:tcPr>
            <w:tcW w:w="1008" w:type="dxa"/>
            <w:tcBorders>
              <w:top w:val="nil"/>
              <w:left w:val="nil"/>
              <w:bottom w:val="nil"/>
              <w:right w:val="nil"/>
            </w:tcBorders>
            <w:shd w:val="clear" w:color="auto" w:fill="auto"/>
            <w:noWrap/>
            <w:vAlign w:val="center"/>
            <w:hideMark/>
          </w:tcPr>
          <w:p w14:paraId="1E48F0D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474</w:t>
            </w:r>
          </w:p>
        </w:tc>
        <w:tc>
          <w:tcPr>
            <w:tcW w:w="810" w:type="dxa"/>
            <w:tcBorders>
              <w:top w:val="nil"/>
              <w:left w:val="nil"/>
              <w:bottom w:val="nil"/>
              <w:right w:val="nil"/>
            </w:tcBorders>
            <w:shd w:val="clear" w:color="auto" w:fill="auto"/>
            <w:noWrap/>
            <w:vAlign w:val="center"/>
            <w:hideMark/>
          </w:tcPr>
          <w:p w14:paraId="6F4B0CF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145</w:t>
            </w:r>
          </w:p>
        </w:tc>
        <w:tc>
          <w:tcPr>
            <w:tcW w:w="720" w:type="dxa"/>
            <w:tcBorders>
              <w:top w:val="nil"/>
              <w:left w:val="nil"/>
              <w:bottom w:val="nil"/>
              <w:right w:val="nil"/>
            </w:tcBorders>
            <w:shd w:val="clear" w:color="auto" w:fill="auto"/>
            <w:noWrap/>
            <w:vAlign w:val="center"/>
            <w:hideMark/>
          </w:tcPr>
          <w:p w14:paraId="2D3C47E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177</w:t>
            </w:r>
          </w:p>
        </w:tc>
        <w:tc>
          <w:tcPr>
            <w:tcW w:w="1170" w:type="dxa"/>
            <w:tcBorders>
              <w:top w:val="nil"/>
              <w:left w:val="nil"/>
              <w:bottom w:val="nil"/>
              <w:right w:val="nil"/>
            </w:tcBorders>
            <w:shd w:val="clear" w:color="auto" w:fill="auto"/>
            <w:noWrap/>
            <w:vAlign w:val="center"/>
            <w:hideMark/>
          </w:tcPr>
          <w:p w14:paraId="7CA028E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274F50D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28DDE17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2FF990E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421B1E6B"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Amorphotheca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resinae</w:t>
            </w:r>
            <w:proofErr w:type="spellEnd"/>
          </w:p>
        </w:tc>
        <w:tc>
          <w:tcPr>
            <w:tcW w:w="1008" w:type="dxa"/>
            <w:tcBorders>
              <w:top w:val="nil"/>
              <w:left w:val="nil"/>
              <w:bottom w:val="nil"/>
              <w:right w:val="nil"/>
            </w:tcBorders>
            <w:shd w:val="clear" w:color="auto" w:fill="auto"/>
            <w:noWrap/>
            <w:vAlign w:val="center"/>
            <w:hideMark/>
          </w:tcPr>
          <w:p w14:paraId="256ABB9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364</w:t>
            </w:r>
          </w:p>
        </w:tc>
        <w:tc>
          <w:tcPr>
            <w:tcW w:w="810" w:type="dxa"/>
            <w:tcBorders>
              <w:top w:val="nil"/>
              <w:left w:val="nil"/>
              <w:bottom w:val="nil"/>
              <w:right w:val="nil"/>
            </w:tcBorders>
            <w:shd w:val="clear" w:color="auto" w:fill="auto"/>
            <w:noWrap/>
            <w:vAlign w:val="center"/>
            <w:hideMark/>
          </w:tcPr>
          <w:p w14:paraId="0AABB66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166</w:t>
            </w:r>
          </w:p>
        </w:tc>
        <w:tc>
          <w:tcPr>
            <w:tcW w:w="720" w:type="dxa"/>
            <w:tcBorders>
              <w:top w:val="nil"/>
              <w:left w:val="nil"/>
              <w:bottom w:val="nil"/>
              <w:right w:val="nil"/>
            </w:tcBorders>
            <w:shd w:val="clear" w:color="auto" w:fill="auto"/>
            <w:noWrap/>
            <w:vAlign w:val="center"/>
            <w:hideMark/>
          </w:tcPr>
          <w:p w14:paraId="78821EE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155</w:t>
            </w:r>
          </w:p>
        </w:tc>
        <w:tc>
          <w:tcPr>
            <w:tcW w:w="1170" w:type="dxa"/>
            <w:tcBorders>
              <w:top w:val="nil"/>
              <w:left w:val="nil"/>
              <w:bottom w:val="nil"/>
              <w:right w:val="nil"/>
            </w:tcBorders>
            <w:shd w:val="clear" w:color="auto" w:fill="auto"/>
            <w:noWrap/>
            <w:vAlign w:val="center"/>
            <w:hideMark/>
          </w:tcPr>
          <w:p w14:paraId="32E883A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w:t>
            </w:r>
          </w:p>
        </w:tc>
        <w:tc>
          <w:tcPr>
            <w:tcW w:w="990" w:type="dxa"/>
            <w:tcBorders>
              <w:top w:val="nil"/>
              <w:left w:val="nil"/>
              <w:bottom w:val="nil"/>
              <w:right w:val="nil"/>
            </w:tcBorders>
            <w:shd w:val="clear" w:color="auto" w:fill="auto"/>
            <w:noWrap/>
            <w:vAlign w:val="center"/>
            <w:hideMark/>
          </w:tcPr>
          <w:p w14:paraId="1D102BC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106C90B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463239EF"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437E900" w14:textId="650DC02E" w:rsidR="006E3A27" w:rsidRPr="00AC4A03" w:rsidRDefault="006E3A27" w:rsidP="00DC7986">
            <w:pPr>
              <w:spacing w:after="0" w:line="240" w:lineRule="auto"/>
              <w:rPr>
                <w:rFonts w:ascii="Times New Roman" w:eastAsia="Times New Roman" w:hAnsi="Times New Roman" w:cs="Times New Roman"/>
                <w:color w:val="000000"/>
                <w:sz w:val="18"/>
                <w:szCs w:val="18"/>
              </w:rPr>
            </w:pPr>
            <w:r w:rsidRPr="00AC4A03">
              <w:rPr>
                <w:rFonts w:ascii="Times New Roman" w:eastAsia="Times New Roman" w:hAnsi="Times New Roman" w:cs="Times New Roman"/>
                <w:i/>
                <w:iCs/>
                <w:color w:val="000000"/>
                <w:sz w:val="18"/>
                <w:szCs w:val="18"/>
              </w:rPr>
              <w:t>Aspergillus fumigatus</w:t>
            </w:r>
            <w:r w:rsidRPr="00AC4A03">
              <w:rPr>
                <w:rFonts w:ascii="Times New Roman" w:eastAsia="Times New Roman" w:hAnsi="Times New Roman" w:cs="Times New Roman"/>
                <w:color w:val="000000"/>
                <w:sz w:val="18"/>
                <w:szCs w:val="18"/>
              </w:rPr>
              <w:t xml:space="preserve"> </w:t>
            </w:r>
            <w:r w:rsidR="00422A00" w:rsidRPr="00AC4A03">
              <w:rPr>
                <w:rFonts w:ascii="Times New Roman" w:eastAsia="Times New Roman" w:hAnsi="Times New Roman" w:cs="Times New Roman"/>
                <w:color w:val="000000"/>
                <w:sz w:val="18"/>
                <w:szCs w:val="18"/>
              </w:rPr>
              <w:t>strain</w:t>
            </w:r>
            <w:r w:rsidRPr="00AC4A03">
              <w:rPr>
                <w:rFonts w:ascii="Times New Roman" w:eastAsia="Times New Roman" w:hAnsi="Times New Roman" w:cs="Times New Roman"/>
                <w:color w:val="000000"/>
                <w:sz w:val="18"/>
                <w:szCs w:val="18"/>
              </w:rPr>
              <w:t xml:space="preserve"> AEM007</w:t>
            </w:r>
          </w:p>
        </w:tc>
        <w:tc>
          <w:tcPr>
            <w:tcW w:w="1008" w:type="dxa"/>
            <w:tcBorders>
              <w:top w:val="nil"/>
              <w:left w:val="nil"/>
              <w:bottom w:val="nil"/>
              <w:right w:val="nil"/>
            </w:tcBorders>
            <w:shd w:val="clear" w:color="auto" w:fill="auto"/>
            <w:noWrap/>
            <w:vAlign w:val="center"/>
            <w:hideMark/>
          </w:tcPr>
          <w:p w14:paraId="3FF24FA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302</w:t>
            </w:r>
          </w:p>
        </w:tc>
        <w:tc>
          <w:tcPr>
            <w:tcW w:w="810" w:type="dxa"/>
            <w:tcBorders>
              <w:top w:val="nil"/>
              <w:left w:val="nil"/>
              <w:bottom w:val="nil"/>
              <w:right w:val="nil"/>
            </w:tcBorders>
            <w:shd w:val="clear" w:color="auto" w:fill="auto"/>
            <w:noWrap/>
            <w:vAlign w:val="center"/>
            <w:hideMark/>
          </w:tcPr>
          <w:p w14:paraId="4DE5E14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132</w:t>
            </w:r>
          </w:p>
        </w:tc>
        <w:tc>
          <w:tcPr>
            <w:tcW w:w="720" w:type="dxa"/>
            <w:tcBorders>
              <w:top w:val="nil"/>
              <w:left w:val="nil"/>
              <w:bottom w:val="nil"/>
              <w:right w:val="nil"/>
            </w:tcBorders>
            <w:shd w:val="clear" w:color="auto" w:fill="auto"/>
            <w:noWrap/>
            <w:vAlign w:val="center"/>
            <w:hideMark/>
          </w:tcPr>
          <w:p w14:paraId="06FF479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186</w:t>
            </w:r>
          </w:p>
        </w:tc>
        <w:tc>
          <w:tcPr>
            <w:tcW w:w="1170" w:type="dxa"/>
            <w:tcBorders>
              <w:top w:val="nil"/>
              <w:left w:val="nil"/>
              <w:bottom w:val="nil"/>
              <w:right w:val="nil"/>
            </w:tcBorders>
            <w:shd w:val="clear" w:color="auto" w:fill="auto"/>
            <w:noWrap/>
            <w:vAlign w:val="center"/>
            <w:hideMark/>
          </w:tcPr>
          <w:p w14:paraId="0A694E0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22</w:t>
            </w:r>
          </w:p>
        </w:tc>
        <w:tc>
          <w:tcPr>
            <w:tcW w:w="990" w:type="dxa"/>
            <w:tcBorders>
              <w:top w:val="nil"/>
              <w:left w:val="nil"/>
              <w:bottom w:val="nil"/>
              <w:right w:val="nil"/>
            </w:tcBorders>
            <w:shd w:val="clear" w:color="auto" w:fill="auto"/>
            <w:noWrap/>
            <w:vAlign w:val="center"/>
            <w:hideMark/>
          </w:tcPr>
          <w:p w14:paraId="04E45AC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62</w:t>
            </w:r>
          </w:p>
        </w:tc>
        <w:tc>
          <w:tcPr>
            <w:tcW w:w="926" w:type="dxa"/>
            <w:tcBorders>
              <w:top w:val="nil"/>
              <w:left w:val="nil"/>
              <w:bottom w:val="nil"/>
              <w:right w:val="nil"/>
            </w:tcBorders>
            <w:shd w:val="clear" w:color="auto" w:fill="auto"/>
            <w:noWrap/>
            <w:vAlign w:val="center"/>
            <w:hideMark/>
          </w:tcPr>
          <w:p w14:paraId="477A9EF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49</w:t>
            </w:r>
          </w:p>
        </w:tc>
      </w:tr>
      <w:tr w:rsidR="00422A00" w:rsidRPr="00DC7986" w14:paraId="38F2EA8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0FE5607E" w14:textId="77777777" w:rsidR="006E3A27" w:rsidRPr="00AC4A03" w:rsidRDefault="006E3A27" w:rsidP="00DC7986">
            <w:pPr>
              <w:spacing w:after="0" w:line="240" w:lineRule="auto"/>
              <w:rPr>
                <w:rFonts w:ascii="Times New Roman" w:eastAsia="Times New Roman" w:hAnsi="Times New Roman" w:cs="Times New Roman"/>
                <w:color w:val="000000"/>
                <w:sz w:val="18"/>
                <w:szCs w:val="18"/>
              </w:rPr>
            </w:pPr>
            <w:proofErr w:type="spellStart"/>
            <w:r w:rsidRPr="00AC4A03">
              <w:rPr>
                <w:rFonts w:ascii="Times New Roman" w:eastAsia="Times New Roman" w:hAnsi="Times New Roman" w:cs="Times New Roman"/>
                <w:i/>
                <w:iCs/>
                <w:color w:val="000000"/>
                <w:sz w:val="18"/>
                <w:szCs w:val="18"/>
              </w:rPr>
              <w:t>Pyronemataceae</w:t>
            </w:r>
            <w:proofErr w:type="spellEnd"/>
            <w:r w:rsidRPr="00AC4A03">
              <w:rPr>
                <w:rFonts w:ascii="Times New Roman" w:eastAsia="Times New Roman" w:hAnsi="Times New Roman" w:cs="Times New Roman"/>
                <w:color w:val="000000"/>
                <w:sz w:val="18"/>
                <w:szCs w:val="18"/>
              </w:rPr>
              <w:t xml:space="preserve"> sp.</w:t>
            </w:r>
          </w:p>
        </w:tc>
        <w:tc>
          <w:tcPr>
            <w:tcW w:w="1008" w:type="dxa"/>
            <w:tcBorders>
              <w:top w:val="nil"/>
              <w:left w:val="nil"/>
              <w:bottom w:val="nil"/>
              <w:right w:val="nil"/>
            </w:tcBorders>
            <w:shd w:val="clear" w:color="auto" w:fill="auto"/>
            <w:noWrap/>
            <w:vAlign w:val="center"/>
            <w:hideMark/>
          </w:tcPr>
          <w:p w14:paraId="6DB36D0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161</w:t>
            </w:r>
          </w:p>
        </w:tc>
        <w:tc>
          <w:tcPr>
            <w:tcW w:w="810" w:type="dxa"/>
            <w:tcBorders>
              <w:top w:val="nil"/>
              <w:left w:val="nil"/>
              <w:bottom w:val="nil"/>
              <w:right w:val="nil"/>
            </w:tcBorders>
            <w:shd w:val="clear" w:color="auto" w:fill="auto"/>
            <w:noWrap/>
            <w:vAlign w:val="center"/>
            <w:hideMark/>
          </w:tcPr>
          <w:p w14:paraId="1769B82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72</w:t>
            </w:r>
          </w:p>
        </w:tc>
        <w:tc>
          <w:tcPr>
            <w:tcW w:w="720" w:type="dxa"/>
            <w:tcBorders>
              <w:top w:val="nil"/>
              <w:left w:val="nil"/>
              <w:bottom w:val="nil"/>
              <w:right w:val="nil"/>
            </w:tcBorders>
            <w:shd w:val="clear" w:color="auto" w:fill="auto"/>
            <w:noWrap/>
            <w:vAlign w:val="center"/>
            <w:hideMark/>
          </w:tcPr>
          <w:p w14:paraId="4DCA5C2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103</w:t>
            </w:r>
          </w:p>
        </w:tc>
        <w:tc>
          <w:tcPr>
            <w:tcW w:w="1170" w:type="dxa"/>
            <w:tcBorders>
              <w:top w:val="nil"/>
              <w:left w:val="nil"/>
              <w:bottom w:val="nil"/>
              <w:right w:val="nil"/>
            </w:tcBorders>
            <w:shd w:val="clear" w:color="auto" w:fill="auto"/>
            <w:noWrap/>
            <w:vAlign w:val="center"/>
            <w:hideMark/>
          </w:tcPr>
          <w:p w14:paraId="673E0F8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990" w:type="dxa"/>
            <w:tcBorders>
              <w:top w:val="nil"/>
              <w:left w:val="nil"/>
              <w:bottom w:val="nil"/>
              <w:right w:val="nil"/>
            </w:tcBorders>
            <w:shd w:val="clear" w:color="auto" w:fill="auto"/>
            <w:noWrap/>
            <w:vAlign w:val="center"/>
            <w:hideMark/>
          </w:tcPr>
          <w:p w14:paraId="52E73D5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926" w:type="dxa"/>
            <w:tcBorders>
              <w:top w:val="nil"/>
              <w:left w:val="nil"/>
              <w:bottom w:val="nil"/>
              <w:right w:val="nil"/>
            </w:tcBorders>
            <w:shd w:val="clear" w:color="auto" w:fill="auto"/>
            <w:noWrap/>
            <w:vAlign w:val="center"/>
            <w:hideMark/>
          </w:tcPr>
          <w:p w14:paraId="0C29C18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150</w:t>
            </w:r>
          </w:p>
        </w:tc>
      </w:tr>
      <w:tr w:rsidR="00422A00" w:rsidRPr="00DC7986" w14:paraId="4C28A168"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5A1B3E1D" w14:textId="5B928451" w:rsidR="006E3A27" w:rsidRPr="00AC4A03" w:rsidRDefault="006E3A27" w:rsidP="00DC7986">
            <w:pPr>
              <w:spacing w:after="0" w:line="240" w:lineRule="auto"/>
              <w:rPr>
                <w:rFonts w:ascii="Times New Roman" w:eastAsia="Times New Roman" w:hAnsi="Times New Roman" w:cs="Times New Roman"/>
                <w:color w:val="000000"/>
                <w:sz w:val="18"/>
                <w:szCs w:val="18"/>
                <w:lang w:val="pt-PT"/>
              </w:rPr>
            </w:pPr>
            <w:r w:rsidRPr="00AC4A03">
              <w:rPr>
                <w:rFonts w:ascii="Times New Roman" w:eastAsia="Times New Roman" w:hAnsi="Times New Roman" w:cs="Times New Roman"/>
                <w:i/>
                <w:iCs/>
                <w:color w:val="000000"/>
                <w:sz w:val="18"/>
                <w:szCs w:val="18"/>
                <w:lang w:val="pt-PT"/>
              </w:rPr>
              <w:t>Syncephalastrum racemosum</w:t>
            </w:r>
            <w:r w:rsidRPr="00AC4A03">
              <w:rPr>
                <w:rFonts w:ascii="Times New Roman" w:eastAsia="Times New Roman" w:hAnsi="Times New Roman" w:cs="Times New Roman"/>
                <w:color w:val="000000"/>
                <w:sz w:val="18"/>
                <w:szCs w:val="18"/>
                <w:lang w:val="pt-PT"/>
              </w:rPr>
              <w:t xml:space="preserve"> </w:t>
            </w:r>
            <w:r w:rsidR="00422A00" w:rsidRPr="00AC4A03">
              <w:rPr>
                <w:rFonts w:ascii="Times New Roman" w:eastAsia="Times New Roman" w:hAnsi="Times New Roman" w:cs="Times New Roman"/>
                <w:color w:val="000000"/>
                <w:sz w:val="18"/>
                <w:szCs w:val="18"/>
              </w:rPr>
              <w:t>strains:</w:t>
            </w:r>
            <w:r w:rsidR="00422A00" w:rsidRPr="00AC4A03">
              <w:rPr>
                <w:rFonts w:ascii="Times New Roman" w:eastAsia="Times New Roman" w:hAnsi="Times New Roman" w:cs="Times New Roman"/>
                <w:color w:val="000000"/>
                <w:sz w:val="18"/>
                <w:szCs w:val="18"/>
                <w:lang w:val="pt-PT"/>
              </w:rPr>
              <w:t xml:space="preserve"> </w:t>
            </w:r>
            <w:r w:rsidRPr="00AC4A03">
              <w:rPr>
                <w:rFonts w:ascii="Times New Roman" w:eastAsia="Times New Roman" w:hAnsi="Times New Roman" w:cs="Times New Roman"/>
                <w:color w:val="000000"/>
                <w:sz w:val="18"/>
                <w:szCs w:val="18"/>
                <w:lang w:val="pt-PT"/>
              </w:rPr>
              <w:t>Cluster 5, 6 or 7</w:t>
            </w:r>
          </w:p>
        </w:tc>
        <w:tc>
          <w:tcPr>
            <w:tcW w:w="1008" w:type="dxa"/>
            <w:tcBorders>
              <w:top w:val="nil"/>
              <w:left w:val="nil"/>
              <w:bottom w:val="nil"/>
              <w:right w:val="nil"/>
            </w:tcBorders>
            <w:shd w:val="clear" w:color="auto" w:fill="auto"/>
            <w:noWrap/>
            <w:vAlign w:val="center"/>
            <w:hideMark/>
          </w:tcPr>
          <w:p w14:paraId="622AC3E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114</w:t>
            </w:r>
          </w:p>
        </w:tc>
        <w:tc>
          <w:tcPr>
            <w:tcW w:w="810" w:type="dxa"/>
            <w:tcBorders>
              <w:top w:val="nil"/>
              <w:left w:val="nil"/>
              <w:bottom w:val="nil"/>
              <w:right w:val="nil"/>
            </w:tcBorders>
            <w:shd w:val="clear" w:color="auto" w:fill="auto"/>
            <w:noWrap/>
            <w:vAlign w:val="center"/>
            <w:hideMark/>
          </w:tcPr>
          <w:p w14:paraId="1DAAB8A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37</w:t>
            </w:r>
          </w:p>
        </w:tc>
        <w:tc>
          <w:tcPr>
            <w:tcW w:w="720" w:type="dxa"/>
            <w:tcBorders>
              <w:top w:val="nil"/>
              <w:left w:val="nil"/>
              <w:bottom w:val="nil"/>
              <w:right w:val="nil"/>
            </w:tcBorders>
            <w:shd w:val="clear" w:color="auto" w:fill="auto"/>
            <w:noWrap/>
            <w:vAlign w:val="center"/>
            <w:hideMark/>
          </w:tcPr>
          <w:p w14:paraId="3979E36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63</w:t>
            </w:r>
          </w:p>
        </w:tc>
        <w:tc>
          <w:tcPr>
            <w:tcW w:w="1170" w:type="dxa"/>
            <w:tcBorders>
              <w:top w:val="nil"/>
              <w:left w:val="nil"/>
              <w:bottom w:val="nil"/>
              <w:right w:val="nil"/>
            </w:tcBorders>
            <w:shd w:val="clear" w:color="auto" w:fill="auto"/>
            <w:noWrap/>
            <w:vAlign w:val="center"/>
            <w:hideMark/>
          </w:tcPr>
          <w:p w14:paraId="141614B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54</w:t>
            </w:r>
          </w:p>
        </w:tc>
        <w:tc>
          <w:tcPr>
            <w:tcW w:w="990" w:type="dxa"/>
            <w:tcBorders>
              <w:top w:val="nil"/>
              <w:left w:val="nil"/>
              <w:bottom w:val="nil"/>
              <w:right w:val="nil"/>
            </w:tcBorders>
            <w:shd w:val="clear" w:color="auto" w:fill="auto"/>
            <w:noWrap/>
            <w:vAlign w:val="center"/>
            <w:hideMark/>
          </w:tcPr>
          <w:p w14:paraId="2E2503E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26</w:t>
            </w:r>
          </w:p>
        </w:tc>
        <w:tc>
          <w:tcPr>
            <w:tcW w:w="926" w:type="dxa"/>
            <w:tcBorders>
              <w:top w:val="nil"/>
              <w:left w:val="nil"/>
              <w:bottom w:val="nil"/>
              <w:right w:val="nil"/>
            </w:tcBorders>
            <w:shd w:val="clear" w:color="auto" w:fill="auto"/>
            <w:noWrap/>
            <w:vAlign w:val="center"/>
            <w:hideMark/>
          </w:tcPr>
          <w:p w14:paraId="5D13657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32</w:t>
            </w:r>
          </w:p>
        </w:tc>
      </w:tr>
      <w:tr w:rsidR="00422A00" w:rsidRPr="00DC7986" w14:paraId="7531FF5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4DC4F370"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Trichoderma </w:t>
            </w:r>
            <w:proofErr w:type="spellStart"/>
            <w:r w:rsidRPr="00AC4A03">
              <w:rPr>
                <w:rFonts w:ascii="Times New Roman" w:eastAsia="Times New Roman" w:hAnsi="Times New Roman" w:cs="Times New Roman"/>
                <w:i/>
                <w:iCs/>
                <w:color w:val="000000"/>
                <w:sz w:val="18"/>
                <w:szCs w:val="18"/>
              </w:rPr>
              <w:t>saturnisporum</w:t>
            </w:r>
            <w:proofErr w:type="spellEnd"/>
          </w:p>
        </w:tc>
        <w:tc>
          <w:tcPr>
            <w:tcW w:w="1008" w:type="dxa"/>
            <w:tcBorders>
              <w:top w:val="nil"/>
              <w:left w:val="nil"/>
              <w:bottom w:val="nil"/>
              <w:right w:val="nil"/>
            </w:tcBorders>
            <w:shd w:val="clear" w:color="auto" w:fill="auto"/>
            <w:noWrap/>
            <w:vAlign w:val="center"/>
            <w:hideMark/>
          </w:tcPr>
          <w:p w14:paraId="17BBF5A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122</w:t>
            </w:r>
          </w:p>
        </w:tc>
        <w:tc>
          <w:tcPr>
            <w:tcW w:w="810" w:type="dxa"/>
            <w:tcBorders>
              <w:top w:val="nil"/>
              <w:left w:val="nil"/>
              <w:bottom w:val="nil"/>
              <w:right w:val="nil"/>
            </w:tcBorders>
            <w:shd w:val="clear" w:color="auto" w:fill="auto"/>
            <w:noWrap/>
            <w:vAlign w:val="center"/>
            <w:hideMark/>
          </w:tcPr>
          <w:p w14:paraId="20CC5CC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28</w:t>
            </w:r>
          </w:p>
        </w:tc>
        <w:tc>
          <w:tcPr>
            <w:tcW w:w="720" w:type="dxa"/>
            <w:tcBorders>
              <w:top w:val="nil"/>
              <w:left w:val="nil"/>
              <w:bottom w:val="nil"/>
              <w:right w:val="nil"/>
            </w:tcBorders>
            <w:shd w:val="clear" w:color="auto" w:fill="auto"/>
            <w:noWrap/>
            <w:vAlign w:val="center"/>
            <w:hideMark/>
          </w:tcPr>
          <w:p w14:paraId="5B0F952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42</w:t>
            </w:r>
          </w:p>
        </w:tc>
        <w:tc>
          <w:tcPr>
            <w:tcW w:w="1170" w:type="dxa"/>
            <w:tcBorders>
              <w:top w:val="nil"/>
              <w:left w:val="nil"/>
              <w:bottom w:val="nil"/>
              <w:right w:val="nil"/>
            </w:tcBorders>
            <w:shd w:val="clear" w:color="auto" w:fill="auto"/>
            <w:noWrap/>
            <w:vAlign w:val="center"/>
            <w:hideMark/>
          </w:tcPr>
          <w:p w14:paraId="7FDA041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69DB90B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274AA1E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44AAB415"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A1CD5EB"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Rhizopus </w:t>
            </w:r>
            <w:proofErr w:type="spellStart"/>
            <w:r w:rsidRPr="00AC4A03">
              <w:rPr>
                <w:rFonts w:ascii="Times New Roman" w:eastAsia="Times New Roman" w:hAnsi="Times New Roman" w:cs="Times New Roman"/>
                <w:i/>
                <w:iCs/>
                <w:color w:val="000000"/>
                <w:sz w:val="18"/>
                <w:szCs w:val="18"/>
              </w:rPr>
              <w:t>arrhizus</w:t>
            </w:r>
            <w:proofErr w:type="spellEnd"/>
          </w:p>
        </w:tc>
        <w:tc>
          <w:tcPr>
            <w:tcW w:w="1008" w:type="dxa"/>
            <w:tcBorders>
              <w:top w:val="nil"/>
              <w:left w:val="nil"/>
              <w:bottom w:val="nil"/>
              <w:right w:val="nil"/>
            </w:tcBorders>
            <w:shd w:val="clear" w:color="auto" w:fill="auto"/>
            <w:noWrap/>
            <w:vAlign w:val="center"/>
            <w:hideMark/>
          </w:tcPr>
          <w:p w14:paraId="5F4745D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24</w:t>
            </w:r>
          </w:p>
        </w:tc>
        <w:tc>
          <w:tcPr>
            <w:tcW w:w="810" w:type="dxa"/>
            <w:tcBorders>
              <w:top w:val="nil"/>
              <w:left w:val="nil"/>
              <w:bottom w:val="nil"/>
              <w:right w:val="nil"/>
            </w:tcBorders>
            <w:shd w:val="clear" w:color="auto" w:fill="auto"/>
            <w:noWrap/>
            <w:vAlign w:val="center"/>
            <w:hideMark/>
          </w:tcPr>
          <w:p w14:paraId="4C4F9FD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w:t>
            </w:r>
          </w:p>
        </w:tc>
        <w:tc>
          <w:tcPr>
            <w:tcW w:w="720" w:type="dxa"/>
            <w:tcBorders>
              <w:top w:val="nil"/>
              <w:left w:val="nil"/>
              <w:bottom w:val="nil"/>
              <w:right w:val="nil"/>
            </w:tcBorders>
            <w:shd w:val="clear" w:color="auto" w:fill="auto"/>
            <w:noWrap/>
            <w:vAlign w:val="center"/>
            <w:hideMark/>
          </w:tcPr>
          <w:p w14:paraId="25B4380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13</w:t>
            </w:r>
          </w:p>
        </w:tc>
        <w:tc>
          <w:tcPr>
            <w:tcW w:w="1170" w:type="dxa"/>
            <w:tcBorders>
              <w:top w:val="nil"/>
              <w:left w:val="nil"/>
              <w:bottom w:val="nil"/>
              <w:right w:val="nil"/>
            </w:tcBorders>
            <w:shd w:val="clear" w:color="auto" w:fill="auto"/>
            <w:noWrap/>
            <w:vAlign w:val="center"/>
            <w:hideMark/>
          </w:tcPr>
          <w:p w14:paraId="0DD52E9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13</w:t>
            </w:r>
          </w:p>
        </w:tc>
        <w:tc>
          <w:tcPr>
            <w:tcW w:w="990" w:type="dxa"/>
            <w:tcBorders>
              <w:top w:val="nil"/>
              <w:left w:val="nil"/>
              <w:bottom w:val="nil"/>
              <w:right w:val="nil"/>
            </w:tcBorders>
            <w:shd w:val="clear" w:color="auto" w:fill="auto"/>
            <w:noWrap/>
            <w:vAlign w:val="center"/>
            <w:hideMark/>
          </w:tcPr>
          <w:p w14:paraId="466A3C5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w:t>
            </w:r>
          </w:p>
        </w:tc>
        <w:tc>
          <w:tcPr>
            <w:tcW w:w="926" w:type="dxa"/>
            <w:tcBorders>
              <w:top w:val="nil"/>
              <w:left w:val="nil"/>
              <w:bottom w:val="nil"/>
              <w:right w:val="nil"/>
            </w:tcBorders>
            <w:shd w:val="clear" w:color="auto" w:fill="auto"/>
            <w:noWrap/>
            <w:vAlign w:val="center"/>
            <w:hideMark/>
          </w:tcPr>
          <w:p w14:paraId="7499A06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w:t>
            </w:r>
          </w:p>
        </w:tc>
      </w:tr>
      <w:tr w:rsidR="00422A00" w:rsidRPr="00DC7986" w14:paraId="0236D0B6"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63CB536E"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Fusarium </w:t>
            </w:r>
            <w:proofErr w:type="spellStart"/>
            <w:r w:rsidRPr="00AC4A03">
              <w:rPr>
                <w:rFonts w:ascii="Times New Roman" w:eastAsia="Times New Roman" w:hAnsi="Times New Roman" w:cs="Times New Roman"/>
                <w:i/>
                <w:iCs/>
                <w:color w:val="000000"/>
                <w:sz w:val="18"/>
                <w:szCs w:val="18"/>
              </w:rPr>
              <w:t>oxysporum</w:t>
            </w:r>
            <w:proofErr w:type="spellEnd"/>
          </w:p>
        </w:tc>
        <w:tc>
          <w:tcPr>
            <w:tcW w:w="1008" w:type="dxa"/>
            <w:tcBorders>
              <w:top w:val="nil"/>
              <w:left w:val="nil"/>
              <w:bottom w:val="nil"/>
              <w:right w:val="nil"/>
            </w:tcBorders>
            <w:shd w:val="clear" w:color="auto" w:fill="auto"/>
            <w:noWrap/>
            <w:vAlign w:val="center"/>
            <w:hideMark/>
          </w:tcPr>
          <w:p w14:paraId="0A4C9FF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19</w:t>
            </w:r>
          </w:p>
        </w:tc>
        <w:tc>
          <w:tcPr>
            <w:tcW w:w="810" w:type="dxa"/>
            <w:tcBorders>
              <w:top w:val="nil"/>
              <w:left w:val="nil"/>
              <w:bottom w:val="nil"/>
              <w:right w:val="nil"/>
            </w:tcBorders>
            <w:shd w:val="clear" w:color="auto" w:fill="auto"/>
            <w:noWrap/>
            <w:vAlign w:val="center"/>
            <w:hideMark/>
          </w:tcPr>
          <w:p w14:paraId="38A0B97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11</w:t>
            </w:r>
          </w:p>
        </w:tc>
        <w:tc>
          <w:tcPr>
            <w:tcW w:w="720" w:type="dxa"/>
            <w:tcBorders>
              <w:top w:val="nil"/>
              <w:left w:val="nil"/>
              <w:bottom w:val="nil"/>
              <w:right w:val="nil"/>
            </w:tcBorders>
            <w:shd w:val="clear" w:color="auto" w:fill="auto"/>
            <w:noWrap/>
            <w:vAlign w:val="center"/>
            <w:hideMark/>
          </w:tcPr>
          <w:p w14:paraId="08F8E18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27</w:t>
            </w:r>
          </w:p>
        </w:tc>
        <w:tc>
          <w:tcPr>
            <w:tcW w:w="1170" w:type="dxa"/>
            <w:tcBorders>
              <w:top w:val="nil"/>
              <w:left w:val="nil"/>
              <w:bottom w:val="nil"/>
              <w:right w:val="nil"/>
            </w:tcBorders>
            <w:shd w:val="clear" w:color="auto" w:fill="auto"/>
            <w:noWrap/>
            <w:vAlign w:val="center"/>
            <w:hideMark/>
          </w:tcPr>
          <w:p w14:paraId="4EF1C2B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w:t>
            </w:r>
          </w:p>
        </w:tc>
        <w:tc>
          <w:tcPr>
            <w:tcW w:w="990" w:type="dxa"/>
            <w:tcBorders>
              <w:top w:val="nil"/>
              <w:left w:val="nil"/>
              <w:bottom w:val="nil"/>
              <w:right w:val="nil"/>
            </w:tcBorders>
            <w:shd w:val="clear" w:color="auto" w:fill="auto"/>
            <w:noWrap/>
            <w:vAlign w:val="center"/>
            <w:hideMark/>
          </w:tcPr>
          <w:p w14:paraId="2BC73D1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w:t>
            </w:r>
          </w:p>
        </w:tc>
        <w:tc>
          <w:tcPr>
            <w:tcW w:w="926" w:type="dxa"/>
            <w:tcBorders>
              <w:top w:val="nil"/>
              <w:left w:val="nil"/>
              <w:bottom w:val="nil"/>
              <w:right w:val="nil"/>
            </w:tcBorders>
            <w:shd w:val="clear" w:color="auto" w:fill="auto"/>
            <w:noWrap/>
            <w:vAlign w:val="center"/>
            <w:hideMark/>
          </w:tcPr>
          <w:p w14:paraId="15809DE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w:t>
            </w:r>
          </w:p>
        </w:tc>
      </w:tr>
      <w:tr w:rsidR="00422A00" w:rsidRPr="00DC7986" w14:paraId="25FEAC1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0BF17A29"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Cladosporium </w:t>
            </w:r>
            <w:proofErr w:type="spellStart"/>
            <w:r w:rsidRPr="00AC4A03">
              <w:rPr>
                <w:rFonts w:ascii="Times New Roman" w:eastAsia="Times New Roman" w:hAnsi="Times New Roman" w:cs="Times New Roman"/>
                <w:i/>
                <w:iCs/>
                <w:color w:val="000000"/>
                <w:sz w:val="18"/>
                <w:szCs w:val="18"/>
              </w:rPr>
              <w:t>flabelliforme</w:t>
            </w:r>
            <w:proofErr w:type="spellEnd"/>
          </w:p>
        </w:tc>
        <w:tc>
          <w:tcPr>
            <w:tcW w:w="1008" w:type="dxa"/>
            <w:tcBorders>
              <w:top w:val="nil"/>
              <w:left w:val="nil"/>
              <w:bottom w:val="nil"/>
              <w:right w:val="nil"/>
            </w:tcBorders>
            <w:shd w:val="clear" w:color="auto" w:fill="auto"/>
            <w:noWrap/>
            <w:vAlign w:val="center"/>
            <w:hideMark/>
          </w:tcPr>
          <w:p w14:paraId="49E8388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14</w:t>
            </w:r>
          </w:p>
        </w:tc>
        <w:tc>
          <w:tcPr>
            <w:tcW w:w="810" w:type="dxa"/>
            <w:tcBorders>
              <w:top w:val="nil"/>
              <w:left w:val="nil"/>
              <w:bottom w:val="nil"/>
              <w:right w:val="nil"/>
            </w:tcBorders>
            <w:shd w:val="clear" w:color="auto" w:fill="auto"/>
            <w:noWrap/>
            <w:vAlign w:val="center"/>
            <w:hideMark/>
          </w:tcPr>
          <w:p w14:paraId="6CCDAEB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w:t>
            </w:r>
          </w:p>
        </w:tc>
        <w:tc>
          <w:tcPr>
            <w:tcW w:w="720" w:type="dxa"/>
            <w:tcBorders>
              <w:top w:val="nil"/>
              <w:left w:val="nil"/>
              <w:bottom w:val="nil"/>
              <w:right w:val="nil"/>
            </w:tcBorders>
            <w:shd w:val="clear" w:color="auto" w:fill="auto"/>
            <w:noWrap/>
            <w:vAlign w:val="center"/>
            <w:hideMark/>
          </w:tcPr>
          <w:p w14:paraId="29B53E1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1170" w:type="dxa"/>
            <w:tcBorders>
              <w:top w:val="nil"/>
              <w:left w:val="nil"/>
              <w:bottom w:val="nil"/>
              <w:right w:val="nil"/>
            </w:tcBorders>
            <w:shd w:val="clear" w:color="auto" w:fill="auto"/>
            <w:noWrap/>
            <w:vAlign w:val="center"/>
            <w:hideMark/>
          </w:tcPr>
          <w:p w14:paraId="291B991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22CD3C6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62</w:t>
            </w:r>
          </w:p>
        </w:tc>
        <w:tc>
          <w:tcPr>
            <w:tcW w:w="926" w:type="dxa"/>
            <w:tcBorders>
              <w:top w:val="nil"/>
              <w:left w:val="nil"/>
              <w:bottom w:val="nil"/>
              <w:right w:val="nil"/>
            </w:tcBorders>
            <w:shd w:val="clear" w:color="auto" w:fill="auto"/>
            <w:noWrap/>
            <w:vAlign w:val="center"/>
            <w:hideMark/>
          </w:tcPr>
          <w:p w14:paraId="36924F7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r>
      <w:tr w:rsidR="00422A00" w:rsidRPr="00DC7986" w14:paraId="6017491D"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361BF858"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Vanrija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albida</w:t>
            </w:r>
            <w:proofErr w:type="spellEnd"/>
          </w:p>
        </w:tc>
        <w:tc>
          <w:tcPr>
            <w:tcW w:w="1008" w:type="dxa"/>
            <w:tcBorders>
              <w:top w:val="nil"/>
              <w:left w:val="nil"/>
              <w:bottom w:val="nil"/>
              <w:right w:val="nil"/>
            </w:tcBorders>
            <w:shd w:val="clear" w:color="auto" w:fill="auto"/>
            <w:noWrap/>
            <w:vAlign w:val="center"/>
            <w:hideMark/>
          </w:tcPr>
          <w:p w14:paraId="6A131E9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13</w:t>
            </w:r>
          </w:p>
        </w:tc>
        <w:tc>
          <w:tcPr>
            <w:tcW w:w="810" w:type="dxa"/>
            <w:tcBorders>
              <w:top w:val="nil"/>
              <w:left w:val="nil"/>
              <w:bottom w:val="nil"/>
              <w:right w:val="nil"/>
            </w:tcBorders>
            <w:shd w:val="clear" w:color="auto" w:fill="auto"/>
            <w:noWrap/>
            <w:vAlign w:val="center"/>
            <w:hideMark/>
          </w:tcPr>
          <w:p w14:paraId="7A89396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w:t>
            </w:r>
          </w:p>
        </w:tc>
        <w:tc>
          <w:tcPr>
            <w:tcW w:w="720" w:type="dxa"/>
            <w:tcBorders>
              <w:top w:val="nil"/>
              <w:left w:val="nil"/>
              <w:bottom w:val="nil"/>
              <w:right w:val="nil"/>
            </w:tcBorders>
            <w:shd w:val="clear" w:color="auto" w:fill="auto"/>
            <w:noWrap/>
            <w:vAlign w:val="center"/>
            <w:hideMark/>
          </w:tcPr>
          <w:p w14:paraId="7D6D221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18</w:t>
            </w:r>
          </w:p>
        </w:tc>
        <w:tc>
          <w:tcPr>
            <w:tcW w:w="1170" w:type="dxa"/>
            <w:tcBorders>
              <w:top w:val="nil"/>
              <w:left w:val="nil"/>
              <w:bottom w:val="nil"/>
              <w:right w:val="nil"/>
            </w:tcBorders>
            <w:shd w:val="clear" w:color="auto" w:fill="auto"/>
            <w:noWrap/>
            <w:vAlign w:val="center"/>
            <w:hideMark/>
          </w:tcPr>
          <w:p w14:paraId="5EC2241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w:t>
            </w:r>
          </w:p>
        </w:tc>
        <w:tc>
          <w:tcPr>
            <w:tcW w:w="990" w:type="dxa"/>
            <w:tcBorders>
              <w:top w:val="nil"/>
              <w:left w:val="nil"/>
              <w:bottom w:val="nil"/>
              <w:right w:val="nil"/>
            </w:tcBorders>
            <w:shd w:val="clear" w:color="auto" w:fill="auto"/>
            <w:noWrap/>
            <w:vAlign w:val="center"/>
            <w:hideMark/>
          </w:tcPr>
          <w:p w14:paraId="58EEC4A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w:t>
            </w:r>
          </w:p>
        </w:tc>
        <w:tc>
          <w:tcPr>
            <w:tcW w:w="926" w:type="dxa"/>
            <w:tcBorders>
              <w:top w:val="nil"/>
              <w:left w:val="nil"/>
              <w:bottom w:val="nil"/>
              <w:right w:val="nil"/>
            </w:tcBorders>
            <w:shd w:val="clear" w:color="auto" w:fill="auto"/>
            <w:noWrap/>
            <w:vAlign w:val="center"/>
            <w:hideMark/>
          </w:tcPr>
          <w:p w14:paraId="5AFABC5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w:t>
            </w:r>
          </w:p>
        </w:tc>
      </w:tr>
      <w:tr w:rsidR="00422A00" w:rsidRPr="00DC7986" w14:paraId="556A4FE8"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85CC7A1"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Alternaria </w:t>
            </w:r>
            <w:proofErr w:type="spellStart"/>
            <w:r w:rsidRPr="00AC4A03">
              <w:rPr>
                <w:rFonts w:ascii="Times New Roman" w:eastAsia="Times New Roman" w:hAnsi="Times New Roman" w:cs="Times New Roman"/>
                <w:i/>
                <w:iCs/>
                <w:color w:val="000000"/>
                <w:sz w:val="18"/>
                <w:szCs w:val="18"/>
              </w:rPr>
              <w:t>alternata</w:t>
            </w:r>
            <w:proofErr w:type="spellEnd"/>
          </w:p>
        </w:tc>
        <w:tc>
          <w:tcPr>
            <w:tcW w:w="1008" w:type="dxa"/>
            <w:tcBorders>
              <w:top w:val="nil"/>
              <w:left w:val="nil"/>
              <w:bottom w:val="nil"/>
              <w:right w:val="nil"/>
            </w:tcBorders>
            <w:shd w:val="clear" w:color="auto" w:fill="auto"/>
            <w:noWrap/>
            <w:vAlign w:val="center"/>
            <w:hideMark/>
          </w:tcPr>
          <w:p w14:paraId="1A63737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w:t>
            </w:r>
          </w:p>
        </w:tc>
        <w:tc>
          <w:tcPr>
            <w:tcW w:w="810" w:type="dxa"/>
            <w:tcBorders>
              <w:top w:val="nil"/>
              <w:left w:val="nil"/>
              <w:bottom w:val="nil"/>
              <w:right w:val="nil"/>
            </w:tcBorders>
            <w:shd w:val="clear" w:color="auto" w:fill="auto"/>
            <w:noWrap/>
            <w:vAlign w:val="center"/>
            <w:hideMark/>
          </w:tcPr>
          <w:p w14:paraId="7452299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720" w:type="dxa"/>
            <w:tcBorders>
              <w:top w:val="nil"/>
              <w:left w:val="nil"/>
              <w:bottom w:val="nil"/>
              <w:right w:val="nil"/>
            </w:tcBorders>
            <w:shd w:val="clear" w:color="auto" w:fill="auto"/>
            <w:noWrap/>
            <w:vAlign w:val="center"/>
            <w:hideMark/>
          </w:tcPr>
          <w:p w14:paraId="0F12AC5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w:t>
            </w:r>
          </w:p>
        </w:tc>
        <w:tc>
          <w:tcPr>
            <w:tcW w:w="1170" w:type="dxa"/>
            <w:tcBorders>
              <w:top w:val="nil"/>
              <w:left w:val="nil"/>
              <w:bottom w:val="nil"/>
              <w:right w:val="nil"/>
            </w:tcBorders>
            <w:shd w:val="clear" w:color="auto" w:fill="auto"/>
            <w:noWrap/>
            <w:vAlign w:val="center"/>
            <w:hideMark/>
          </w:tcPr>
          <w:p w14:paraId="5A6A9D2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471CFF8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53</w:t>
            </w:r>
          </w:p>
        </w:tc>
        <w:tc>
          <w:tcPr>
            <w:tcW w:w="926" w:type="dxa"/>
            <w:tcBorders>
              <w:top w:val="nil"/>
              <w:left w:val="nil"/>
              <w:bottom w:val="nil"/>
              <w:right w:val="nil"/>
            </w:tcBorders>
            <w:shd w:val="clear" w:color="auto" w:fill="auto"/>
            <w:noWrap/>
            <w:vAlign w:val="center"/>
            <w:hideMark/>
          </w:tcPr>
          <w:p w14:paraId="3E837D4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r>
      <w:tr w:rsidR="00422A00" w:rsidRPr="00DC7986" w14:paraId="026E7214"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6A8850D1" w14:textId="77777777" w:rsidR="006E3A27" w:rsidRPr="00AC4A03" w:rsidRDefault="006E3A27" w:rsidP="00DC7986">
            <w:pPr>
              <w:spacing w:after="0" w:line="240" w:lineRule="auto"/>
              <w:rPr>
                <w:rFonts w:ascii="Times New Roman" w:eastAsia="Times New Roman" w:hAnsi="Times New Roman" w:cs="Times New Roman"/>
                <w:color w:val="000000"/>
                <w:sz w:val="18"/>
                <w:szCs w:val="18"/>
              </w:rPr>
            </w:pPr>
            <w:proofErr w:type="spellStart"/>
            <w:r w:rsidRPr="00AC4A03">
              <w:rPr>
                <w:rFonts w:ascii="Times New Roman" w:eastAsia="Times New Roman" w:hAnsi="Times New Roman" w:cs="Times New Roman"/>
                <w:i/>
                <w:iCs/>
                <w:color w:val="000000"/>
                <w:sz w:val="18"/>
                <w:szCs w:val="18"/>
              </w:rPr>
              <w:t>Phlebiopsis</w:t>
            </w:r>
            <w:proofErr w:type="spellEnd"/>
            <w:r w:rsidRPr="00AC4A03">
              <w:rPr>
                <w:rFonts w:ascii="Times New Roman" w:eastAsia="Times New Roman" w:hAnsi="Times New Roman" w:cs="Times New Roman"/>
                <w:color w:val="000000"/>
                <w:sz w:val="18"/>
                <w:szCs w:val="18"/>
              </w:rPr>
              <w:t xml:space="preserve"> sp.</w:t>
            </w:r>
          </w:p>
        </w:tc>
        <w:tc>
          <w:tcPr>
            <w:tcW w:w="1008" w:type="dxa"/>
            <w:tcBorders>
              <w:top w:val="nil"/>
              <w:left w:val="nil"/>
              <w:bottom w:val="nil"/>
              <w:right w:val="nil"/>
            </w:tcBorders>
            <w:shd w:val="clear" w:color="auto" w:fill="auto"/>
            <w:noWrap/>
            <w:vAlign w:val="center"/>
            <w:hideMark/>
          </w:tcPr>
          <w:p w14:paraId="0A91647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w:t>
            </w:r>
          </w:p>
        </w:tc>
        <w:tc>
          <w:tcPr>
            <w:tcW w:w="810" w:type="dxa"/>
            <w:tcBorders>
              <w:top w:val="nil"/>
              <w:left w:val="nil"/>
              <w:bottom w:val="nil"/>
              <w:right w:val="nil"/>
            </w:tcBorders>
            <w:shd w:val="clear" w:color="auto" w:fill="auto"/>
            <w:noWrap/>
            <w:vAlign w:val="center"/>
            <w:hideMark/>
          </w:tcPr>
          <w:p w14:paraId="06C779A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720" w:type="dxa"/>
            <w:tcBorders>
              <w:top w:val="nil"/>
              <w:left w:val="nil"/>
              <w:bottom w:val="nil"/>
              <w:right w:val="nil"/>
            </w:tcBorders>
            <w:shd w:val="clear" w:color="auto" w:fill="auto"/>
            <w:noWrap/>
            <w:vAlign w:val="center"/>
            <w:hideMark/>
          </w:tcPr>
          <w:p w14:paraId="2D92C86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7</w:t>
            </w:r>
          </w:p>
        </w:tc>
        <w:tc>
          <w:tcPr>
            <w:tcW w:w="1170" w:type="dxa"/>
            <w:tcBorders>
              <w:top w:val="nil"/>
              <w:left w:val="nil"/>
              <w:bottom w:val="nil"/>
              <w:right w:val="nil"/>
            </w:tcBorders>
            <w:shd w:val="clear" w:color="auto" w:fill="auto"/>
            <w:noWrap/>
            <w:vAlign w:val="center"/>
            <w:hideMark/>
          </w:tcPr>
          <w:p w14:paraId="731EA48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799AC71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w:t>
            </w:r>
          </w:p>
        </w:tc>
        <w:tc>
          <w:tcPr>
            <w:tcW w:w="926" w:type="dxa"/>
            <w:tcBorders>
              <w:top w:val="nil"/>
              <w:left w:val="nil"/>
              <w:bottom w:val="nil"/>
              <w:right w:val="nil"/>
            </w:tcBorders>
            <w:shd w:val="clear" w:color="auto" w:fill="auto"/>
            <w:noWrap/>
            <w:vAlign w:val="center"/>
            <w:hideMark/>
          </w:tcPr>
          <w:p w14:paraId="41D423C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17</w:t>
            </w:r>
          </w:p>
        </w:tc>
      </w:tr>
      <w:tr w:rsidR="00422A00" w:rsidRPr="00DC7986" w14:paraId="481CEE08"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621B0D61" w14:textId="77777777" w:rsidR="006E3A27" w:rsidRPr="00AC4A03" w:rsidRDefault="006E3A27" w:rsidP="00DC7986">
            <w:pPr>
              <w:spacing w:after="0" w:line="240" w:lineRule="auto"/>
              <w:rPr>
                <w:rFonts w:ascii="Times New Roman" w:eastAsia="Times New Roman" w:hAnsi="Times New Roman" w:cs="Times New Roman"/>
                <w:color w:val="000000"/>
                <w:sz w:val="18"/>
                <w:szCs w:val="18"/>
              </w:rPr>
            </w:pPr>
            <w:proofErr w:type="spellStart"/>
            <w:r w:rsidRPr="00AC4A03">
              <w:rPr>
                <w:rFonts w:ascii="Times New Roman" w:eastAsia="Times New Roman" w:hAnsi="Times New Roman" w:cs="Times New Roman"/>
                <w:i/>
                <w:iCs/>
                <w:color w:val="000000"/>
                <w:sz w:val="18"/>
                <w:szCs w:val="18"/>
              </w:rPr>
              <w:t>Pleosporales</w:t>
            </w:r>
            <w:proofErr w:type="spellEnd"/>
            <w:r w:rsidRPr="00AC4A03">
              <w:rPr>
                <w:rFonts w:ascii="Times New Roman" w:eastAsia="Times New Roman" w:hAnsi="Times New Roman" w:cs="Times New Roman"/>
                <w:color w:val="000000"/>
                <w:sz w:val="18"/>
                <w:szCs w:val="18"/>
              </w:rPr>
              <w:t xml:space="preserve"> sp.</w:t>
            </w:r>
          </w:p>
        </w:tc>
        <w:tc>
          <w:tcPr>
            <w:tcW w:w="1008" w:type="dxa"/>
            <w:tcBorders>
              <w:top w:val="nil"/>
              <w:left w:val="nil"/>
              <w:bottom w:val="nil"/>
              <w:right w:val="nil"/>
            </w:tcBorders>
            <w:shd w:val="clear" w:color="auto" w:fill="auto"/>
            <w:noWrap/>
            <w:vAlign w:val="center"/>
            <w:hideMark/>
          </w:tcPr>
          <w:p w14:paraId="42DD313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w:t>
            </w:r>
          </w:p>
        </w:tc>
        <w:tc>
          <w:tcPr>
            <w:tcW w:w="810" w:type="dxa"/>
            <w:tcBorders>
              <w:top w:val="nil"/>
              <w:left w:val="nil"/>
              <w:bottom w:val="nil"/>
              <w:right w:val="nil"/>
            </w:tcBorders>
            <w:shd w:val="clear" w:color="auto" w:fill="auto"/>
            <w:noWrap/>
            <w:vAlign w:val="center"/>
            <w:hideMark/>
          </w:tcPr>
          <w:p w14:paraId="3AB5AF7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720" w:type="dxa"/>
            <w:tcBorders>
              <w:top w:val="nil"/>
              <w:left w:val="nil"/>
              <w:bottom w:val="nil"/>
              <w:right w:val="nil"/>
            </w:tcBorders>
            <w:shd w:val="clear" w:color="auto" w:fill="auto"/>
            <w:noWrap/>
            <w:vAlign w:val="center"/>
            <w:hideMark/>
          </w:tcPr>
          <w:p w14:paraId="67197A0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12</w:t>
            </w:r>
          </w:p>
        </w:tc>
        <w:tc>
          <w:tcPr>
            <w:tcW w:w="1170" w:type="dxa"/>
            <w:tcBorders>
              <w:top w:val="nil"/>
              <w:left w:val="nil"/>
              <w:bottom w:val="nil"/>
              <w:right w:val="nil"/>
            </w:tcBorders>
            <w:shd w:val="clear" w:color="auto" w:fill="auto"/>
            <w:noWrap/>
            <w:vAlign w:val="center"/>
            <w:hideMark/>
          </w:tcPr>
          <w:p w14:paraId="576BBD9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5</w:t>
            </w:r>
          </w:p>
        </w:tc>
        <w:tc>
          <w:tcPr>
            <w:tcW w:w="990" w:type="dxa"/>
            <w:tcBorders>
              <w:top w:val="nil"/>
              <w:left w:val="nil"/>
              <w:bottom w:val="nil"/>
              <w:right w:val="nil"/>
            </w:tcBorders>
            <w:shd w:val="clear" w:color="auto" w:fill="auto"/>
            <w:noWrap/>
            <w:vAlign w:val="center"/>
            <w:hideMark/>
          </w:tcPr>
          <w:p w14:paraId="5B55B35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926" w:type="dxa"/>
            <w:tcBorders>
              <w:top w:val="nil"/>
              <w:left w:val="nil"/>
              <w:bottom w:val="nil"/>
              <w:right w:val="nil"/>
            </w:tcBorders>
            <w:shd w:val="clear" w:color="auto" w:fill="auto"/>
            <w:noWrap/>
            <w:vAlign w:val="center"/>
            <w:hideMark/>
          </w:tcPr>
          <w:p w14:paraId="01CD9D6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w:t>
            </w:r>
          </w:p>
        </w:tc>
      </w:tr>
      <w:tr w:rsidR="00422A00" w:rsidRPr="00DC7986" w14:paraId="3884EC0A"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8E492C9" w14:textId="77777777" w:rsidR="006E3A27" w:rsidRPr="00AC4A03" w:rsidRDefault="006E3A27" w:rsidP="00DC7986">
            <w:pPr>
              <w:spacing w:after="0" w:line="240" w:lineRule="auto"/>
              <w:rPr>
                <w:rFonts w:ascii="Times New Roman" w:eastAsia="Times New Roman" w:hAnsi="Times New Roman" w:cs="Times New Roman"/>
                <w:color w:val="000000"/>
                <w:sz w:val="18"/>
                <w:szCs w:val="18"/>
              </w:rPr>
            </w:pPr>
            <w:r w:rsidRPr="00AC4A03">
              <w:rPr>
                <w:rFonts w:ascii="Times New Roman" w:eastAsia="Times New Roman" w:hAnsi="Times New Roman" w:cs="Times New Roman"/>
                <w:i/>
                <w:iCs/>
                <w:color w:val="000000"/>
                <w:sz w:val="18"/>
                <w:szCs w:val="18"/>
              </w:rPr>
              <w:t>Trichoderma</w:t>
            </w:r>
            <w:r w:rsidRPr="00AC4A03">
              <w:rPr>
                <w:rFonts w:ascii="Times New Roman" w:eastAsia="Times New Roman" w:hAnsi="Times New Roman" w:cs="Times New Roman"/>
                <w:color w:val="000000"/>
                <w:sz w:val="18"/>
                <w:szCs w:val="18"/>
              </w:rPr>
              <w:t xml:space="preserve"> sp.</w:t>
            </w:r>
          </w:p>
        </w:tc>
        <w:tc>
          <w:tcPr>
            <w:tcW w:w="1008" w:type="dxa"/>
            <w:tcBorders>
              <w:top w:val="nil"/>
              <w:left w:val="nil"/>
              <w:bottom w:val="nil"/>
              <w:right w:val="nil"/>
            </w:tcBorders>
            <w:shd w:val="clear" w:color="auto" w:fill="auto"/>
            <w:noWrap/>
            <w:vAlign w:val="center"/>
            <w:hideMark/>
          </w:tcPr>
          <w:p w14:paraId="13DFE66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w:t>
            </w:r>
          </w:p>
        </w:tc>
        <w:tc>
          <w:tcPr>
            <w:tcW w:w="810" w:type="dxa"/>
            <w:tcBorders>
              <w:top w:val="nil"/>
              <w:left w:val="nil"/>
              <w:bottom w:val="nil"/>
              <w:right w:val="nil"/>
            </w:tcBorders>
            <w:shd w:val="clear" w:color="auto" w:fill="auto"/>
            <w:noWrap/>
            <w:vAlign w:val="center"/>
            <w:hideMark/>
          </w:tcPr>
          <w:p w14:paraId="0F9634B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w:t>
            </w:r>
          </w:p>
        </w:tc>
        <w:tc>
          <w:tcPr>
            <w:tcW w:w="720" w:type="dxa"/>
            <w:tcBorders>
              <w:top w:val="nil"/>
              <w:left w:val="nil"/>
              <w:bottom w:val="nil"/>
              <w:right w:val="nil"/>
            </w:tcBorders>
            <w:shd w:val="clear" w:color="auto" w:fill="auto"/>
            <w:noWrap/>
            <w:vAlign w:val="center"/>
            <w:hideMark/>
          </w:tcPr>
          <w:p w14:paraId="1072092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1170" w:type="dxa"/>
            <w:tcBorders>
              <w:top w:val="nil"/>
              <w:left w:val="nil"/>
              <w:bottom w:val="nil"/>
              <w:right w:val="nil"/>
            </w:tcBorders>
            <w:shd w:val="clear" w:color="auto" w:fill="auto"/>
            <w:noWrap/>
            <w:vAlign w:val="center"/>
            <w:hideMark/>
          </w:tcPr>
          <w:p w14:paraId="01D61CD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0E1D781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4</w:t>
            </w:r>
          </w:p>
        </w:tc>
        <w:tc>
          <w:tcPr>
            <w:tcW w:w="926" w:type="dxa"/>
            <w:tcBorders>
              <w:top w:val="nil"/>
              <w:left w:val="nil"/>
              <w:bottom w:val="nil"/>
              <w:right w:val="nil"/>
            </w:tcBorders>
            <w:shd w:val="clear" w:color="auto" w:fill="auto"/>
            <w:noWrap/>
            <w:vAlign w:val="center"/>
            <w:hideMark/>
          </w:tcPr>
          <w:p w14:paraId="1B94DA3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9</w:t>
            </w:r>
          </w:p>
        </w:tc>
      </w:tr>
      <w:tr w:rsidR="00422A00" w:rsidRPr="00DC7986" w14:paraId="392BC9CB"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5E6016F8"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Alternaria </w:t>
            </w:r>
            <w:proofErr w:type="spellStart"/>
            <w:r w:rsidRPr="00AC4A03">
              <w:rPr>
                <w:rFonts w:ascii="Times New Roman" w:eastAsia="Times New Roman" w:hAnsi="Times New Roman" w:cs="Times New Roman"/>
                <w:i/>
                <w:iCs/>
                <w:color w:val="000000"/>
                <w:sz w:val="18"/>
                <w:szCs w:val="18"/>
              </w:rPr>
              <w:t>dactylidicola</w:t>
            </w:r>
            <w:proofErr w:type="spellEnd"/>
          </w:p>
        </w:tc>
        <w:tc>
          <w:tcPr>
            <w:tcW w:w="1008" w:type="dxa"/>
            <w:tcBorders>
              <w:top w:val="nil"/>
              <w:left w:val="nil"/>
              <w:bottom w:val="nil"/>
              <w:right w:val="nil"/>
            </w:tcBorders>
            <w:shd w:val="clear" w:color="auto" w:fill="auto"/>
            <w:noWrap/>
            <w:vAlign w:val="center"/>
            <w:hideMark/>
          </w:tcPr>
          <w:p w14:paraId="275E120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5EE703B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5F85730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1D9A58D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454FEC2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12</w:t>
            </w:r>
          </w:p>
        </w:tc>
        <w:tc>
          <w:tcPr>
            <w:tcW w:w="926" w:type="dxa"/>
            <w:tcBorders>
              <w:top w:val="nil"/>
              <w:left w:val="nil"/>
              <w:bottom w:val="nil"/>
              <w:right w:val="nil"/>
            </w:tcBorders>
            <w:shd w:val="clear" w:color="auto" w:fill="auto"/>
            <w:noWrap/>
            <w:vAlign w:val="center"/>
            <w:hideMark/>
          </w:tcPr>
          <w:p w14:paraId="2623742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r>
      <w:tr w:rsidR="00422A00" w:rsidRPr="00DC7986" w14:paraId="00B9BAA4"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5FE9517A"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Trichoderma virens</w:t>
            </w:r>
          </w:p>
        </w:tc>
        <w:tc>
          <w:tcPr>
            <w:tcW w:w="1008" w:type="dxa"/>
            <w:tcBorders>
              <w:top w:val="nil"/>
              <w:left w:val="nil"/>
              <w:bottom w:val="nil"/>
              <w:right w:val="nil"/>
            </w:tcBorders>
            <w:shd w:val="clear" w:color="auto" w:fill="auto"/>
            <w:noWrap/>
            <w:vAlign w:val="center"/>
            <w:hideMark/>
          </w:tcPr>
          <w:p w14:paraId="14E7A24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1548E89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720" w:type="dxa"/>
            <w:tcBorders>
              <w:top w:val="nil"/>
              <w:left w:val="nil"/>
              <w:bottom w:val="nil"/>
              <w:right w:val="nil"/>
            </w:tcBorders>
            <w:shd w:val="clear" w:color="auto" w:fill="auto"/>
            <w:noWrap/>
            <w:vAlign w:val="center"/>
            <w:hideMark/>
          </w:tcPr>
          <w:p w14:paraId="290FB33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8</w:t>
            </w:r>
          </w:p>
        </w:tc>
        <w:tc>
          <w:tcPr>
            <w:tcW w:w="1170" w:type="dxa"/>
            <w:tcBorders>
              <w:top w:val="nil"/>
              <w:left w:val="nil"/>
              <w:bottom w:val="nil"/>
              <w:right w:val="nil"/>
            </w:tcBorders>
            <w:shd w:val="clear" w:color="auto" w:fill="auto"/>
            <w:noWrap/>
            <w:vAlign w:val="center"/>
            <w:hideMark/>
          </w:tcPr>
          <w:p w14:paraId="5A59F31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990" w:type="dxa"/>
            <w:tcBorders>
              <w:top w:val="nil"/>
              <w:left w:val="nil"/>
              <w:bottom w:val="nil"/>
              <w:right w:val="nil"/>
            </w:tcBorders>
            <w:shd w:val="clear" w:color="auto" w:fill="auto"/>
            <w:noWrap/>
            <w:vAlign w:val="center"/>
            <w:hideMark/>
          </w:tcPr>
          <w:p w14:paraId="47D0354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26" w:type="dxa"/>
            <w:tcBorders>
              <w:top w:val="nil"/>
              <w:left w:val="nil"/>
              <w:bottom w:val="nil"/>
              <w:right w:val="nil"/>
            </w:tcBorders>
            <w:shd w:val="clear" w:color="auto" w:fill="auto"/>
            <w:noWrap/>
            <w:vAlign w:val="center"/>
            <w:hideMark/>
          </w:tcPr>
          <w:p w14:paraId="19983F1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48301F76"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039D228"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Mucor fragilis</w:t>
            </w:r>
          </w:p>
        </w:tc>
        <w:tc>
          <w:tcPr>
            <w:tcW w:w="1008" w:type="dxa"/>
            <w:tcBorders>
              <w:top w:val="nil"/>
              <w:left w:val="nil"/>
              <w:bottom w:val="nil"/>
              <w:right w:val="nil"/>
            </w:tcBorders>
            <w:shd w:val="clear" w:color="auto" w:fill="auto"/>
            <w:noWrap/>
            <w:vAlign w:val="center"/>
            <w:hideMark/>
          </w:tcPr>
          <w:p w14:paraId="75404BA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w:t>
            </w:r>
          </w:p>
        </w:tc>
        <w:tc>
          <w:tcPr>
            <w:tcW w:w="810" w:type="dxa"/>
            <w:tcBorders>
              <w:top w:val="nil"/>
              <w:left w:val="nil"/>
              <w:bottom w:val="nil"/>
              <w:right w:val="nil"/>
            </w:tcBorders>
            <w:shd w:val="clear" w:color="auto" w:fill="auto"/>
            <w:noWrap/>
            <w:vAlign w:val="center"/>
            <w:hideMark/>
          </w:tcPr>
          <w:p w14:paraId="3EA34C7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720" w:type="dxa"/>
            <w:tcBorders>
              <w:top w:val="nil"/>
              <w:left w:val="nil"/>
              <w:bottom w:val="nil"/>
              <w:right w:val="nil"/>
            </w:tcBorders>
            <w:shd w:val="clear" w:color="auto" w:fill="auto"/>
            <w:noWrap/>
            <w:vAlign w:val="center"/>
            <w:hideMark/>
          </w:tcPr>
          <w:p w14:paraId="19B9426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6</w:t>
            </w:r>
          </w:p>
        </w:tc>
        <w:tc>
          <w:tcPr>
            <w:tcW w:w="1170" w:type="dxa"/>
            <w:tcBorders>
              <w:top w:val="nil"/>
              <w:left w:val="nil"/>
              <w:bottom w:val="nil"/>
              <w:right w:val="nil"/>
            </w:tcBorders>
            <w:shd w:val="clear" w:color="auto" w:fill="auto"/>
            <w:noWrap/>
            <w:vAlign w:val="center"/>
            <w:hideMark/>
          </w:tcPr>
          <w:p w14:paraId="7334523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3942CCB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26" w:type="dxa"/>
            <w:tcBorders>
              <w:top w:val="nil"/>
              <w:left w:val="nil"/>
              <w:bottom w:val="nil"/>
              <w:right w:val="nil"/>
            </w:tcBorders>
            <w:shd w:val="clear" w:color="auto" w:fill="auto"/>
            <w:noWrap/>
            <w:vAlign w:val="center"/>
            <w:hideMark/>
          </w:tcPr>
          <w:p w14:paraId="52B36B8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r>
      <w:tr w:rsidR="00422A00" w:rsidRPr="00DC7986" w14:paraId="7C7AF06A"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933C569"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Apiotrichum</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vadense</w:t>
            </w:r>
            <w:proofErr w:type="spellEnd"/>
          </w:p>
        </w:tc>
        <w:tc>
          <w:tcPr>
            <w:tcW w:w="1008" w:type="dxa"/>
            <w:tcBorders>
              <w:top w:val="nil"/>
              <w:left w:val="nil"/>
              <w:bottom w:val="nil"/>
              <w:right w:val="nil"/>
            </w:tcBorders>
            <w:shd w:val="clear" w:color="auto" w:fill="auto"/>
            <w:noWrap/>
            <w:vAlign w:val="center"/>
            <w:hideMark/>
          </w:tcPr>
          <w:p w14:paraId="52293B4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810" w:type="dxa"/>
            <w:tcBorders>
              <w:top w:val="nil"/>
              <w:left w:val="nil"/>
              <w:bottom w:val="nil"/>
              <w:right w:val="nil"/>
            </w:tcBorders>
            <w:shd w:val="clear" w:color="auto" w:fill="auto"/>
            <w:noWrap/>
            <w:vAlign w:val="center"/>
            <w:hideMark/>
          </w:tcPr>
          <w:p w14:paraId="12D4605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720" w:type="dxa"/>
            <w:tcBorders>
              <w:top w:val="nil"/>
              <w:left w:val="nil"/>
              <w:bottom w:val="nil"/>
              <w:right w:val="nil"/>
            </w:tcBorders>
            <w:shd w:val="clear" w:color="auto" w:fill="auto"/>
            <w:noWrap/>
            <w:vAlign w:val="center"/>
            <w:hideMark/>
          </w:tcPr>
          <w:p w14:paraId="78800CD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1170" w:type="dxa"/>
            <w:tcBorders>
              <w:top w:val="nil"/>
              <w:left w:val="nil"/>
              <w:bottom w:val="nil"/>
              <w:right w:val="nil"/>
            </w:tcBorders>
            <w:shd w:val="clear" w:color="auto" w:fill="auto"/>
            <w:noWrap/>
            <w:vAlign w:val="center"/>
            <w:hideMark/>
          </w:tcPr>
          <w:p w14:paraId="6379994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4AF923E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26" w:type="dxa"/>
            <w:tcBorders>
              <w:top w:val="nil"/>
              <w:left w:val="nil"/>
              <w:bottom w:val="nil"/>
              <w:right w:val="nil"/>
            </w:tcBorders>
            <w:shd w:val="clear" w:color="auto" w:fill="auto"/>
            <w:noWrap/>
            <w:vAlign w:val="center"/>
            <w:hideMark/>
          </w:tcPr>
          <w:p w14:paraId="52E37E8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r>
      <w:tr w:rsidR="00422A00" w:rsidRPr="00DC7986" w14:paraId="74348005"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36602C1"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Solicoccozyma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phenolica</w:t>
            </w:r>
            <w:proofErr w:type="spellEnd"/>
          </w:p>
        </w:tc>
        <w:tc>
          <w:tcPr>
            <w:tcW w:w="1008" w:type="dxa"/>
            <w:tcBorders>
              <w:top w:val="nil"/>
              <w:left w:val="nil"/>
              <w:bottom w:val="nil"/>
              <w:right w:val="nil"/>
            </w:tcBorders>
            <w:shd w:val="clear" w:color="auto" w:fill="auto"/>
            <w:noWrap/>
            <w:vAlign w:val="center"/>
            <w:hideMark/>
          </w:tcPr>
          <w:p w14:paraId="4B845D7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810" w:type="dxa"/>
            <w:tcBorders>
              <w:top w:val="nil"/>
              <w:left w:val="nil"/>
              <w:bottom w:val="nil"/>
              <w:right w:val="nil"/>
            </w:tcBorders>
            <w:shd w:val="clear" w:color="auto" w:fill="auto"/>
            <w:noWrap/>
            <w:vAlign w:val="center"/>
            <w:hideMark/>
          </w:tcPr>
          <w:p w14:paraId="300340C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720" w:type="dxa"/>
            <w:tcBorders>
              <w:top w:val="nil"/>
              <w:left w:val="nil"/>
              <w:bottom w:val="nil"/>
              <w:right w:val="nil"/>
            </w:tcBorders>
            <w:shd w:val="clear" w:color="auto" w:fill="auto"/>
            <w:noWrap/>
            <w:vAlign w:val="center"/>
            <w:hideMark/>
          </w:tcPr>
          <w:p w14:paraId="07D9E1C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4CB63E1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0678F32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691560E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r>
      <w:tr w:rsidR="00422A00" w:rsidRPr="00DC7986" w14:paraId="2CE9A0C9"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D203FCC"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Ascosphaera</w:t>
            </w:r>
            <w:proofErr w:type="spellEnd"/>
            <w:r w:rsidRPr="00AC4A03">
              <w:rPr>
                <w:rFonts w:ascii="Times New Roman" w:eastAsia="Times New Roman" w:hAnsi="Times New Roman" w:cs="Times New Roman"/>
                <w:i/>
                <w:iCs/>
                <w:color w:val="000000"/>
                <w:sz w:val="18"/>
                <w:szCs w:val="18"/>
              </w:rPr>
              <w:t xml:space="preserve"> major</w:t>
            </w:r>
          </w:p>
        </w:tc>
        <w:tc>
          <w:tcPr>
            <w:tcW w:w="1008" w:type="dxa"/>
            <w:tcBorders>
              <w:top w:val="nil"/>
              <w:left w:val="nil"/>
              <w:bottom w:val="nil"/>
              <w:right w:val="nil"/>
            </w:tcBorders>
            <w:shd w:val="clear" w:color="auto" w:fill="auto"/>
            <w:noWrap/>
            <w:vAlign w:val="center"/>
            <w:hideMark/>
          </w:tcPr>
          <w:p w14:paraId="793C31E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810" w:type="dxa"/>
            <w:tcBorders>
              <w:top w:val="nil"/>
              <w:left w:val="nil"/>
              <w:bottom w:val="nil"/>
              <w:right w:val="nil"/>
            </w:tcBorders>
            <w:shd w:val="clear" w:color="auto" w:fill="auto"/>
            <w:noWrap/>
            <w:vAlign w:val="center"/>
            <w:hideMark/>
          </w:tcPr>
          <w:p w14:paraId="1552442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100C733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48ADCF6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4EFAF0B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0BF0B8A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r>
      <w:tr w:rsidR="00422A00" w:rsidRPr="00DC7986" w14:paraId="7038135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9CA13FE"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Preussia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persica</w:t>
            </w:r>
            <w:proofErr w:type="spellEnd"/>
          </w:p>
        </w:tc>
        <w:tc>
          <w:tcPr>
            <w:tcW w:w="1008" w:type="dxa"/>
            <w:tcBorders>
              <w:top w:val="nil"/>
              <w:left w:val="nil"/>
              <w:bottom w:val="nil"/>
              <w:right w:val="nil"/>
            </w:tcBorders>
            <w:shd w:val="clear" w:color="auto" w:fill="auto"/>
            <w:noWrap/>
            <w:vAlign w:val="center"/>
            <w:hideMark/>
          </w:tcPr>
          <w:p w14:paraId="786DA9F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221F9AB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317F3AB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78FC6F5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07478BC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5EC96BC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02A65E3D"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324A17D1"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Malassezia </w:t>
            </w:r>
            <w:proofErr w:type="spellStart"/>
            <w:r w:rsidRPr="00AC4A03">
              <w:rPr>
                <w:rFonts w:ascii="Times New Roman" w:eastAsia="Times New Roman" w:hAnsi="Times New Roman" w:cs="Times New Roman"/>
                <w:i/>
                <w:iCs/>
                <w:color w:val="000000"/>
                <w:sz w:val="18"/>
                <w:szCs w:val="18"/>
              </w:rPr>
              <w:t>restricta</w:t>
            </w:r>
            <w:proofErr w:type="spellEnd"/>
          </w:p>
        </w:tc>
        <w:tc>
          <w:tcPr>
            <w:tcW w:w="1008" w:type="dxa"/>
            <w:tcBorders>
              <w:top w:val="nil"/>
              <w:left w:val="nil"/>
              <w:bottom w:val="nil"/>
              <w:right w:val="nil"/>
            </w:tcBorders>
            <w:shd w:val="clear" w:color="auto" w:fill="auto"/>
            <w:noWrap/>
            <w:vAlign w:val="center"/>
            <w:hideMark/>
          </w:tcPr>
          <w:p w14:paraId="5F807D7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5F5A6EE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720" w:type="dxa"/>
            <w:tcBorders>
              <w:top w:val="nil"/>
              <w:left w:val="nil"/>
              <w:bottom w:val="nil"/>
              <w:right w:val="nil"/>
            </w:tcBorders>
            <w:shd w:val="clear" w:color="auto" w:fill="auto"/>
            <w:noWrap/>
            <w:vAlign w:val="center"/>
            <w:hideMark/>
          </w:tcPr>
          <w:p w14:paraId="2B5DC65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2</w:t>
            </w:r>
          </w:p>
        </w:tc>
        <w:tc>
          <w:tcPr>
            <w:tcW w:w="1170" w:type="dxa"/>
            <w:tcBorders>
              <w:top w:val="nil"/>
              <w:left w:val="nil"/>
              <w:bottom w:val="nil"/>
              <w:right w:val="nil"/>
            </w:tcBorders>
            <w:shd w:val="clear" w:color="auto" w:fill="auto"/>
            <w:noWrap/>
            <w:vAlign w:val="center"/>
            <w:hideMark/>
          </w:tcPr>
          <w:p w14:paraId="478E244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3312DEF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26" w:type="dxa"/>
            <w:tcBorders>
              <w:top w:val="nil"/>
              <w:left w:val="nil"/>
              <w:bottom w:val="nil"/>
              <w:right w:val="nil"/>
            </w:tcBorders>
            <w:shd w:val="clear" w:color="auto" w:fill="auto"/>
            <w:noWrap/>
            <w:vAlign w:val="center"/>
            <w:hideMark/>
          </w:tcPr>
          <w:p w14:paraId="7600400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5A5E83D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4379F518"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Wallemia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peruviensis</w:t>
            </w:r>
            <w:proofErr w:type="spellEnd"/>
          </w:p>
        </w:tc>
        <w:tc>
          <w:tcPr>
            <w:tcW w:w="1008" w:type="dxa"/>
            <w:tcBorders>
              <w:top w:val="nil"/>
              <w:left w:val="nil"/>
              <w:bottom w:val="nil"/>
              <w:right w:val="nil"/>
            </w:tcBorders>
            <w:shd w:val="clear" w:color="auto" w:fill="auto"/>
            <w:noWrap/>
            <w:vAlign w:val="center"/>
            <w:hideMark/>
          </w:tcPr>
          <w:p w14:paraId="38BC76A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311FF85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328648F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64AA0A2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6A53DBD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2E24F1D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7ED43AB5"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76F3EA66"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Stachybotrys</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chartarum</w:t>
            </w:r>
            <w:proofErr w:type="spellEnd"/>
          </w:p>
        </w:tc>
        <w:tc>
          <w:tcPr>
            <w:tcW w:w="1008" w:type="dxa"/>
            <w:tcBorders>
              <w:top w:val="nil"/>
              <w:left w:val="nil"/>
              <w:bottom w:val="nil"/>
              <w:right w:val="nil"/>
            </w:tcBorders>
            <w:shd w:val="clear" w:color="auto" w:fill="auto"/>
            <w:noWrap/>
            <w:vAlign w:val="center"/>
            <w:hideMark/>
          </w:tcPr>
          <w:p w14:paraId="0674467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810" w:type="dxa"/>
            <w:tcBorders>
              <w:top w:val="nil"/>
              <w:left w:val="nil"/>
              <w:bottom w:val="nil"/>
              <w:right w:val="nil"/>
            </w:tcBorders>
            <w:shd w:val="clear" w:color="auto" w:fill="auto"/>
            <w:noWrap/>
            <w:vAlign w:val="center"/>
            <w:hideMark/>
          </w:tcPr>
          <w:p w14:paraId="35BFFD0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720" w:type="dxa"/>
            <w:tcBorders>
              <w:top w:val="nil"/>
              <w:left w:val="nil"/>
              <w:bottom w:val="nil"/>
              <w:right w:val="nil"/>
            </w:tcBorders>
            <w:shd w:val="clear" w:color="auto" w:fill="auto"/>
            <w:noWrap/>
            <w:vAlign w:val="center"/>
            <w:hideMark/>
          </w:tcPr>
          <w:p w14:paraId="2159C49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0BD6A0C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43E3C62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3</w:t>
            </w:r>
          </w:p>
        </w:tc>
        <w:tc>
          <w:tcPr>
            <w:tcW w:w="926" w:type="dxa"/>
            <w:tcBorders>
              <w:top w:val="nil"/>
              <w:left w:val="nil"/>
              <w:bottom w:val="nil"/>
              <w:right w:val="nil"/>
            </w:tcBorders>
            <w:shd w:val="clear" w:color="auto" w:fill="auto"/>
            <w:noWrap/>
            <w:vAlign w:val="center"/>
            <w:hideMark/>
          </w:tcPr>
          <w:p w14:paraId="1436367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7605406E"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2EDD3CE6"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Pyronema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domesticum</w:t>
            </w:r>
            <w:proofErr w:type="spellEnd"/>
          </w:p>
        </w:tc>
        <w:tc>
          <w:tcPr>
            <w:tcW w:w="1008" w:type="dxa"/>
            <w:tcBorders>
              <w:top w:val="nil"/>
              <w:left w:val="nil"/>
              <w:bottom w:val="nil"/>
              <w:right w:val="nil"/>
            </w:tcBorders>
            <w:shd w:val="clear" w:color="auto" w:fill="auto"/>
            <w:noWrap/>
            <w:vAlign w:val="center"/>
            <w:hideMark/>
          </w:tcPr>
          <w:p w14:paraId="787602D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810" w:type="dxa"/>
            <w:tcBorders>
              <w:top w:val="nil"/>
              <w:left w:val="nil"/>
              <w:bottom w:val="nil"/>
              <w:right w:val="nil"/>
            </w:tcBorders>
            <w:shd w:val="clear" w:color="auto" w:fill="auto"/>
            <w:noWrap/>
            <w:vAlign w:val="center"/>
            <w:hideMark/>
          </w:tcPr>
          <w:p w14:paraId="6258EB25"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0841C4E2"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5E2ACEC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2B4C208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2288D2A1"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r>
      <w:tr w:rsidR="00422A00" w:rsidRPr="00DC7986" w14:paraId="0980703A"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4285A2EA"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Meira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nashicola</w:t>
            </w:r>
            <w:proofErr w:type="spellEnd"/>
          </w:p>
        </w:tc>
        <w:tc>
          <w:tcPr>
            <w:tcW w:w="1008" w:type="dxa"/>
            <w:tcBorders>
              <w:top w:val="nil"/>
              <w:left w:val="nil"/>
              <w:bottom w:val="nil"/>
              <w:right w:val="nil"/>
            </w:tcBorders>
            <w:shd w:val="clear" w:color="auto" w:fill="auto"/>
            <w:noWrap/>
            <w:vAlign w:val="center"/>
            <w:hideMark/>
          </w:tcPr>
          <w:p w14:paraId="1BC7B4A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810" w:type="dxa"/>
            <w:tcBorders>
              <w:top w:val="nil"/>
              <w:left w:val="nil"/>
              <w:bottom w:val="nil"/>
              <w:right w:val="nil"/>
            </w:tcBorders>
            <w:shd w:val="clear" w:color="auto" w:fill="auto"/>
            <w:noWrap/>
            <w:vAlign w:val="center"/>
            <w:hideMark/>
          </w:tcPr>
          <w:p w14:paraId="576AA67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317FF7D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1554F00B"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76899B2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26" w:type="dxa"/>
            <w:tcBorders>
              <w:top w:val="nil"/>
              <w:left w:val="nil"/>
              <w:bottom w:val="nil"/>
              <w:right w:val="nil"/>
            </w:tcBorders>
            <w:shd w:val="clear" w:color="auto" w:fill="auto"/>
            <w:noWrap/>
            <w:vAlign w:val="center"/>
            <w:hideMark/>
          </w:tcPr>
          <w:p w14:paraId="18121A1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7B726182"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1F5E228F"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r w:rsidRPr="00AC4A03">
              <w:rPr>
                <w:rFonts w:ascii="Times New Roman" w:eastAsia="Times New Roman" w:hAnsi="Times New Roman" w:cs="Times New Roman"/>
                <w:i/>
                <w:iCs/>
                <w:color w:val="000000"/>
                <w:sz w:val="18"/>
                <w:szCs w:val="18"/>
              </w:rPr>
              <w:t xml:space="preserve">Chaetomium </w:t>
            </w:r>
            <w:proofErr w:type="spellStart"/>
            <w:r w:rsidRPr="00AC4A03">
              <w:rPr>
                <w:rFonts w:ascii="Times New Roman" w:eastAsia="Times New Roman" w:hAnsi="Times New Roman" w:cs="Times New Roman"/>
                <w:i/>
                <w:iCs/>
                <w:color w:val="000000"/>
                <w:sz w:val="18"/>
                <w:szCs w:val="18"/>
              </w:rPr>
              <w:t>afropilosum</w:t>
            </w:r>
            <w:proofErr w:type="spellEnd"/>
          </w:p>
        </w:tc>
        <w:tc>
          <w:tcPr>
            <w:tcW w:w="1008" w:type="dxa"/>
            <w:tcBorders>
              <w:top w:val="nil"/>
              <w:left w:val="nil"/>
              <w:bottom w:val="nil"/>
              <w:right w:val="nil"/>
            </w:tcBorders>
            <w:shd w:val="clear" w:color="auto" w:fill="auto"/>
            <w:noWrap/>
            <w:vAlign w:val="center"/>
            <w:hideMark/>
          </w:tcPr>
          <w:p w14:paraId="7960985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810" w:type="dxa"/>
            <w:tcBorders>
              <w:top w:val="nil"/>
              <w:left w:val="nil"/>
              <w:bottom w:val="nil"/>
              <w:right w:val="nil"/>
            </w:tcBorders>
            <w:shd w:val="clear" w:color="auto" w:fill="auto"/>
            <w:noWrap/>
            <w:vAlign w:val="center"/>
            <w:hideMark/>
          </w:tcPr>
          <w:p w14:paraId="09C1645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5B33984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1170" w:type="dxa"/>
            <w:tcBorders>
              <w:top w:val="nil"/>
              <w:left w:val="nil"/>
              <w:bottom w:val="nil"/>
              <w:right w:val="nil"/>
            </w:tcBorders>
            <w:shd w:val="clear" w:color="auto" w:fill="auto"/>
            <w:noWrap/>
            <w:vAlign w:val="center"/>
            <w:hideMark/>
          </w:tcPr>
          <w:p w14:paraId="6564BAFF"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90" w:type="dxa"/>
            <w:tcBorders>
              <w:top w:val="nil"/>
              <w:left w:val="nil"/>
              <w:bottom w:val="nil"/>
              <w:right w:val="nil"/>
            </w:tcBorders>
            <w:shd w:val="clear" w:color="auto" w:fill="auto"/>
            <w:noWrap/>
            <w:vAlign w:val="center"/>
            <w:hideMark/>
          </w:tcPr>
          <w:p w14:paraId="6466AA1E"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nil"/>
              <w:right w:val="nil"/>
            </w:tcBorders>
            <w:shd w:val="clear" w:color="auto" w:fill="auto"/>
            <w:noWrap/>
            <w:vAlign w:val="center"/>
            <w:hideMark/>
          </w:tcPr>
          <w:p w14:paraId="519926CD"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09039720" w14:textId="77777777" w:rsidTr="00896244">
        <w:trPr>
          <w:trHeight w:val="284"/>
          <w:jc w:val="center"/>
        </w:trPr>
        <w:tc>
          <w:tcPr>
            <w:tcW w:w="4111" w:type="dxa"/>
            <w:tcBorders>
              <w:top w:val="nil"/>
              <w:left w:val="nil"/>
              <w:bottom w:val="nil"/>
              <w:right w:val="nil"/>
            </w:tcBorders>
            <w:shd w:val="clear" w:color="auto" w:fill="auto"/>
            <w:noWrap/>
            <w:vAlign w:val="bottom"/>
            <w:hideMark/>
          </w:tcPr>
          <w:p w14:paraId="6E13ACAA"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Parmelia</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sulcata</w:t>
            </w:r>
            <w:proofErr w:type="spellEnd"/>
          </w:p>
        </w:tc>
        <w:tc>
          <w:tcPr>
            <w:tcW w:w="1008" w:type="dxa"/>
            <w:tcBorders>
              <w:top w:val="nil"/>
              <w:left w:val="nil"/>
              <w:bottom w:val="nil"/>
              <w:right w:val="nil"/>
            </w:tcBorders>
            <w:shd w:val="clear" w:color="auto" w:fill="auto"/>
            <w:noWrap/>
            <w:vAlign w:val="center"/>
            <w:hideMark/>
          </w:tcPr>
          <w:p w14:paraId="03D3DA17"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nil"/>
              <w:right w:val="nil"/>
            </w:tcBorders>
            <w:shd w:val="clear" w:color="auto" w:fill="auto"/>
            <w:noWrap/>
            <w:vAlign w:val="center"/>
            <w:hideMark/>
          </w:tcPr>
          <w:p w14:paraId="71626038"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720" w:type="dxa"/>
            <w:tcBorders>
              <w:top w:val="nil"/>
              <w:left w:val="nil"/>
              <w:bottom w:val="nil"/>
              <w:right w:val="nil"/>
            </w:tcBorders>
            <w:shd w:val="clear" w:color="auto" w:fill="auto"/>
            <w:noWrap/>
            <w:vAlign w:val="center"/>
            <w:hideMark/>
          </w:tcPr>
          <w:p w14:paraId="66124990"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nil"/>
              <w:right w:val="nil"/>
            </w:tcBorders>
            <w:shd w:val="clear" w:color="auto" w:fill="auto"/>
            <w:noWrap/>
            <w:vAlign w:val="center"/>
            <w:hideMark/>
          </w:tcPr>
          <w:p w14:paraId="669D180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nil"/>
              <w:right w:val="nil"/>
            </w:tcBorders>
            <w:shd w:val="clear" w:color="auto" w:fill="auto"/>
            <w:noWrap/>
            <w:vAlign w:val="center"/>
            <w:hideMark/>
          </w:tcPr>
          <w:p w14:paraId="33AF3136"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926" w:type="dxa"/>
            <w:tcBorders>
              <w:top w:val="nil"/>
              <w:left w:val="nil"/>
              <w:bottom w:val="nil"/>
              <w:right w:val="nil"/>
            </w:tcBorders>
            <w:shd w:val="clear" w:color="auto" w:fill="auto"/>
            <w:noWrap/>
            <w:vAlign w:val="center"/>
            <w:hideMark/>
          </w:tcPr>
          <w:p w14:paraId="62FFC3B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r w:rsidR="00422A00" w:rsidRPr="00DC7986" w14:paraId="46986C53" w14:textId="77777777" w:rsidTr="00896244">
        <w:trPr>
          <w:trHeight w:val="284"/>
          <w:jc w:val="center"/>
        </w:trPr>
        <w:tc>
          <w:tcPr>
            <w:tcW w:w="4111" w:type="dxa"/>
            <w:tcBorders>
              <w:top w:val="nil"/>
              <w:left w:val="nil"/>
              <w:bottom w:val="single" w:sz="4" w:space="0" w:color="auto"/>
              <w:right w:val="nil"/>
            </w:tcBorders>
            <w:shd w:val="clear" w:color="auto" w:fill="auto"/>
            <w:noWrap/>
            <w:vAlign w:val="bottom"/>
            <w:hideMark/>
          </w:tcPr>
          <w:p w14:paraId="69C96C15" w14:textId="77777777" w:rsidR="006E3A27" w:rsidRPr="00AC4A03" w:rsidRDefault="006E3A27" w:rsidP="00DC7986">
            <w:pPr>
              <w:spacing w:after="0" w:line="240" w:lineRule="auto"/>
              <w:rPr>
                <w:rFonts w:ascii="Times New Roman" w:eastAsia="Times New Roman" w:hAnsi="Times New Roman" w:cs="Times New Roman"/>
                <w:i/>
                <w:iCs/>
                <w:color w:val="000000"/>
                <w:sz w:val="18"/>
                <w:szCs w:val="18"/>
              </w:rPr>
            </w:pPr>
            <w:proofErr w:type="spellStart"/>
            <w:r w:rsidRPr="00AC4A03">
              <w:rPr>
                <w:rFonts w:ascii="Times New Roman" w:eastAsia="Times New Roman" w:hAnsi="Times New Roman" w:cs="Times New Roman"/>
                <w:i/>
                <w:iCs/>
                <w:color w:val="000000"/>
                <w:sz w:val="18"/>
                <w:szCs w:val="18"/>
              </w:rPr>
              <w:t>Umbelopsis</w:t>
            </w:r>
            <w:proofErr w:type="spellEnd"/>
            <w:r w:rsidRPr="00AC4A03">
              <w:rPr>
                <w:rFonts w:ascii="Times New Roman" w:eastAsia="Times New Roman" w:hAnsi="Times New Roman" w:cs="Times New Roman"/>
                <w:i/>
                <w:iCs/>
                <w:color w:val="000000"/>
                <w:sz w:val="18"/>
                <w:szCs w:val="18"/>
              </w:rPr>
              <w:t xml:space="preserve"> </w:t>
            </w:r>
            <w:proofErr w:type="spellStart"/>
            <w:r w:rsidRPr="00AC4A03">
              <w:rPr>
                <w:rFonts w:ascii="Times New Roman" w:eastAsia="Times New Roman" w:hAnsi="Times New Roman" w:cs="Times New Roman"/>
                <w:i/>
                <w:iCs/>
                <w:color w:val="000000"/>
                <w:sz w:val="18"/>
                <w:szCs w:val="18"/>
              </w:rPr>
              <w:t>dimorpha</w:t>
            </w:r>
            <w:proofErr w:type="spellEnd"/>
          </w:p>
        </w:tc>
        <w:tc>
          <w:tcPr>
            <w:tcW w:w="1008" w:type="dxa"/>
            <w:tcBorders>
              <w:top w:val="nil"/>
              <w:left w:val="nil"/>
              <w:bottom w:val="single" w:sz="4" w:space="0" w:color="auto"/>
              <w:right w:val="nil"/>
            </w:tcBorders>
            <w:shd w:val="clear" w:color="auto" w:fill="auto"/>
            <w:noWrap/>
            <w:vAlign w:val="center"/>
            <w:hideMark/>
          </w:tcPr>
          <w:p w14:paraId="6F444A14"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810" w:type="dxa"/>
            <w:tcBorders>
              <w:top w:val="nil"/>
              <w:left w:val="nil"/>
              <w:bottom w:val="single" w:sz="4" w:space="0" w:color="auto"/>
              <w:right w:val="nil"/>
            </w:tcBorders>
            <w:shd w:val="clear" w:color="auto" w:fill="auto"/>
            <w:noWrap/>
            <w:vAlign w:val="center"/>
            <w:hideMark/>
          </w:tcPr>
          <w:p w14:paraId="29DAC30C"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0</w:t>
            </w:r>
          </w:p>
        </w:tc>
        <w:tc>
          <w:tcPr>
            <w:tcW w:w="720" w:type="dxa"/>
            <w:tcBorders>
              <w:top w:val="nil"/>
              <w:left w:val="nil"/>
              <w:bottom w:val="single" w:sz="4" w:space="0" w:color="auto"/>
              <w:right w:val="nil"/>
            </w:tcBorders>
            <w:shd w:val="clear" w:color="auto" w:fill="auto"/>
            <w:noWrap/>
            <w:vAlign w:val="center"/>
            <w:hideMark/>
          </w:tcPr>
          <w:p w14:paraId="48797ED9"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1170" w:type="dxa"/>
            <w:tcBorders>
              <w:top w:val="nil"/>
              <w:left w:val="nil"/>
              <w:bottom w:val="single" w:sz="4" w:space="0" w:color="auto"/>
              <w:right w:val="nil"/>
            </w:tcBorders>
            <w:shd w:val="clear" w:color="auto" w:fill="auto"/>
            <w:noWrap/>
            <w:vAlign w:val="center"/>
            <w:hideMark/>
          </w:tcPr>
          <w:p w14:paraId="78041C5A"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90" w:type="dxa"/>
            <w:tcBorders>
              <w:top w:val="nil"/>
              <w:left w:val="nil"/>
              <w:bottom w:val="single" w:sz="4" w:space="0" w:color="auto"/>
              <w:right w:val="nil"/>
            </w:tcBorders>
            <w:shd w:val="clear" w:color="auto" w:fill="auto"/>
            <w:noWrap/>
            <w:vAlign w:val="center"/>
            <w:hideMark/>
          </w:tcPr>
          <w:p w14:paraId="50C09A8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c>
          <w:tcPr>
            <w:tcW w:w="926" w:type="dxa"/>
            <w:tcBorders>
              <w:top w:val="nil"/>
              <w:left w:val="nil"/>
              <w:bottom w:val="single" w:sz="4" w:space="0" w:color="auto"/>
              <w:right w:val="nil"/>
            </w:tcBorders>
            <w:shd w:val="clear" w:color="auto" w:fill="auto"/>
            <w:noWrap/>
            <w:vAlign w:val="center"/>
            <w:hideMark/>
          </w:tcPr>
          <w:p w14:paraId="07F46A23" w14:textId="77777777" w:rsidR="006E3A27" w:rsidRPr="00AC4A03" w:rsidRDefault="006E3A27" w:rsidP="00DC7986">
            <w:pPr>
              <w:spacing w:after="0" w:line="240" w:lineRule="auto"/>
              <w:jc w:val="center"/>
              <w:rPr>
                <w:rFonts w:ascii="Times New Roman" w:eastAsia="Times New Roman" w:hAnsi="Times New Roman" w:cs="Times New Roman"/>
                <w:color w:val="000000"/>
                <w:sz w:val="18"/>
                <w:szCs w:val="18"/>
              </w:rPr>
            </w:pPr>
            <w:r w:rsidRPr="00AC4A03">
              <w:rPr>
                <w:rFonts w:ascii="Times New Roman" w:eastAsia="Times New Roman" w:hAnsi="Times New Roman" w:cs="Times New Roman"/>
                <w:color w:val="000000"/>
                <w:sz w:val="18"/>
                <w:szCs w:val="18"/>
              </w:rPr>
              <w:t>1</w:t>
            </w:r>
          </w:p>
        </w:tc>
      </w:tr>
    </w:tbl>
    <w:p w14:paraId="341CBFBC" w14:textId="74D8F8F3" w:rsidR="00AE1AE6" w:rsidRPr="00AC4A03" w:rsidRDefault="00AE1AE6" w:rsidP="00505CEA">
      <w:pPr>
        <w:spacing w:after="0" w:line="360" w:lineRule="auto"/>
        <w:rPr>
          <w:rFonts w:ascii="Times New Roman" w:hAnsi="Times New Roman" w:cs="Times New Roman"/>
          <w:sz w:val="24"/>
        </w:rPr>
      </w:pPr>
      <w:r w:rsidRPr="00AC4A03">
        <w:rPr>
          <w:rFonts w:ascii="Times New Roman" w:hAnsi="Times New Roman" w:cs="Times New Roman"/>
        </w:rPr>
        <w:br w:type="page"/>
      </w:r>
      <w:r w:rsidRPr="00AC4A03">
        <w:rPr>
          <w:rFonts w:ascii="Times New Roman" w:hAnsi="Times New Roman" w:cs="Times New Roman"/>
          <w:b/>
          <w:bCs/>
          <w:sz w:val="24"/>
        </w:rPr>
        <w:lastRenderedPageBreak/>
        <w:t xml:space="preserve">Exploratory infection experiment comprising pooled fractions of airborne and surface spores </w:t>
      </w:r>
      <w:r w:rsidR="00422A00" w:rsidRPr="00AC4A03">
        <w:rPr>
          <w:rFonts w:ascii="Times New Roman" w:hAnsi="Times New Roman" w:cs="Times New Roman"/>
          <w:b/>
          <w:bCs/>
          <w:sz w:val="24"/>
        </w:rPr>
        <w:t xml:space="preserve">collected </w:t>
      </w:r>
      <w:r w:rsidRPr="00AC4A03">
        <w:rPr>
          <w:rFonts w:ascii="Times New Roman" w:hAnsi="Times New Roman" w:cs="Times New Roman"/>
          <w:b/>
          <w:bCs/>
          <w:sz w:val="24"/>
        </w:rPr>
        <w:t>upon MC3000 cultivation</w:t>
      </w:r>
    </w:p>
    <w:p w14:paraId="4DF46564" w14:textId="13806444" w:rsidR="00AE1AE6" w:rsidRPr="00AC4A03" w:rsidRDefault="00422A00" w:rsidP="00505CEA">
      <w:pPr>
        <w:spacing w:after="0" w:line="360" w:lineRule="auto"/>
        <w:rPr>
          <w:rFonts w:ascii="Times New Roman" w:hAnsi="Times New Roman" w:cs="Times New Roman"/>
          <w:sz w:val="24"/>
        </w:rPr>
      </w:pPr>
      <w:r w:rsidRPr="00AC4A03">
        <w:rPr>
          <w:rFonts w:ascii="Times New Roman" w:hAnsi="Times New Roman" w:cs="Times New Roman"/>
          <w:sz w:val="24"/>
        </w:rPr>
        <w:t>W</w:t>
      </w:r>
      <w:r w:rsidR="00AE1AE6" w:rsidRPr="00AC4A03">
        <w:rPr>
          <w:rFonts w:ascii="Times New Roman" w:hAnsi="Times New Roman" w:cs="Times New Roman"/>
          <w:sz w:val="24"/>
        </w:rPr>
        <w:t>e performed infection experiments containing both fractions of spores (airborne and surface collected) pooled together as inoculum (10</w:t>
      </w:r>
      <w:r w:rsidR="009947DA" w:rsidRPr="00AC4A03">
        <w:rPr>
          <w:rFonts w:ascii="Times New Roman" w:hAnsi="Times New Roman" w:cs="Times New Roman"/>
          <w:sz w:val="24"/>
          <w:vertAlign w:val="superscript"/>
        </w:rPr>
        <w:t>7</w:t>
      </w:r>
      <w:r w:rsidR="00AE1AE6" w:rsidRPr="00AC4A03">
        <w:rPr>
          <w:rFonts w:ascii="Times New Roman" w:hAnsi="Times New Roman" w:cs="Times New Roman"/>
          <w:sz w:val="24"/>
        </w:rPr>
        <w:t xml:space="preserve"> spores </w:t>
      </w:r>
      <w:r w:rsidR="00AE1AE6" w:rsidRPr="00DC7986">
        <w:rPr>
          <w:rFonts w:ascii="Times New Roman" w:hAnsi="Times New Roman" w:cs="Times New Roman"/>
          <w:i/>
          <w:sz w:val="24"/>
        </w:rPr>
        <w:t>per</w:t>
      </w:r>
      <w:r w:rsidR="00AE1AE6" w:rsidRPr="00AC4A03">
        <w:rPr>
          <w:rFonts w:ascii="Times New Roman" w:hAnsi="Times New Roman" w:cs="Times New Roman"/>
          <w:sz w:val="24"/>
        </w:rPr>
        <w:t xml:space="preserve"> larva).</w:t>
      </w:r>
    </w:p>
    <w:p w14:paraId="33E27BDB" w14:textId="77777777" w:rsidR="00AE1AE6" w:rsidRPr="00AC4A03" w:rsidRDefault="00AE1AE6" w:rsidP="00505CEA">
      <w:pPr>
        <w:spacing w:after="0" w:line="360" w:lineRule="auto"/>
        <w:rPr>
          <w:rFonts w:ascii="Times New Roman" w:hAnsi="Times New Roman" w:cs="Times New Roman"/>
          <w:sz w:val="24"/>
        </w:rPr>
      </w:pPr>
    </w:p>
    <w:p w14:paraId="12B641D3" w14:textId="3FAB8968" w:rsidR="00AE1AE6" w:rsidRPr="00AC4A03" w:rsidRDefault="00AE1AE6" w:rsidP="00505CEA">
      <w:pPr>
        <w:spacing w:after="0" w:line="360" w:lineRule="auto"/>
        <w:rPr>
          <w:rFonts w:ascii="Times New Roman" w:hAnsi="Times New Roman" w:cs="Times New Roman"/>
          <w:sz w:val="24"/>
        </w:rPr>
      </w:pPr>
      <w:r w:rsidRPr="00AC4A03">
        <w:rPr>
          <w:rFonts w:ascii="Times New Roman" w:hAnsi="Times New Roman" w:cs="Times New Roman"/>
          <w:b/>
          <w:bCs/>
          <w:sz w:val="24"/>
        </w:rPr>
        <w:t>Table S2 –</w:t>
      </w:r>
      <w:r w:rsidRPr="00AC4A03">
        <w:rPr>
          <w:rFonts w:ascii="Times New Roman" w:hAnsi="Times New Roman" w:cs="Times New Roman"/>
          <w:sz w:val="24"/>
        </w:rPr>
        <w:t xml:space="preserve"> Survival rates of </w:t>
      </w:r>
      <w:r w:rsidRPr="00AC4A03">
        <w:rPr>
          <w:rFonts w:ascii="Times New Roman" w:hAnsi="Times New Roman" w:cs="Times New Roman"/>
          <w:i/>
          <w:iCs/>
          <w:sz w:val="24"/>
        </w:rPr>
        <w:t>Galleria mellonella</w:t>
      </w:r>
      <w:r w:rsidRPr="00AC4A03">
        <w:rPr>
          <w:rFonts w:ascii="Times New Roman" w:hAnsi="Times New Roman" w:cs="Times New Roman"/>
          <w:sz w:val="24"/>
        </w:rPr>
        <w:t xml:space="preserve"> larvae after 24h of infection with pooled fractions (airborne and surface) collected upon MC3000 experiments.</w:t>
      </w:r>
    </w:p>
    <w:tbl>
      <w:tblPr>
        <w:tblW w:w="2835" w:type="dxa"/>
        <w:tblInd w:w="108" w:type="dxa"/>
        <w:tblLook w:val="04A0" w:firstRow="1" w:lastRow="0" w:firstColumn="1" w:lastColumn="0" w:noHBand="0" w:noVBand="1"/>
      </w:tblPr>
      <w:tblGrid>
        <w:gridCol w:w="1843"/>
        <w:gridCol w:w="1083"/>
      </w:tblGrid>
      <w:tr w:rsidR="00AE1AE6" w:rsidRPr="00AC4A03" w14:paraId="3AA7ED29" w14:textId="77777777" w:rsidTr="000B1C1D">
        <w:trPr>
          <w:trHeight w:val="300"/>
        </w:trPr>
        <w:tc>
          <w:tcPr>
            <w:tcW w:w="1843" w:type="dxa"/>
            <w:tcBorders>
              <w:top w:val="single" w:sz="4" w:space="0" w:color="auto"/>
              <w:left w:val="nil"/>
              <w:bottom w:val="single" w:sz="4" w:space="0" w:color="auto"/>
              <w:right w:val="nil"/>
            </w:tcBorders>
            <w:shd w:val="clear" w:color="auto" w:fill="auto"/>
            <w:noWrap/>
            <w:vAlign w:val="bottom"/>
            <w:hideMark/>
          </w:tcPr>
          <w:p w14:paraId="7507F724" w14:textId="77777777" w:rsidR="00AE1AE6" w:rsidRPr="00AC4A03" w:rsidRDefault="00AE1AE6" w:rsidP="00505CEA">
            <w:pPr>
              <w:spacing w:after="0" w:line="360" w:lineRule="auto"/>
              <w:rPr>
                <w:rFonts w:ascii="Times New Roman" w:eastAsia="Times New Roman" w:hAnsi="Times New Roman" w:cs="Times New Roman"/>
                <w:color w:val="000000"/>
                <w:sz w:val="24"/>
              </w:rPr>
            </w:pPr>
            <w:r w:rsidRPr="00AC4A03">
              <w:rPr>
                <w:rFonts w:ascii="Times New Roman" w:eastAsia="Times New Roman" w:hAnsi="Times New Roman" w:cs="Times New Roman"/>
                <w:color w:val="000000"/>
                <w:sz w:val="24"/>
              </w:rPr>
              <w:t> </w:t>
            </w:r>
          </w:p>
        </w:tc>
        <w:tc>
          <w:tcPr>
            <w:tcW w:w="992" w:type="dxa"/>
            <w:tcBorders>
              <w:top w:val="single" w:sz="4" w:space="0" w:color="auto"/>
              <w:left w:val="nil"/>
              <w:bottom w:val="single" w:sz="4" w:space="0" w:color="auto"/>
              <w:right w:val="nil"/>
            </w:tcBorders>
            <w:shd w:val="clear" w:color="auto" w:fill="auto"/>
            <w:noWrap/>
            <w:vAlign w:val="bottom"/>
            <w:hideMark/>
          </w:tcPr>
          <w:p w14:paraId="4DA128D2" w14:textId="77777777" w:rsidR="00AE1AE6" w:rsidRPr="00AC4A03" w:rsidRDefault="00AE1AE6" w:rsidP="00505CEA">
            <w:pPr>
              <w:spacing w:after="0" w:line="360" w:lineRule="auto"/>
              <w:jc w:val="center"/>
              <w:rPr>
                <w:rFonts w:ascii="Times New Roman" w:eastAsia="Times New Roman" w:hAnsi="Times New Roman" w:cs="Times New Roman"/>
                <w:b/>
                <w:bCs/>
                <w:color w:val="000000"/>
                <w:sz w:val="24"/>
              </w:rPr>
            </w:pPr>
            <w:r w:rsidRPr="00AC4A03">
              <w:rPr>
                <w:rFonts w:ascii="Times New Roman" w:eastAsia="Times New Roman" w:hAnsi="Times New Roman" w:cs="Times New Roman"/>
                <w:b/>
                <w:bCs/>
                <w:color w:val="000000"/>
                <w:sz w:val="24"/>
              </w:rPr>
              <w:t>Survival rates 24h (%)</w:t>
            </w:r>
          </w:p>
        </w:tc>
      </w:tr>
      <w:tr w:rsidR="00AE1AE6" w:rsidRPr="00AC4A03" w14:paraId="38C8D9C0" w14:textId="77777777" w:rsidTr="000B1C1D">
        <w:trPr>
          <w:trHeight w:val="300"/>
        </w:trPr>
        <w:tc>
          <w:tcPr>
            <w:tcW w:w="1843" w:type="dxa"/>
            <w:tcBorders>
              <w:top w:val="nil"/>
              <w:left w:val="nil"/>
              <w:bottom w:val="nil"/>
              <w:right w:val="nil"/>
            </w:tcBorders>
            <w:shd w:val="clear" w:color="auto" w:fill="auto"/>
            <w:noWrap/>
            <w:vAlign w:val="bottom"/>
            <w:hideMark/>
          </w:tcPr>
          <w:p w14:paraId="574214CF" w14:textId="77777777" w:rsidR="00AE1AE6" w:rsidRPr="00AC4A03" w:rsidRDefault="00AE1AE6" w:rsidP="00505CEA">
            <w:pPr>
              <w:spacing w:after="0" w:line="360" w:lineRule="auto"/>
              <w:rPr>
                <w:rFonts w:ascii="Times New Roman" w:eastAsia="Times New Roman" w:hAnsi="Times New Roman" w:cs="Times New Roman"/>
                <w:b/>
                <w:bCs/>
                <w:color w:val="000000"/>
                <w:sz w:val="24"/>
              </w:rPr>
            </w:pPr>
            <w:r w:rsidRPr="00AC4A03">
              <w:rPr>
                <w:rFonts w:ascii="Times New Roman" w:eastAsia="Times New Roman" w:hAnsi="Times New Roman" w:cs="Times New Roman"/>
                <w:b/>
                <w:bCs/>
                <w:color w:val="000000"/>
                <w:sz w:val="24"/>
              </w:rPr>
              <w:t>Blank</w:t>
            </w:r>
          </w:p>
        </w:tc>
        <w:tc>
          <w:tcPr>
            <w:tcW w:w="992" w:type="dxa"/>
            <w:tcBorders>
              <w:top w:val="nil"/>
              <w:left w:val="nil"/>
              <w:bottom w:val="nil"/>
              <w:right w:val="nil"/>
            </w:tcBorders>
            <w:shd w:val="clear" w:color="auto" w:fill="auto"/>
            <w:noWrap/>
            <w:vAlign w:val="bottom"/>
            <w:hideMark/>
          </w:tcPr>
          <w:p w14:paraId="1D253E04" w14:textId="77777777" w:rsidR="00AE1AE6" w:rsidRPr="00AC4A03" w:rsidRDefault="00AE1AE6" w:rsidP="00505CEA">
            <w:pPr>
              <w:spacing w:after="0" w:line="360" w:lineRule="auto"/>
              <w:jc w:val="center"/>
              <w:rPr>
                <w:rFonts w:ascii="Times New Roman" w:eastAsia="Times New Roman" w:hAnsi="Times New Roman" w:cs="Times New Roman"/>
                <w:color w:val="000000"/>
                <w:sz w:val="24"/>
              </w:rPr>
            </w:pPr>
            <w:r w:rsidRPr="00AC4A03">
              <w:rPr>
                <w:rFonts w:ascii="Times New Roman" w:eastAsia="Times New Roman" w:hAnsi="Times New Roman" w:cs="Times New Roman"/>
                <w:color w:val="000000"/>
                <w:sz w:val="24"/>
              </w:rPr>
              <w:t>100</w:t>
            </w:r>
          </w:p>
        </w:tc>
      </w:tr>
      <w:tr w:rsidR="00AE1AE6" w:rsidRPr="00AC4A03" w14:paraId="052DCCB4" w14:textId="77777777" w:rsidTr="000B1C1D">
        <w:trPr>
          <w:trHeight w:val="300"/>
        </w:trPr>
        <w:tc>
          <w:tcPr>
            <w:tcW w:w="1843" w:type="dxa"/>
            <w:tcBorders>
              <w:top w:val="nil"/>
              <w:left w:val="nil"/>
              <w:bottom w:val="nil"/>
              <w:right w:val="nil"/>
            </w:tcBorders>
            <w:shd w:val="clear" w:color="auto" w:fill="auto"/>
            <w:noWrap/>
            <w:vAlign w:val="bottom"/>
            <w:hideMark/>
          </w:tcPr>
          <w:p w14:paraId="0C565A5E" w14:textId="77777777" w:rsidR="00AE1AE6" w:rsidRPr="00AC4A03" w:rsidRDefault="00AE1AE6" w:rsidP="00505CEA">
            <w:pPr>
              <w:spacing w:after="0" w:line="360" w:lineRule="auto"/>
              <w:rPr>
                <w:rFonts w:ascii="Times New Roman" w:eastAsia="Times New Roman" w:hAnsi="Times New Roman" w:cs="Times New Roman"/>
                <w:b/>
                <w:bCs/>
                <w:color w:val="000000"/>
                <w:sz w:val="24"/>
              </w:rPr>
            </w:pPr>
            <w:r w:rsidRPr="00AC4A03">
              <w:rPr>
                <w:rFonts w:ascii="Times New Roman" w:eastAsia="Times New Roman" w:hAnsi="Times New Roman" w:cs="Times New Roman"/>
                <w:b/>
                <w:bCs/>
                <w:color w:val="000000"/>
                <w:sz w:val="24"/>
              </w:rPr>
              <w:t>Spores Control</w:t>
            </w:r>
          </w:p>
        </w:tc>
        <w:tc>
          <w:tcPr>
            <w:tcW w:w="992" w:type="dxa"/>
            <w:tcBorders>
              <w:top w:val="nil"/>
              <w:left w:val="nil"/>
              <w:bottom w:val="nil"/>
              <w:right w:val="nil"/>
            </w:tcBorders>
            <w:shd w:val="clear" w:color="auto" w:fill="auto"/>
            <w:noWrap/>
            <w:vAlign w:val="bottom"/>
            <w:hideMark/>
          </w:tcPr>
          <w:p w14:paraId="67D583CA" w14:textId="77777777" w:rsidR="00AE1AE6" w:rsidRPr="00AC4A03" w:rsidRDefault="00AE1AE6" w:rsidP="00505CEA">
            <w:pPr>
              <w:spacing w:after="0" w:line="360" w:lineRule="auto"/>
              <w:jc w:val="center"/>
              <w:rPr>
                <w:rFonts w:ascii="Times New Roman" w:eastAsia="Times New Roman" w:hAnsi="Times New Roman" w:cs="Times New Roman"/>
                <w:color w:val="000000"/>
                <w:sz w:val="24"/>
              </w:rPr>
            </w:pPr>
            <w:r w:rsidRPr="00AC4A03">
              <w:rPr>
                <w:rFonts w:ascii="Times New Roman" w:eastAsia="Times New Roman" w:hAnsi="Times New Roman" w:cs="Times New Roman"/>
                <w:color w:val="000000"/>
                <w:sz w:val="24"/>
              </w:rPr>
              <w:t>90</w:t>
            </w:r>
          </w:p>
        </w:tc>
      </w:tr>
      <w:tr w:rsidR="00AE1AE6" w:rsidRPr="00AC4A03" w14:paraId="60D74F8B" w14:textId="77777777" w:rsidTr="000B1C1D">
        <w:trPr>
          <w:trHeight w:val="300"/>
        </w:trPr>
        <w:tc>
          <w:tcPr>
            <w:tcW w:w="1843" w:type="dxa"/>
            <w:tcBorders>
              <w:top w:val="nil"/>
              <w:left w:val="nil"/>
              <w:bottom w:val="nil"/>
              <w:right w:val="nil"/>
            </w:tcBorders>
            <w:shd w:val="clear" w:color="auto" w:fill="auto"/>
            <w:noWrap/>
            <w:vAlign w:val="bottom"/>
            <w:hideMark/>
          </w:tcPr>
          <w:p w14:paraId="4912D395" w14:textId="77777777" w:rsidR="00AE1AE6" w:rsidRPr="00AC4A03" w:rsidRDefault="00AE1AE6" w:rsidP="00505CEA">
            <w:pPr>
              <w:spacing w:after="0" w:line="360" w:lineRule="auto"/>
              <w:rPr>
                <w:rFonts w:ascii="Times New Roman" w:eastAsia="Times New Roman" w:hAnsi="Times New Roman" w:cs="Times New Roman"/>
                <w:b/>
                <w:bCs/>
                <w:color w:val="000000"/>
                <w:sz w:val="24"/>
              </w:rPr>
            </w:pPr>
            <w:r w:rsidRPr="00AC4A03">
              <w:rPr>
                <w:rFonts w:ascii="Times New Roman" w:eastAsia="Times New Roman" w:hAnsi="Times New Roman" w:cs="Times New Roman"/>
                <w:b/>
                <w:bCs/>
                <w:color w:val="000000"/>
                <w:sz w:val="24"/>
              </w:rPr>
              <w:t>Spores PCP</w:t>
            </w:r>
          </w:p>
        </w:tc>
        <w:tc>
          <w:tcPr>
            <w:tcW w:w="992" w:type="dxa"/>
            <w:tcBorders>
              <w:top w:val="nil"/>
              <w:left w:val="nil"/>
              <w:bottom w:val="nil"/>
              <w:right w:val="nil"/>
            </w:tcBorders>
            <w:shd w:val="clear" w:color="auto" w:fill="auto"/>
            <w:noWrap/>
            <w:vAlign w:val="bottom"/>
            <w:hideMark/>
          </w:tcPr>
          <w:p w14:paraId="724BCBD3" w14:textId="77777777" w:rsidR="00AE1AE6" w:rsidRPr="00AC4A03" w:rsidRDefault="00AE1AE6" w:rsidP="00505CEA">
            <w:pPr>
              <w:spacing w:after="0" w:line="360" w:lineRule="auto"/>
              <w:jc w:val="center"/>
              <w:rPr>
                <w:rFonts w:ascii="Times New Roman" w:eastAsia="Times New Roman" w:hAnsi="Times New Roman" w:cs="Times New Roman"/>
                <w:color w:val="000000"/>
                <w:sz w:val="24"/>
              </w:rPr>
            </w:pPr>
            <w:r w:rsidRPr="00AC4A03">
              <w:rPr>
                <w:rFonts w:ascii="Times New Roman" w:eastAsia="Times New Roman" w:hAnsi="Times New Roman" w:cs="Times New Roman"/>
                <w:color w:val="000000"/>
                <w:sz w:val="24"/>
              </w:rPr>
              <w:t>10</w:t>
            </w:r>
          </w:p>
        </w:tc>
      </w:tr>
      <w:tr w:rsidR="00AE1AE6" w:rsidRPr="00AC4A03" w14:paraId="25465227" w14:textId="77777777" w:rsidTr="000B1C1D">
        <w:trPr>
          <w:trHeight w:val="300"/>
        </w:trPr>
        <w:tc>
          <w:tcPr>
            <w:tcW w:w="1843" w:type="dxa"/>
            <w:tcBorders>
              <w:top w:val="nil"/>
              <w:left w:val="nil"/>
              <w:bottom w:val="single" w:sz="4" w:space="0" w:color="auto"/>
              <w:right w:val="nil"/>
            </w:tcBorders>
            <w:shd w:val="clear" w:color="auto" w:fill="auto"/>
            <w:noWrap/>
            <w:vAlign w:val="bottom"/>
            <w:hideMark/>
          </w:tcPr>
          <w:p w14:paraId="3F1364EF" w14:textId="77777777" w:rsidR="00AE1AE6" w:rsidRPr="00AC4A03" w:rsidRDefault="00AE1AE6" w:rsidP="00505CEA">
            <w:pPr>
              <w:spacing w:after="0" w:line="360" w:lineRule="auto"/>
              <w:rPr>
                <w:rFonts w:ascii="Times New Roman" w:eastAsia="Times New Roman" w:hAnsi="Times New Roman" w:cs="Times New Roman"/>
                <w:b/>
                <w:bCs/>
                <w:color w:val="000000"/>
                <w:sz w:val="24"/>
              </w:rPr>
            </w:pPr>
            <w:r w:rsidRPr="00AC4A03">
              <w:rPr>
                <w:rFonts w:ascii="Times New Roman" w:eastAsia="Times New Roman" w:hAnsi="Times New Roman" w:cs="Times New Roman"/>
                <w:b/>
                <w:bCs/>
                <w:color w:val="000000"/>
                <w:sz w:val="24"/>
              </w:rPr>
              <w:t>Spores TCS</w:t>
            </w:r>
          </w:p>
        </w:tc>
        <w:tc>
          <w:tcPr>
            <w:tcW w:w="992" w:type="dxa"/>
            <w:tcBorders>
              <w:top w:val="nil"/>
              <w:left w:val="nil"/>
              <w:bottom w:val="single" w:sz="4" w:space="0" w:color="auto"/>
              <w:right w:val="nil"/>
            </w:tcBorders>
            <w:shd w:val="clear" w:color="auto" w:fill="auto"/>
            <w:noWrap/>
            <w:vAlign w:val="bottom"/>
            <w:hideMark/>
          </w:tcPr>
          <w:p w14:paraId="6613EBB4" w14:textId="77777777" w:rsidR="00AE1AE6" w:rsidRPr="00AC4A03" w:rsidRDefault="00AE1AE6" w:rsidP="00505CEA">
            <w:pPr>
              <w:spacing w:after="0" w:line="360" w:lineRule="auto"/>
              <w:jc w:val="center"/>
              <w:rPr>
                <w:rFonts w:ascii="Times New Roman" w:eastAsia="Times New Roman" w:hAnsi="Times New Roman" w:cs="Times New Roman"/>
                <w:color w:val="000000"/>
                <w:sz w:val="24"/>
              </w:rPr>
            </w:pPr>
            <w:r w:rsidRPr="00AC4A03">
              <w:rPr>
                <w:rFonts w:ascii="Times New Roman" w:eastAsia="Times New Roman" w:hAnsi="Times New Roman" w:cs="Times New Roman"/>
                <w:color w:val="000000"/>
                <w:sz w:val="24"/>
              </w:rPr>
              <w:t>0</w:t>
            </w:r>
          </w:p>
        </w:tc>
      </w:tr>
    </w:tbl>
    <w:p w14:paraId="15CA5C04" w14:textId="77777777" w:rsidR="00AE1AE6" w:rsidRPr="00AC4A03" w:rsidRDefault="00AE1AE6" w:rsidP="00505CEA">
      <w:pPr>
        <w:spacing w:after="0" w:line="360" w:lineRule="auto"/>
        <w:rPr>
          <w:rFonts w:ascii="Times New Roman" w:hAnsi="Times New Roman" w:cs="Times New Roman"/>
          <w:sz w:val="24"/>
        </w:rPr>
      </w:pPr>
    </w:p>
    <w:p w14:paraId="7A734B4D" w14:textId="7C8CE34D" w:rsidR="00AE1AE6" w:rsidRPr="00AC4A03" w:rsidRDefault="00AE1AE6" w:rsidP="00DC7986">
      <w:pPr>
        <w:spacing w:after="0" w:line="360" w:lineRule="auto"/>
        <w:jc w:val="both"/>
        <w:rPr>
          <w:rFonts w:ascii="Times New Roman" w:hAnsi="Times New Roman" w:cs="Times New Roman"/>
        </w:rPr>
      </w:pPr>
      <w:r w:rsidRPr="00AC4A03">
        <w:rPr>
          <w:rFonts w:ascii="Times New Roman" w:hAnsi="Times New Roman" w:cs="Times New Roman"/>
          <w:sz w:val="24"/>
        </w:rPr>
        <w:t xml:space="preserve">The experiment was stopped after 24h because almost all larvae inoculated with Test-inocula were dead. </w:t>
      </w:r>
      <w:r w:rsidR="00422A00" w:rsidRPr="00902969">
        <w:rPr>
          <w:rFonts w:ascii="Times New Roman" w:hAnsi="Times New Roman" w:cs="Times New Roman"/>
          <w:sz w:val="24"/>
        </w:rPr>
        <w:t>This result, together with the comparable sizes of airborne and deposited spores</w:t>
      </w:r>
      <w:r w:rsidR="00422A00" w:rsidRPr="00AC4A03">
        <w:rPr>
          <w:rFonts w:ascii="Times New Roman" w:hAnsi="Times New Roman" w:cs="Times New Roman"/>
          <w:sz w:val="24"/>
        </w:rPr>
        <w:t xml:space="preserve"> (Table S1), confirms the suitability of the airborne spore sub-population to monitor potential risks of exposure through inhalation.</w:t>
      </w:r>
    </w:p>
    <w:p w14:paraId="0C7A857C" w14:textId="5C8059F8" w:rsidR="00B13601" w:rsidRPr="00AC4A03" w:rsidRDefault="00B13601" w:rsidP="00505CEA">
      <w:pPr>
        <w:spacing w:after="0" w:line="360" w:lineRule="auto"/>
        <w:rPr>
          <w:rFonts w:ascii="Times New Roman" w:hAnsi="Times New Roman" w:cs="Times New Roman"/>
        </w:rPr>
      </w:pPr>
      <w:r w:rsidRPr="00AC4A03">
        <w:rPr>
          <w:rFonts w:ascii="Times New Roman" w:hAnsi="Times New Roman" w:cs="Times New Roman"/>
        </w:rPr>
        <w:br w:type="page"/>
      </w:r>
    </w:p>
    <w:p w14:paraId="4361B514" w14:textId="1B5BD5AE" w:rsidR="003A2B55" w:rsidRPr="00AC4A03" w:rsidRDefault="003A2B55" w:rsidP="00505CEA">
      <w:pPr>
        <w:pStyle w:val="Paragraph"/>
        <w:suppressAutoHyphens/>
        <w:spacing w:before="0" w:line="360" w:lineRule="auto"/>
        <w:ind w:firstLine="0"/>
        <w:contextualSpacing/>
        <w:jc w:val="both"/>
        <w:rPr>
          <w:b/>
          <w:bCs/>
          <w:lang w:val="en-GB"/>
        </w:rPr>
      </w:pPr>
      <w:bookmarkStart w:id="4" w:name="_Hlk117495149"/>
      <w:r w:rsidRPr="00AC4A03">
        <w:rPr>
          <w:b/>
          <w:bCs/>
          <w:lang w:val="en-GB"/>
        </w:rPr>
        <w:lastRenderedPageBreak/>
        <w:t xml:space="preserve">Expression of </w:t>
      </w:r>
      <w:r w:rsidRPr="00AC4A03">
        <w:rPr>
          <w:b/>
          <w:bCs/>
          <w:i/>
          <w:iCs/>
          <w:lang w:val="en-GB"/>
        </w:rPr>
        <w:t>G. mellonella</w:t>
      </w:r>
      <w:r w:rsidRPr="00AC4A03">
        <w:rPr>
          <w:b/>
          <w:bCs/>
          <w:lang w:val="en-GB"/>
        </w:rPr>
        <w:t xml:space="preserve"> antimicrobial peptides encoding genes</w:t>
      </w:r>
    </w:p>
    <w:bookmarkEnd w:id="4"/>
    <w:p w14:paraId="0E923660" w14:textId="182A6119" w:rsidR="003A2B55" w:rsidRPr="00AC4A03" w:rsidRDefault="003A2B55" w:rsidP="00505CEA">
      <w:pPr>
        <w:pStyle w:val="Paragraph"/>
        <w:suppressAutoHyphens/>
        <w:spacing w:before="0" w:line="360" w:lineRule="auto"/>
        <w:ind w:firstLine="0"/>
        <w:contextualSpacing/>
        <w:jc w:val="both"/>
        <w:rPr>
          <w:rFonts w:eastAsiaTheme="minorHAnsi"/>
          <w:lang w:val="en-GB"/>
        </w:rPr>
      </w:pPr>
      <w:r w:rsidRPr="00AC4A03">
        <w:rPr>
          <w:rFonts w:eastAsiaTheme="minorHAnsi"/>
          <w:lang w:val="en-GB"/>
        </w:rPr>
        <w:t xml:space="preserve">To assess the expression levels of antimicrobial peptides as response to infection with the airborne fungal spores collected at all conditions (tests and control), we performed </w:t>
      </w:r>
      <w:proofErr w:type="spellStart"/>
      <w:r w:rsidRPr="00DC7986">
        <w:rPr>
          <w:rFonts w:eastAsiaTheme="minorHAnsi"/>
          <w:i/>
          <w:lang w:val="en-GB"/>
        </w:rPr>
        <w:t>q</w:t>
      </w:r>
      <w:r w:rsidRPr="00AC4A03">
        <w:rPr>
          <w:rFonts w:eastAsiaTheme="minorHAnsi"/>
          <w:lang w:val="en-GB"/>
        </w:rPr>
        <w:t>RT</w:t>
      </w:r>
      <w:proofErr w:type="spellEnd"/>
      <w:r w:rsidRPr="00AC4A03">
        <w:rPr>
          <w:rFonts w:eastAsiaTheme="minorHAnsi"/>
          <w:lang w:val="en-GB"/>
        </w:rPr>
        <w:t xml:space="preserve">-PCR of the regions encoding </w:t>
      </w:r>
      <w:proofErr w:type="spellStart"/>
      <w:r w:rsidRPr="00AC4A03">
        <w:rPr>
          <w:rFonts w:eastAsiaTheme="minorHAnsi"/>
          <w:lang w:val="en-GB"/>
        </w:rPr>
        <w:t>gallerimycin</w:t>
      </w:r>
      <w:proofErr w:type="spellEnd"/>
      <w:r w:rsidRPr="00AC4A03">
        <w:rPr>
          <w:rFonts w:eastAsiaTheme="minorHAnsi"/>
          <w:lang w:val="en-GB"/>
        </w:rPr>
        <w:t xml:space="preserve">, inducible metalloproteinase inhibitor (IMPI), lysozyme and </w:t>
      </w:r>
      <w:proofErr w:type="spellStart"/>
      <w:r w:rsidRPr="00AC4A03">
        <w:rPr>
          <w:rFonts w:eastAsiaTheme="minorHAnsi"/>
          <w:lang w:val="en-GB"/>
        </w:rPr>
        <w:t>galliomycin</w:t>
      </w:r>
      <w:proofErr w:type="spellEnd"/>
      <w:r w:rsidRPr="00AC4A03">
        <w:rPr>
          <w:rFonts w:eastAsiaTheme="minorHAnsi"/>
          <w:lang w:val="en-GB"/>
        </w:rPr>
        <w:t xml:space="preserve"> as described above.</w:t>
      </w:r>
    </w:p>
    <w:p w14:paraId="2CDBB0E8" w14:textId="77777777" w:rsidR="003A2B55" w:rsidRPr="00AC4A03" w:rsidRDefault="003A2B55" w:rsidP="00505CEA">
      <w:pPr>
        <w:pStyle w:val="Paragraph"/>
        <w:suppressAutoHyphens/>
        <w:spacing w:before="0" w:line="360" w:lineRule="auto"/>
        <w:ind w:firstLine="0"/>
        <w:contextualSpacing/>
        <w:jc w:val="both"/>
        <w:rPr>
          <w:rFonts w:eastAsiaTheme="minorHAnsi"/>
          <w:lang w:val="en-GB"/>
        </w:rPr>
      </w:pPr>
    </w:p>
    <w:p w14:paraId="5C75711B" w14:textId="37E8D908" w:rsidR="003A2B55" w:rsidRPr="00AC4A03" w:rsidRDefault="003A2B55" w:rsidP="00505CEA">
      <w:pPr>
        <w:spacing w:after="0" w:line="360" w:lineRule="auto"/>
        <w:jc w:val="both"/>
        <w:rPr>
          <w:rFonts w:ascii="Times New Roman" w:hAnsi="Times New Roman" w:cs="Times New Roman"/>
          <w:sz w:val="24"/>
          <w:szCs w:val="24"/>
        </w:rPr>
      </w:pPr>
      <w:r w:rsidRPr="00DC7986">
        <w:rPr>
          <w:rFonts w:ascii="Times New Roman" w:eastAsia="Times New Roman" w:hAnsi="Times New Roman" w:cs="Times New Roman"/>
          <w:sz w:val="24"/>
          <w:szCs w:val="24"/>
          <w:u w:val="single"/>
        </w:rPr>
        <w:t>RNA extraction</w:t>
      </w:r>
      <w:r w:rsidR="00505CEA" w:rsidRPr="00AC4A03">
        <w:rPr>
          <w:rFonts w:ascii="Times New Roman" w:eastAsia="Times New Roman" w:hAnsi="Times New Roman" w:cs="Times New Roman"/>
          <w:i/>
          <w:sz w:val="24"/>
          <w:szCs w:val="24"/>
        </w:rPr>
        <w:t xml:space="preserve">. </w:t>
      </w:r>
      <w:r w:rsidRPr="00AC4A03">
        <w:rPr>
          <w:rFonts w:ascii="Times New Roman" w:hAnsi="Times New Roman" w:cs="Times New Roman"/>
          <w:sz w:val="24"/>
          <w:szCs w:val="24"/>
        </w:rPr>
        <w:t xml:space="preserve">For the extraction of RNA from </w:t>
      </w:r>
      <w:r w:rsidRPr="00AC4A03">
        <w:rPr>
          <w:rFonts w:ascii="Times New Roman" w:hAnsi="Times New Roman" w:cs="Times New Roman"/>
          <w:i/>
          <w:iCs/>
          <w:sz w:val="24"/>
          <w:szCs w:val="24"/>
        </w:rPr>
        <w:t>G. mellonella</w:t>
      </w:r>
      <w:r w:rsidRPr="00AC4A03">
        <w:rPr>
          <w:rFonts w:ascii="Times New Roman" w:hAnsi="Times New Roman" w:cs="Times New Roman"/>
          <w:sz w:val="24"/>
          <w:szCs w:val="24"/>
        </w:rPr>
        <w:t xml:space="preserve">, sets of </w:t>
      </w:r>
      <w:r w:rsidR="001B4902" w:rsidRPr="00902969">
        <w:rPr>
          <w:rFonts w:ascii="Times New Roman" w:hAnsi="Times New Roman" w:cs="Times New Roman"/>
          <w:sz w:val="24"/>
          <w:szCs w:val="24"/>
        </w:rPr>
        <w:t>2</w:t>
      </w:r>
      <w:r w:rsidRPr="00AC4A03">
        <w:rPr>
          <w:rFonts w:ascii="Times New Roman" w:hAnsi="Times New Roman" w:cs="Times New Roman"/>
          <w:sz w:val="24"/>
          <w:szCs w:val="24"/>
        </w:rPr>
        <w:t xml:space="preserve">0 larvae were infected as previously described for </w:t>
      </w:r>
      <w:r w:rsidRPr="00AC4A03">
        <w:rPr>
          <w:rFonts w:ascii="Times New Roman" w:hAnsi="Times New Roman" w:cs="Times New Roman"/>
          <w:i/>
          <w:iCs/>
          <w:sz w:val="24"/>
          <w:szCs w:val="24"/>
        </w:rPr>
        <w:t>in vivo</w:t>
      </w:r>
      <w:r w:rsidRPr="00AC4A03">
        <w:rPr>
          <w:rFonts w:ascii="Times New Roman" w:hAnsi="Times New Roman" w:cs="Times New Roman"/>
          <w:sz w:val="24"/>
          <w:szCs w:val="24"/>
        </w:rPr>
        <w:t xml:space="preserve"> infection</w:t>
      </w:r>
      <w:r w:rsidR="008907F4">
        <w:rPr>
          <w:rFonts w:ascii="Times New Roman" w:hAnsi="Times New Roman" w:cs="Times New Roman"/>
          <w:sz w:val="24"/>
          <w:szCs w:val="24"/>
        </w:rPr>
        <w:fldChar w:fldCharType="begin"/>
      </w:r>
      <w:r w:rsidR="00711FEA">
        <w:rPr>
          <w:rFonts w:ascii="Times New Roman" w:hAnsi="Times New Roman" w:cs="Times New Roman"/>
          <w:sz w:val="24"/>
          <w:szCs w:val="24"/>
        </w:rPr>
        <w:instrText xml:space="preserve"> ADDIN EN.CITE &lt;EndNote&gt;&lt;Cite&gt;&lt;Author&gt;Bárria&lt;/Author&gt;&lt;Year&gt;2022&lt;/Year&gt;&lt;RecNum&gt;69&lt;/RecNum&gt;&lt;DisplayText&gt;&lt;style face="superscript"&gt;13&lt;/style&gt;&lt;/DisplayText&gt;&lt;record&gt;&lt;rec-number&gt;69&lt;/rec-number&gt;&lt;foreign-keys&gt;&lt;key app="EN" db-id="2rfsx9rapweadwev95s5wwp5rf9aav0wzpfd" timestamp="1668072874"&gt;69&lt;/key&gt;&lt;/foreign-keys&gt;&lt;ref-type name="Journal Article"&gt;17&lt;/ref-type&gt;&lt;contributors&gt;&lt;authors&gt;&lt;author&gt;Bárria, Cátia&lt;/author&gt;&lt;author&gt;Mil-Homens, Dalila&lt;/author&gt;&lt;author&gt;Pinto, Sandra N&lt;/author&gt;&lt;author&gt;Fialho, Arsénio M&lt;/author&gt;&lt;author&gt;Arraiano, Cecília M&lt;/author&gt;&lt;author&gt;Domingues, Susana&lt;/author&gt;&lt;/authors&gt;&lt;/contributors&gt;&lt;titles&gt;&lt;title&gt;RNase R, a new virulence determinant of Streptococcus pneumoniae&lt;/title&gt;&lt;secondary-title&gt;Microorganisms&lt;/secondary-title&gt;&lt;/titles&gt;&lt;periodical&gt;&lt;full-title&gt;Microorganisms&lt;/full-title&gt;&lt;abbr-1&gt;Microorganisms&lt;/abbr-1&gt;&lt;/periodical&gt;&lt;pages&gt;317&lt;/pages&gt;&lt;volume&gt;10&lt;/volume&gt;&lt;number&gt;2&lt;/number&gt;&lt;dates&gt;&lt;year&gt;2022&lt;/year&gt;&lt;/dates&gt;&lt;isbn&gt;2076-2607&lt;/isbn&gt;&lt;urls&gt;&lt;/urls&gt;&lt;/record&gt;&lt;/Cite&gt;&lt;/EndNote&gt;</w:instrText>
      </w:r>
      <w:r w:rsidR="008907F4">
        <w:rPr>
          <w:rFonts w:ascii="Times New Roman" w:hAnsi="Times New Roman" w:cs="Times New Roman"/>
          <w:sz w:val="24"/>
          <w:szCs w:val="24"/>
        </w:rPr>
        <w:fldChar w:fldCharType="separate"/>
      </w:r>
      <w:r w:rsidR="00711FEA" w:rsidRPr="00711FEA">
        <w:rPr>
          <w:rFonts w:ascii="Times New Roman" w:hAnsi="Times New Roman" w:cs="Times New Roman"/>
          <w:noProof/>
          <w:sz w:val="24"/>
          <w:szCs w:val="24"/>
          <w:vertAlign w:val="superscript"/>
        </w:rPr>
        <w:t>13</w:t>
      </w:r>
      <w:r w:rsidR="008907F4">
        <w:rPr>
          <w:rFonts w:ascii="Times New Roman" w:hAnsi="Times New Roman" w:cs="Times New Roman"/>
          <w:sz w:val="24"/>
          <w:szCs w:val="24"/>
        </w:rPr>
        <w:fldChar w:fldCharType="end"/>
      </w:r>
      <w:r w:rsidRPr="00AC4A03">
        <w:rPr>
          <w:rFonts w:ascii="Times New Roman" w:hAnsi="Times New Roman" w:cs="Times New Roman"/>
          <w:sz w:val="24"/>
          <w:szCs w:val="24"/>
        </w:rPr>
        <w:t xml:space="preserve">. At 1, 4, 8, 12, and 24h after injection, three living larvae </w:t>
      </w:r>
      <w:r w:rsidRPr="00AC4A03">
        <w:rPr>
          <w:rFonts w:ascii="Times New Roman" w:hAnsi="Times New Roman" w:cs="Times New Roman"/>
          <w:i/>
          <w:sz w:val="24"/>
          <w:szCs w:val="24"/>
        </w:rPr>
        <w:t xml:space="preserve">per </w:t>
      </w:r>
      <w:r w:rsidRPr="00AC4A03">
        <w:rPr>
          <w:rFonts w:ascii="Times New Roman" w:hAnsi="Times New Roman" w:cs="Times New Roman"/>
          <w:sz w:val="24"/>
          <w:szCs w:val="24"/>
        </w:rPr>
        <w:t xml:space="preserve">set were cryopreserved, sliced, and homogenised in 1 mL of </w:t>
      </w:r>
      <w:proofErr w:type="spellStart"/>
      <w:r w:rsidRPr="00AC4A03">
        <w:rPr>
          <w:rFonts w:ascii="Times New Roman" w:hAnsi="Times New Roman" w:cs="Times New Roman"/>
          <w:sz w:val="24"/>
          <w:szCs w:val="24"/>
        </w:rPr>
        <w:t>TRIzol</w:t>
      </w:r>
      <w:proofErr w:type="spellEnd"/>
      <w:r w:rsidRPr="00AC4A03">
        <w:rPr>
          <w:rFonts w:ascii="Times New Roman" w:hAnsi="Times New Roman" w:cs="Times New Roman"/>
          <w:sz w:val="24"/>
          <w:szCs w:val="24"/>
        </w:rPr>
        <w:t xml:space="preserve"> reagent (Sigma-Aldrich, St. Louis, MO, USA). Whole-animal RNA was extracted according to the 'manufacturer's protocol. After extraction, RNA was treated with an RNase-free DNase set (Qiagen, Germantown, MD, USA). The purified RNA was quantified spectrophotometrically (</w:t>
      </w:r>
      <w:proofErr w:type="spellStart"/>
      <w:r w:rsidRPr="00AC4A03">
        <w:rPr>
          <w:rFonts w:ascii="Times New Roman" w:hAnsi="Times New Roman" w:cs="Times New Roman"/>
          <w:sz w:val="24"/>
          <w:szCs w:val="24"/>
        </w:rPr>
        <w:t>NanoDrop</w:t>
      </w:r>
      <w:proofErr w:type="spellEnd"/>
      <w:r w:rsidRPr="00AC4A03">
        <w:rPr>
          <w:rFonts w:ascii="Times New Roman" w:hAnsi="Times New Roman" w:cs="Times New Roman"/>
          <w:sz w:val="24"/>
          <w:szCs w:val="24"/>
        </w:rPr>
        <w:t xml:space="preserve"> ND-1000, Wilmington, DE, USA). RNA integrity was evaluated by gel electrophoresis and RNA concentration was estimated using a Nanodrop 1000 machine (Nanodrop </w:t>
      </w:r>
      <w:proofErr w:type="spellStart"/>
      <w:proofErr w:type="gramStart"/>
      <w:r w:rsidRPr="00AC4A03">
        <w:rPr>
          <w:rFonts w:ascii="Times New Roman" w:hAnsi="Times New Roman" w:cs="Times New Roman"/>
          <w:sz w:val="24"/>
          <w:szCs w:val="24"/>
        </w:rPr>
        <w:t>Technologies,Wilmington</w:t>
      </w:r>
      <w:proofErr w:type="spellEnd"/>
      <w:proofErr w:type="gramEnd"/>
      <w:r w:rsidRPr="00AC4A03">
        <w:rPr>
          <w:rFonts w:ascii="Times New Roman" w:hAnsi="Times New Roman" w:cs="Times New Roman"/>
          <w:sz w:val="24"/>
          <w:szCs w:val="24"/>
        </w:rPr>
        <w:t>, DE, USA).</w:t>
      </w:r>
    </w:p>
    <w:p w14:paraId="0D70E169" w14:textId="014F739A" w:rsidR="003A2B55" w:rsidRPr="00AC4A03" w:rsidRDefault="003A2B55" w:rsidP="00505CEA">
      <w:pPr>
        <w:pStyle w:val="Paragraph"/>
        <w:suppressAutoHyphens/>
        <w:spacing w:before="0" w:line="360" w:lineRule="auto"/>
        <w:ind w:firstLine="0"/>
        <w:jc w:val="both"/>
        <w:rPr>
          <w:color w:val="548DD4" w:themeColor="text2" w:themeTint="99"/>
          <w:lang w:val="en-GB"/>
        </w:rPr>
      </w:pPr>
      <w:r w:rsidRPr="00DC7986">
        <w:rPr>
          <w:u w:val="single"/>
        </w:rPr>
        <w:t>Quantitative Real-Time PCR</w:t>
      </w:r>
      <w:r w:rsidR="00505CEA" w:rsidRPr="00AC4A03">
        <w:rPr>
          <w:i/>
        </w:rPr>
        <w:t xml:space="preserve">. </w:t>
      </w:r>
      <w:r w:rsidRPr="00AC4A03">
        <w:rPr>
          <w:lang w:val="en-GB"/>
        </w:rPr>
        <w:t xml:space="preserve">Reverse transcription coupled with quantitative PCR (RT-qPCR) was performed with a Real Time Thermal Cycler </w:t>
      </w:r>
      <w:proofErr w:type="spellStart"/>
      <w:r w:rsidRPr="00AC4A03">
        <w:rPr>
          <w:lang w:val="en-GB"/>
        </w:rPr>
        <w:t>qTower</w:t>
      </w:r>
      <w:proofErr w:type="spellEnd"/>
      <w:r w:rsidRPr="00AC4A03">
        <w:rPr>
          <w:lang w:val="en-GB"/>
        </w:rPr>
        <w:t xml:space="preserve"> system (</w:t>
      </w:r>
      <w:proofErr w:type="spellStart"/>
      <w:r w:rsidRPr="00AC4A03">
        <w:rPr>
          <w:lang w:val="en-GB"/>
        </w:rPr>
        <w:t>Analytik</w:t>
      </w:r>
      <w:proofErr w:type="spellEnd"/>
      <w:r w:rsidRPr="00AC4A03">
        <w:rPr>
          <w:lang w:val="en-GB"/>
        </w:rPr>
        <w:t xml:space="preserve"> Jena, Jena, Germany) using a </w:t>
      </w:r>
      <w:proofErr w:type="spellStart"/>
      <w:r w:rsidRPr="00AC4A03">
        <w:rPr>
          <w:lang w:val="en-GB"/>
        </w:rPr>
        <w:t>SensiFast</w:t>
      </w:r>
      <w:proofErr w:type="spellEnd"/>
      <w:r w:rsidRPr="00AC4A03">
        <w:rPr>
          <w:lang w:val="en-GB"/>
        </w:rPr>
        <w:t xml:space="preserve"> SYBR kit (</w:t>
      </w:r>
      <w:proofErr w:type="spellStart"/>
      <w:r w:rsidRPr="00AC4A03">
        <w:rPr>
          <w:lang w:val="en-GB"/>
        </w:rPr>
        <w:t>Bioline</w:t>
      </w:r>
      <w:proofErr w:type="spellEnd"/>
      <w:r w:rsidRPr="00AC4A03">
        <w:rPr>
          <w:lang w:val="en-GB"/>
        </w:rPr>
        <w:t xml:space="preserve">, London, UK) according to the 'supplier's instructions. cDNA was synthesised from 1 µg of purified RNA with the </w:t>
      </w:r>
      <w:proofErr w:type="spellStart"/>
      <w:r w:rsidRPr="00AC4A03">
        <w:rPr>
          <w:lang w:val="en-GB"/>
        </w:rPr>
        <w:t>SensiFast</w:t>
      </w:r>
      <w:proofErr w:type="spellEnd"/>
      <w:r w:rsidRPr="00AC4A03">
        <w:rPr>
          <w:lang w:val="en-GB"/>
        </w:rPr>
        <w:t xml:space="preserve"> cDNA synthesis kit (</w:t>
      </w:r>
      <w:proofErr w:type="spellStart"/>
      <w:r w:rsidRPr="00AC4A03">
        <w:rPr>
          <w:lang w:val="en-GB"/>
        </w:rPr>
        <w:t>Bioline</w:t>
      </w:r>
      <w:proofErr w:type="spellEnd"/>
      <w:r w:rsidRPr="00AC4A03">
        <w:rPr>
          <w:lang w:val="en-GB"/>
        </w:rPr>
        <w:t xml:space="preserve">, London, UK). The pair of primers used are </w:t>
      </w:r>
      <w:proofErr w:type="spellStart"/>
      <w:r w:rsidRPr="00AC4A03">
        <w:rPr>
          <w:lang w:val="en-GB"/>
        </w:rPr>
        <w:t>gallerimycin</w:t>
      </w:r>
      <w:proofErr w:type="spellEnd"/>
      <w:r w:rsidRPr="00AC4A03">
        <w:rPr>
          <w:lang w:val="en-GB"/>
        </w:rPr>
        <w:t xml:space="preserve"> (5´-CGCAATATCATTGGCCTTCT</w:t>
      </w:r>
      <w:r w:rsidR="00DC7986">
        <w:rPr>
          <w:lang w:val="en-GB"/>
        </w:rPr>
        <w:t>-</w:t>
      </w:r>
      <w:r w:rsidRPr="00AC4A03">
        <w:rPr>
          <w:lang w:val="en-GB"/>
        </w:rPr>
        <w:t>3´</w:t>
      </w:r>
      <w:r w:rsidR="00DC7986">
        <w:rPr>
          <w:lang w:val="en-GB"/>
        </w:rPr>
        <w:t xml:space="preserve"> </w:t>
      </w:r>
      <w:r w:rsidRPr="00AC4A03">
        <w:rPr>
          <w:lang w:val="en-GB"/>
        </w:rPr>
        <w:t>and 5´-CCTGCAGTTAGCAATGCAC</w:t>
      </w:r>
      <w:r w:rsidR="00DC7986">
        <w:rPr>
          <w:lang w:val="en-GB"/>
        </w:rPr>
        <w:t>-</w:t>
      </w:r>
      <w:r w:rsidRPr="00AC4A03">
        <w:rPr>
          <w:lang w:val="en-GB"/>
        </w:rPr>
        <w:t>3´); IMPI (5´- AGATGGCTATGCAAGGGATG-3´and 5´-AGGACCTGTGCAGCATTTCT</w:t>
      </w:r>
      <w:r w:rsidR="00DC7986">
        <w:rPr>
          <w:lang w:val="en-GB"/>
        </w:rPr>
        <w:t>-</w:t>
      </w:r>
      <w:r w:rsidRPr="00AC4A03">
        <w:rPr>
          <w:lang w:val="en-GB"/>
        </w:rPr>
        <w:t>3’); lysozyme (5´-TCCCAACTCTTGACCGACGA-3´and</w:t>
      </w:r>
      <w:r w:rsidR="00DC7986">
        <w:rPr>
          <w:lang w:val="en-GB"/>
        </w:rPr>
        <w:t xml:space="preserve"> </w:t>
      </w:r>
      <w:r w:rsidRPr="00AC4A03">
        <w:rPr>
          <w:lang w:val="en-GB"/>
        </w:rPr>
        <w:t xml:space="preserve">5´-AGTGGTTGCGCCATCCATAC-3´); </w:t>
      </w:r>
      <w:proofErr w:type="spellStart"/>
      <w:r w:rsidRPr="00AC4A03">
        <w:rPr>
          <w:lang w:val="en-GB"/>
        </w:rPr>
        <w:t>galliomycin</w:t>
      </w:r>
      <w:proofErr w:type="spellEnd"/>
      <w:r w:rsidRPr="00AC4A03">
        <w:rPr>
          <w:lang w:val="en-GB"/>
        </w:rPr>
        <w:t xml:space="preserve"> (5´-TCGTATCGTCACCGCAAAATG-3´ and 5´-</w:t>
      </w:r>
      <w:r w:rsidRPr="00AC4A03">
        <w:t xml:space="preserve"> </w:t>
      </w:r>
      <w:r w:rsidRPr="00AC4A03">
        <w:rPr>
          <w:lang w:val="en-GB"/>
        </w:rPr>
        <w:t>GCCGCAATGACCACCTTTATA-3´) and actin (5´-ATCCTCACCCTGAAGTACCC-3´ and 5´-CCACACGCAGCTCATTGTA</w:t>
      </w:r>
      <w:r w:rsidR="00DC7986">
        <w:rPr>
          <w:lang w:val="en-GB"/>
        </w:rPr>
        <w:t>-</w:t>
      </w:r>
      <w:r w:rsidRPr="00AC4A03">
        <w:rPr>
          <w:lang w:val="en-GB"/>
        </w:rPr>
        <w:t xml:space="preserve">3´). The expression of </w:t>
      </w:r>
      <w:r w:rsidRPr="00AC4A03">
        <w:rPr>
          <w:i/>
          <w:iCs/>
          <w:lang w:val="en-GB"/>
        </w:rPr>
        <w:t>G. mellonella</w:t>
      </w:r>
      <w:r w:rsidRPr="00AC4A03">
        <w:rPr>
          <w:lang w:val="en-GB"/>
        </w:rPr>
        <w:t xml:space="preserve"> genes was normalised to the amount of the housekeeping gene actin. Relative quantification of gene expression was calculated by using the </w:t>
      </w:r>
      <w:proofErr w:type="spellStart"/>
      <w:r w:rsidRPr="00AC4A03">
        <w:rPr>
          <w:lang w:val="en-GB"/>
        </w:rPr>
        <w:t>DDCt</w:t>
      </w:r>
      <w:proofErr w:type="spellEnd"/>
      <w:r w:rsidRPr="00AC4A03">
        <w:rPr>
          <w:lang w:val="en-GB"/>
        </w:rPr>
        <w:t xml:space="preserve"> (Ct is threshold cycle) method</w:t>
      </w:r>
      <w:r w:rsidR="008907F4">
        <w:rPr>
          <w:lang w:val="en-GB"/>
        </w:rPr>
        <w:fldChar w:fldCharType="begin"/>
      </w:r>
      <w:r w:rsidR="00711FEA">
        <w:rPr>
          <w:lang w:val="en-GB"/>
        </w:rPr>
        <w:instrText xml:space="preserve"> ADDIN EN.CITE &lt;EndNote&gt;&lt;Cite&gt;&lt;Author&gt;Livak&lt;/Author&gt;&lt;Year&gt;2001&lt;/Year&gt;&lt;RecNum&gt;70&lt;/RecNum&gt;&lt;DisplayText&gt;&lt;style face="superscript"&gt;14&lt;/style&gt;&lt;/DisplayText&gt;&lt;record&gt;&lt;rec-number&gt;70&lt;/rec-number&gt;&lt;foreign-keys&gt;&lt;key app="EN" db-id="2rfsx9rapweadwev95s5wwp5rf9aav0wzpfd" timestamp="1668072920"&gt;70&lt;/key&gt;&lt;/foreign-keys&gt;&lt;ref-type name="Journal Article"&gt;17&lt;/ref-type&gt;&lt;contributors&gt;&lt;authors&gt;&lt;author&gt;Livak, Kenneth J&lt;/author&gt;&lt;author&gt;Schmittgen, Thomas D&lt;/author&gt;&lt;/authors&gt;&lt;/contributors&gt;&lt;titles&gt;&lt;title&gt;Analysis of relative gene expression data using real-time quantitative PCR and the 2− ΔΔCT method&lt;/title&gt;&lt;secondary-title&gt;methods&lt;/secondary-title&gt;&lt;/titles&gt;&lt;periodical&gt;&lt;full-title&gt;methods&lt;/full-title&gt;&lt;abbr-1&gt;Methods&lt;/abbr-1&gt;&lt;/periodical&gt;&lt;pages&gt;402-408&lt;/pages&gt;&lt;volume&gt;25&lt;/volume&gt;&lt;number&gt;4&lt;/number&gt;&lt;dates&gt;&lt;year&gt;2001&lt;/year&gt;&lt;/dates&gt;&lt;isbn&gt;1046-2023&lt;/isbn&gt;&lt;urls&gt;&lt;/urls&gt;&lt;/record&gt;&lt;/Cite&gt;&lt;/EndNote&gt;</w:instrText>
      </w:r>
      <w:r w:rsidR="008907F4">
        <w:rPr>
          <w:lang w:val="en-GB"/>
        </w:rPr>
        <w:fldChar w:fldCharType="separate"/>
      </w:r>
      <w:r w:rsidR="00711FEA" w:rsidRPr="00711FEA">
        <w:rPr>
          <w:noProof/>
          <w:vertAlign w:val="superscript"/>
          <w:lang w:val="en-GB"/>
        </w:rPr>
        <w:t>14</w:t>
      </w:r>
      <w:r w:rsidR="008907F4">
        <w:rPr>
          <w:lang w:val="en-GB"/>
        </w:rPr>
        <w:fldChar w:fldCharType="end"/>
      </w:r>
      <w:r w:rsidR="00422A00" w:rsidRPr="00AC4A03">
        <w:rPr>
          <w:lang w:val="en-GB"/>
        </w:rPr>
        <w:t>.</w:t>
      </w:r>
    </w:p>
    <w:p w14:paraId="2805A810" w14:textId="5E29566F" w:rsidR="003A2B55" w:rsidRPr="00AC4A03" w:rsidRDefault="003A2B55" w:rsidP="00505CEA">
      <w:pPr>
        <w:spacing w:after="0" w:line="360" w:lineRule="auto"/>
        <w:rPr>
          <w:rFonts w:ascii="Times New Roman" w:hAnsi="Times New Roman" w:cs="Times New Roman"/>
          <w:sz w:val="24"/>
          <w:szCs w:val="24"/>
        </w:rPr>
      </w:pPr>
    </w:p>
    <w:p w14:paraId="72E5BFC8" w14:textId="72FB453A" w:rsidR="00D9618E" w:rsidRPr="00AC4A03" w:rsidRDefault="00D9618E" w:rsidP="00505CEA">
      <w:pPr>
        <w:spacing w:after="0" w:line="360" w:lineRule="auto"/>
        <w:rPr>
          <w:rFonts w:ascii="Times New Roman" w:hAnsi="Times New Roman" w:cs="Times New Roman"/>
          <w:sz w:val="24"/>
          <w:szCs w:val="24"/>
        </w:rPr>
      </w:pPr>
    </w:p>
    <w:p w14:paraId="2C9BBFBA" w14:textId="6E170D92" w:rsidR="00D9618E" w:rsidRPr="00AC4A03" w:rsidRDefault="00D9618E" w:rsidP="00505CEA">
      <w:pPr>
        <w:spacing w:after="0" w:line="360" w:lineRule="auto"/>
        <w:rPr>
          <w:rFonts w:ascii="Times New Roman" w:hAnsi="Times New Roman" w:cs="Times New Roman"/>
          <w:sz w:val="24"/>
          <w:szCs w:val="24"/>
        </w:rPr>
      </w:pPr>
    </w:p>
    <w:p w14:paraId="0570936D" w14:textId="1544762C" w:rsidR="00D9618E" w:rsidRPr="00AC4A03" w:rsidRDefault="00D9618E" w:rsidP="00505CEA">
      <w:pPr>
        <w:spacing w:after="0" w:line="360" w:lineRule="auto"/>
        <w:rPr>
          <w:rFonts w:ascii="Times New Roman" w:hAnsi="Times New Roman" w:cs="Times New Roman"/>
          <w:sz w:val="24"/>
          <w:szCs w:val="24"/>
        </w:rPr>
      </w:pPr>
      <w:r w:rsidRPr="00AC4A03">
        <w:rPr>
          <w:rFonts w:ascii="Times New Roman" w:hAnsi="Times New Roman" w:cs="Times New Roman"/>
          <w:noProof/>
          <w:sz w:val="24"/>
          <w:szCs w:val="24"/>
          <w:lang w:eastAsia="en-GB"/>
        </w:rPr>
        <w:lastRenderedPageBreak/>
        <w:drawing>
          <wp:inline distT="0" distB="0" distL="0" distR="0" wp14:anchorId="7AFA2A3E" wp14:editId="46646A07">
            <wp:extent cx="5724525" cy="437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4371975"/>
                    </a:xfrm>
                    <a:prstGeom prst="rect">
                      <a:avLst/>
                    </a:prstGeom>
                    <a:noFill/>
                    <a:ln>
                      <a:noFill/>
                    </a:ln>
                  </pic:spPr>
                </pic:pic>
              </a:graphicData>
            </a:graphic>
          </wp:inline>
        </w:drawing>
      </w:r>
    </w:p>
    <w:p w14:paraId="5457C981" w14:textId="1D54C1F3" w:rsidR="00D9618E" w:rsidRPr="00AC4A03" w:rsidRDefault="00D9618E" w:rsidP="00DC7986">
      <w:pPr>
        <w:spacing w:after="0" w:line="360" w:lineRule="auto"/>
        <w:jc w:val="both"/>
        <w:rPr>
          <w:rFonts w:ascii="Times New Roman" w:hAnsi="Times New Roman" w:cs="Times New Roman"/>
          <w:sz w:val="24"/>
          <w:szCs w:val="24"/>
        </w:rPr>
      </w:pPr>
      <w:r w:rsidRPr="00AC4A03">
        <w:rPr>
          <w:rFonts w:ascii="Times New Roman" w:hAnsi="Times New Roman" w:cs="Times New Roman"/>
          <w:b/>
          <w:bCs/>
          <w:sz w:val="24"/>
          <w:szCs w:val="24"/>
        </w:rPr>
        <w:t>Figure S</w:t>
      </w:r>
      <w:r w:rsidR="00CF7D01" w:rsidRPr="00AC4A03">
        <w:rPr>
          <w:rFonts w:ascii="Times New Roman" w:hAnsi="Times New Roman" w:cs="Times New Roman"/>
          <w:b/>
          <w:bCs/>
          <w:sz w:val="24"/>
          <w:szCs w:val="24"/>
        </w:rPr>
        <w:t>2</w:t>
      </w:r>
      <w:r w:rsidRPr="00AC4A03">
        <w:rPr>
          <w:rFonts w:ascii="Times New Roman" w:hAnsi="Times New Roman" w:cs="Times New Roman"/>
          <w:b/>
          <w:bCs/>
          <w:sz w:val="24"/>
          <w:szCs w:val="24"/>
        </w:rPr>
        <w:t xml:space="preserve"> </w:t>
      </w:r>
      <w:r w:rsidR="000E5347" w:rsidRPr="00AC4A03">
        <w:rPr>
          <w:rFonts w:ascii="Times New Roman" w:hAnsi="Times New Roman" w:cs="Times New Roman"/>
          <w:b/>
          <w:bCs/>
          <w:sz w:val="24"/>
          <w:szCs w:val="24"/>
        </w:rPr>
        <w:t>–</w:t>
      </w:r>
      <w:r w:rsidR="000E5347" w:rsidRPr="00AC4A03">
        <w:rPr>
          <w:rFonts w:ascii="Times New Roman" w:hAnsi="Times New Roman" w:cs="Times New Roman"/>
          <w:sz w:val="24"/>
          <w:szCs w:val="24"/>
        </w:rPr>
        <w:t xml:space="preserve"> </w:t>
      </w:r>
      <w:proofErr w:type="spellStart"/>
      <w:r w:rsidR="000E5347" w:rsidRPr="00AC4A03">
        <w:rPr>
          <w:rFonts w:ascii="Times New Roman" w:hAnsi="Times New Roman" w:cs="Times New Roman"/>
          <w:i/>
          <w:iCs/>
          <w:sz w:val="24"/>
          <w:szCs w:val="24"/>
        </w:rPr>
        <w:t>q</w:t>
      </w:r>
      <w:r w:rsidR="000E5347" w:rsidRPr="00AC4A03">
        <w:rPr>
          <w:rFonts w:ascii="Times New Roman" w:hAnsi="Times New Roman" w:cs="Times New Roman"/>
          <w:sz w:val="24"/>
          <w:szCs w:val="24"/>
        </w:rPr>
        <w:t>RT</w:t>
      </w:r>
      <w:proofErr w:type="spellEnd"/>
      <w:r w:rsidR="000E5347" w:rsidRPr="00AC4A03">
        <w:rPr>
          <w:rFonts w:ascii="Times New Roman" w:hAnsi="Times New Roman" w:cs="Times New Roman"/>
          <w:sz w:val="24"/>
          <w:szCs w:val="24"/>
        </w:rPr>
        <w:t>-PCR expression (fold-change relatively to actin housekeeping gene) of the antimicrobial peptides</w:t>
      </w:r>
      <w:r w:rsidRPr="00AC4A03">
        <w:rPr>
          <w:rFonts w:ascii="Times New Roman" w:hAnsi="Times New Roman" w:cs="Times New Roman"/>
          <w:sz w:val="24"/>
          <w:szCs w:val="24"/>
        </w:rPr>
        <w:t xml:space="preserve"> </w:t>
      </w:r>
      <w:proofErr w:type="spellStart"/>
      <w:r w:rsidR="00F72A7B" w:rsidRPr="00AC4A03">
        <w:rPr>
          <w:rFonts w:ascii="Times New Roman" w:hAnsi="Times New Roman" w:cs="Times New Roman"/>
          <w:sz w:val="24"/>
          <w:szCs w:val="24"/>
        </w:rPr>
        <w:t>G</w:t>
      </w:r>
      <w:r w:rsidR="000E5347" w:rsidRPr="00AC4A03">
        <w:rPr>
          <w:rFonts w:ascii="Times New Roman" w:hAnsi="Times New Roman" w:cs="Times New Roman"/>
          <w:sz w:val="24"/>
          <w:szCs w:val="24"/>
        </w:rPr>
        <w:t>allerimycin</w:t>
      </w:r>
      <w:proofErr w:type="spellEnd"/>
      <w:r w:rsidR="000E5347" w:rsidRPr="00AC4A03">
        <w:rPr>
          <w:rFonts w:ascii="Times New Roman" w:hAnsi="Times New Roman" w:cs="Times New Roman"/>
          <w:sz w:val="24"/>
          <w:szCs w:val="24"/>
        </w:rPr>
        <w:t xml:space="preserve"> (a), </w:t>
      </w:r>
      <w:r w:rsidR="00F72A7B" w:rsidRPr="00AC4A03">
        <w:rPr>
          <w:rFonts w:ascii="Times New Roman" w:hAnsi="Times New Roman" w:cs="Times New Roman"/>
          <w:sz w:val="24"/>
          <w:szCs w:val="24"/>
        </w:rPr>
        <w:t>I</w:t>
      </w:r>
      <w:r w:rsidR="000E5347" w:rsidRPr="00AC4A03">
        <w:rPr>
          <w:rFonts w:ascii="Times New Roman" w:hAnsi="Times New Roman" w:cs="Times New Roman"/>
          <w:sz w:val="24"/>
          <w:szCs w:val="24"/>
        </w:rPr>
        <w:t xml:space="preserve">nducible </w:t>
      </w:r>
      <w:r w:rsidR="00F72A7B" w:rsidRPr="00AC4A03">
        <w:rPr>
          <w:rFonts w:ascii="Times New Roman" w:hAnsi="Times New Roman" w:cs="Times New Roman"/>
          <w:sz w:val="24"/>
          <w:szCs w:val="24"/>
        </w:rPr>
        <w:t>m</w:t>
      </w:r>
      <w:r w:rsidR="000E5347" w:rsidRPr="00AC4A03">
        <w:rPr>
          <w:rFonts w:ascii="Times New Roman" w:hAnsi="Times New Roman" w:cs="Times New Roman"/>
          <w:sz w:val="24"/>
          <w:szCs w:val="24"/>
        </w:rPr>
        <w:t xml:space="preserve">etalloproteinase inhibitor (IMPI, b), Lysozyme (c) and </w:t>
      </w:r>
      <w:proofErr w:type="spellStart"/>
      <w:r w:rsidR="000E5347" w:rsidRPr="00AC4A03">
        <w:rPr>
          <w:rFonts w:ascii="Times New Roman" w:hAnsi="Times New Roman" w:cs="Times New Roman"/>
          <w:sz w:val="24"/>
          <w:szCs w:val="24"/>
        </w:rPr>
        <w:t>Gallomycin</w:t>
      </w:r>
      <w:proofErr w:type="spellEnd"/>
      <w:r w:rsidR="000E5347" w:rsidRPr="00AC4A03">
        <w:rPr>
          <w:rFonts w:ascii="Times New Roman" w:hAnsi="Times New Roman" w:cs="Times New Roman"/>
          <w:sz w:val="24"/>
          <w:szCs w:val="24"/>
        </w:rPr>
        <w:t xml:space="preserve"> (d) measured in </w:t>
      </w:r>
      <w:r w:rsidR="000E5347" w:rsidRPr="00AC4A03">
        <w:rPr>
          <w:rFonts w:ascii="Times New Roman" w:hAnsi="Times New Roman" w:cs="Times New Roman"/>
          <w:i/>
          <w:iCs/>
          <w:sz w:val="24"/>
          <w:szCs w:val="24"/>
        </w:rPr>
        <w:t>Galleria mellonella</w:t>
      </w:r>
      <w:r w:rsidR="000E5347" w:rsidRPr="00AC4A03">
        <w:rPr>
          <w:rFonts w:ascii="Times New Roman" w:hAnsi="Times New Roman" w:cs="Times New Roman"/>
          <w:sz w:val="24"/>
          <w:szCs w:val="24"/>
        </w:rPr>
        <w:t xml:space="preserve"> larvae during the first 24h of infection with airborne spores of all conditions (</w:t>
      </w:r>
      <w:r w:rsidR="00422A00" w:rsidRPr="00902969">
        <w:rPr>
          <w:rFonts w:ascii="Times New Roman" w:hAnsi="Times New Roman" w:cs="Times New Roman"/>
          <w:sz w:val="24"/>
          <w:szCs w:val="24"/>
        </w:rPr>
        <w:t>Unpolluted</w:t>
      </w:r>
      <w:r w:rsidR="00422A00" w:rsidRPr="00AC4A03">
        <w:rPr>
          <w:rFonts w:ascii="Times New Roman" w:hAnsi="Times New Roman" w:cs="Times New Roman"/>
          <w:sz w:val="24"/>
          <w:szCs w:val="24"/>
        </w:rPr>
        <w:t xml:space="preserve"> (control)</w:t>
      </w:r>
      <w:r w:rsidR="000E5347" w:rsidRPr="00AC4A03">
        <w:rPr>
          <w:rFonts w:ascii="Times New Roman" w:hAnsi="Times New Roman" w:cs="Times New Roman"/>
          <w:sz w:val="24"/>
          <w:szCs w:val="24"/>
        </w:rPr>
        <w:t>, PCP and TCS).</w:t>
      </w:r>
    </w:p>
    <w:p w14:paraId="67D8A390" w14:textId="77777777" w:rsidR="00D9618E" w:rsidRPr="00AC4A03" w:rsidRDefault="00D9618E" w:rsidP="00505CEA">
      <w:pPr>
        <w:spacing w:after="0" w:line="360" w:lineRule="auto"/>
        <w:rPr>
          <w:rFonts w:ascii="Times New Roman" w:hAnsi="Times New Roman" w:cs="Times New Roman"/>
          <w:sz w:val="24"/>
          <w:szCs w:val="24"/>
        </w:rPr>
      </w:pPr>
    </w:p>
    <w:p w14:paraId="39648F9F" w14:textId="331D44D0" w:rsidR="00AF7CD1" w:rsidRPr="00AC4A03" w:rsidRDefault="003A2B55" w:rsidP="00DC7986">
      <w:pPr>
        <w:spacing w:after="0" w:line="360" w:lineRule="auto"/>
        <w:jc w:val="both"/>
        <w:rPr>
          <w:rFonts w:ascii="Times New Roman" w:hAnsi="Times New Roman" w:cs="Times New Roman"/>
          <w:sz w:val="24"/>
          <w:szCs w:val="24"/>
        </w:rPr>
      </w:pPr>
      <w:r w:rsidRPr="00AC4A03">
        <w:rPr>
          <w:rFonts w:ascii="Times New Roman" w:hAnsi="Times New Roman" w:cs="Times New Roman"/>
          <w:sz w:val="24"/>
          <w:szCs w:val="24"/>
        </w:rPr>
        <w:t xml:space="preserve">The </w:t>
      </w:r>
      <w:r w:rsidR="00451BF7">
        <w:rPr>
          <w:rFonts w:ascii="Times New Roman" w:hAnsi="Times New Roman" w:cs="Times New Roman"/>
          <w:sz w:val="24"/>
          <w:szCs w:val="24"/>
        </w:rPr>
        <w:t>level</w:t>
      </w:r>
      <w:r w:rsidRPr="00AC4A03">
        <w:rPr>
          <w:rFonts w:ascii="Times New Roman" w:hAnsi="Times New Roman" w:cs="Times New Roman"/>
          <w:sz w:val="24"/>
          <w:szCs w:val="24"/>
        </w:rPr>
        <w:t>s of antimicrobial peptides produced by the larvae showed substantial variability (not unusual though</w:t>
      </w:r>
      <w:r w:rsidR="008907F4">
        <w:rPr>
          <w:rFonts w:ascii="Times New Roman" w:hAnsi="Times New Roman" w:cs="Times New Roman"/>
          <w:sz w:val="24"/>
          <w:szCs w:val="24"/>
        </w:rPr>
        <w:fldChar w:fldCharType="begin"/>
      </w:r>
      <w:r w:rsidR="00711FEA">
        <w:rPr>
          <w:rFonts w:ascii="Times New Roman" w:hAnsi="Times New Roman" w:cs="Times New Roman"/>
          <w:sz w:val="24"/>
          <w:szCs w:val="24"/>
        </w:rPr>
        <w:instrText xml:space="preserve"> ADDIN EN.CITE &lt;EndNote&gt;&lt;Cite&gt;&lt;Author&gt;Mak&lt;/Author&gt;&lt;Year&gt;2010&lt;/Year&gt;&lt;RecNum&gt;71&lt;/RecNum&gt;&lt;DisplayText&gt;&lt;style face="superscript"&gt;15&lt;/style&gt;&lt;/DisplayText&gt;&lt;record&gt;&lt;rec-number&gt;71&lt;/rec-number&gt;&lt;foreign-keys&gt;&lt;key app="EN" db-id="2rfsx9rapweadwev95s5wwp5rf9aav0wzpfd" timestamp="1668072959"&gt;71&lt;/key&gt;&lt;/foreign-keys&gt;&lt;ref-type name="Journal Article"&gt;17&lt;/ref-type&gt;&lt;contributors&gt;&lt;authors&gt;&lt;author&gt;Mak, Pawel&lt;/author&gt;&lt;author&gt;Zdybicka-Barabas, Agnieszka&lt;/author&gt;&lt;author&gt;Cytryńska, Małgorzata&lt;/author&gt;&lt;/authors&gt;&lt;/contributors&gt;&lt;titles&gt;&lt;title&gt;A different repertoire of Galleria mellonella antimicrobial peptides in larvae challenged with bacteria and fungi&lt;/title&gt;&lt;secondary-title&gt;Developmental &amp;amp; Comparative Immunology&lt;/secondary-title&gt;&lt;/titles&gt;&lt;periodical&gt;&lt;full-title&gt;Developmental &amp;amp; Comparative Immunology&lt;/full-title&gt;&lt;abbr-1&gt;Dev. Comp. Immunol.&lt;/abbr-1&gt;&lt;/periodical&gt;&lt;pages&gt;1129-1136&lt;/pages&gt;&lt;volume&gt;34&lt;/volume&gt;&lt;number&gt;10&lt;/number&gt;&lt;dates&gt;&lt;year&gt;2010&lt;/year&gt;&lt;/dates&gt;&lt;isbn&gt;0145-305X&lt;/isbn&gt;&lt;urls&gt;&lt;/urls&gt;&lt;/record&gt;&lt;/Cite&gt;&lt;/EndNote&gt;</w:instrText>
      </w:r>
      <w:r w:rsidR="008907F4">
        <w:rPr>
          <w:rFonts w:ascii="Times New Roman" w:hAnsi="Times New Roman" w:cs="Times New Roman"/>
          <w:sz w:val="24"/>
          <w:szCs w:val="24"/>
        </w:rPr>
        <w:fldChar w:fldCharType="separate"/>
      </w:r>
      <w:r w:rsidR="00711FEA" w:rsidRPr="00711FEA">
        <w:rPr>
          <w:rFonts w:ascii="Times New Roman" w:hAnsi="Times New Roman" w:cs="Times New Roman"/>
          <w:noProof/>
          <w:sz w:val="24"/>
          <w:szCs w:val="24"/>
          <w:vertAlign w:val="superscript"/>
        </w:rPr>
        <w:t>15</w:t>
      </w:r>
      <w:r w:rsidR="008907F4">
        <w:rPr>
          <w:rFonts w:ascii="Times New Roman" w:hAnsi="Times New Roman" w:cs="Times New Roman"/>
          <w:sz w:val="24"/>
          <w:szCs w:val="24"/>
        </w:rPr>
        <w:fldChar w:fldCharType="end"/>
      </w:r>
      <w:r w:rsidRPr="00AC4A03">
        <w:rPr>
          <w:rFonts w:ascii="Times New Roman" w:hAnsi="Times New Roman" w:cs="Times New Roman"/>
          <w:sz w:val="24"/>
          <w:szCs w:val="24"/>
        </w:rPr>
        <w:t xml:space="preserve">) hence failing to reveal statistical sound differences between the different Test- and Control- conditions. </w:t>
      </w:r>
    </w:p>
    <w:p w14:paraId="63BB1302" w14:textId="7D07C9A3" w:rsidR="00AF7CD1" w:rsidRPr="00AC4A03" w:rsidRDefault="00AF7CD1" w:rsidP="00505CEA">
      <w:pPr>
        <w:spacing w:after="0" w:line="360" w:lineRule="auto"/>
        <w:rPr>
          <w:rFonts w:ascii="Times New Roman" w:hAnsi="Times New Roman" w:cs="Times New Roman"/>
          <w:sz w:val="24"/>
          <w:szCs w:val="24"/>
        </w:rPr>
      </w:pPr>
    </w:p>
    <w:p w14:paraId="2ECF7BDC" w14:textId="68CF7452" w:rsidR="00D9618E" w:rsidRPr="00AC4A03" w:rsidRDefault="00D9618E" w:rsidP="00505CEA">
      <w:pPr>
        <w:spacing w:after="0" w:line="360" w:lineRule="auto"/>
        <w:rPr>
          <w:rFonts w:ascii="Times New Roman" w:hAnsi="Times New Roman" w:cs="Times New Roman"/>
          <w:sz w:val="24"/>
          <w:szCs w:val="24"/>
        </w:rPr>
      </w:pPr>
    </w:p>
    <w:p w14:paraId="79AE5FFA" w14:textId="31A4F321" w:rsidR="00D9618E" w:rsidRPr="00AC4A03" w:rsidRDefault="00D9618E" w:rsidP="00505CEA">
      <w:pPr>
        <w:spacing w:after="0" w:line="360" w:lineRule="auto"/>
        <w:rPr>
          <w:rFonts w:ascii="Times New Roman" w:hAnsi="Times New Roman" w:cs="Times New Roman"/>
          <w:sz w:val="24"/>
          <w:szCs w:val="24"/>
        </w:rPr>
      </w:pPr>
      <w:r w:rsidRPr="00AC4A03">
        <w:rPr>
          <w:rFonts w:ascii="Times New Roman" w:hAnsi="Times New Roman" w:cs="Times New Roman"/>
          <w:sz w:val="24"/>
          <w:szCs w:val="24"/>
        </w:rPr>
        <w:br w:type="page"/>
      </w:r>
    </w:p>
    <w:p w14:paraId="41FCEFB5" w14:textId="083F3A35" w:rsidR="003A2B55" w:rsidRPr="00AC4A03" w:rsidRDefault="003A2B55" w:rsidP="00505CEA">
      <w:pPr>
        <w:pStyle w:val="Paragraph"/>
        <w:suppressAutoHyphens/>
        <w:spacing w:before="0" w:line="360" w:lineRule="auto"/>
        <w:ind w:firstLine="0"/>
        <w:jc w:val="both"/>
        <w:rPr>
          <w:b/>
          <w:lang w:val="en-GB"/>
        </w:rPr>
      </w:pPr>
      <w:r w:rsidRPr="00AC4A03">
        <w:rPr>
          <w:b/>
          <w:lang w:val="en-GB"/>
        </w:rPr>
        <w:lastRenderedPageBreak/>
        <w:t xml:space="preserve">Minimal Inhibitory Concentrations (MIC) of antifungals and </w:t>
      </w:r>
      <w:r w:rsidR="00AC4A03" w:rsidRPr="00902969">
        <w:rPr>
          <w:b/>
          <w:lang w:val="en-GB"/>
        </w:rPr>
        <w:t xml:space="preserve">Half Maximal </w:t>
      </w:r>
      <w:r w:rsidRPr="00AC4A03">
        <w:rPr>
          <w:b/>
        </w:rPr>
        <w:t>Effective Concentration levels</w:t>
      </w:r>
      <w:r w:rsidRPr="00AC4A03">
        <w:rPr>
          <w:b/>
          <w:lang w:val="en-GB"/>
        </w:rPr>
        <w:t xml:space="preserve"> (EC</w:t>
      </w:r>
      <w:r w:rsidR="00AC4A03" w:rsidRPr="00DC7986">
        <w:rPr>
          <w:b/>
          <w:vertAlign w:val="subscript"/>
          <w:lang w:val="en-GB"/>
        </w:rPr>
        <w:t>50</w:t>
      </w:r>
      <w:r w:rsidRPr="00AC4A03">
        <w:rPr>
          <w:b/>
          <w:lang w:val="en-GB"/>
        </w:rPr>
        <w:t xml:space="preserve">) of the pollutants towards </w:t>
      </w:r>
      <w:r w:rsidR="00AC4A03" w:rsidRPr="00DC7986">
        <w:rPr>
          <w:b/>
          <w:lang w:val="en-GB"/>
        </w:rPr>
        <w:t xml:space="preserve">each fungal strain </w:t>
      </w:r>
    </w:p>
    <w:p w14:paraId="7E72B76F" w14:textId="029147A6" w:rsidR="00AF7CD1" w:rsidRPr="00AC4A03" w:rsidRDefault="003A2B55" w:rsidP="00505CEA">
      <w:pPr>
        <w:spacing w:after="0" w:line="360" w:lineRule="auto"/>
        <w:rPr>
          <w:rFonts w:ascii="Times New Roman" w:hAnsi="Times New Roman" w:cs="Times New Roman"/>
          <w:sz w:val="24"/>
        </w:rPr>
      </w:pPr>
      <w:r w:rsidRPr="00AC4A03">
        <w:rPr>
          <w:rFonts w:ascii="Times New Roman" w:hAnsi="Times New Roman" w:cs="Times New Roman"/>
          <w:sz w:val="24"/>
        </w:rPr>
        <w:t>The complete set of data regarding IC</w:t>
      </w:r>
      <w:r w:rsidRPr="00DC7986">
        <w:rPr>
          <w:rFonts w:ascii="Times New Roman" w:hAnsi="Times New Roman" w:cs="Times New Roman"/>
          <w:sz w:val="24"/>
          <w:vertAlign w:val="subscript"/>
        </w:rPr>
        <w:t>50</w:t>
      </w:r>
      <w:r w:rsidR="007637E5" w:rsidRPr="00AC4A03">
        <w:rPr>
          <w:rFonts w:ascii="Times New Roman" w:hAnsi="Times New Roman" w:cs="Times New Roman"/>
          <w:sz w:val="24"/>
        </w:rPr>
        <w:t xml:space="preserve"> and MIC</w:t>
      </w:r>
      <w:r w:rsidRPr="00AC4A03">
        <w:rPr>
          <w:rFonts w:ascii="Times New Roman" w:hAnsi="Times New Roman" w:cs="Times New Roman"/>
          <w:sz w:val="24"/>
        </w:rPr>
        <w:t xml:space="preserve"> values of antifungals and pollutants, respectively, is available in the tables below.</w:t>
      </w:r>
    </w:p>
    <w:p w14:paraId="06EDC244" w14:textId="6A426F09" w:rsidR="00203551" w:rsidRPr="00AC4A03" w:rsidRDefault="00203551" w:rsidP="00505CEA">
      <w:pPr>
        <w:spacing w:after="0" w:line="360" w:lineRule="auto"/>
        <w:rPr>
          <w:rFonts w:ascii="Times New Roman" w:hAnsi="Times New Roman" w:cs="Times New Roman"/>
          <w:sz w:val="24"/>
        </w:rPr>
      </w:pPr>
    </w:p>
    <w:p w14:paraId="11AA9F4A" w14:textId="7233D2D0" w:rsidR="00203551" w:rsidRDefault="00203551" w:rsidP="00505CEA">
      <w:pPr>
        <w:spacing w:after="0" w:line="360" w:lineRule="auto"/>
        <w:rPr>
          <w:rFonts w:ascii="Times New Roman" w:hAnsi="Times New Roman" w:cs="Times New Roman"/>
          <w:sz w:val="24"/>
        </w:rPr>
      </w:pPr>
      <w:r w:rsidRPr="00AC4A03">
        <w:rPr>
          <w:rFonts w:ascii="Times New Roman" w:hAnsi="Times New Roman" w:cs="Times New Roman"/>
          <w:b/>
          <w:bCs/>
          <w:sz w:val="24"/>
        </w:rPr>
        <w:t>Table S</w:t>
      </w:r>
      <w:r w:rsidR="00CF7D01" w:rsidRPr="00AC4A03">
        <w:rPr>
          <w:rFonts w:ascii="Times New Roman" w:hAnsi="Times New Roman" w:cs="Times New Roman"/>
          <w:b/>
          <w:bCs/>
          <w:sz w:val="24"/>
        </w:rPr>
        <w:t>3</w:t>
      </w:r>
      <w:r w:rsidRPr="00AC4A03">
        <w:rPr>
          <w:rFonts w:ascii="Times New Roman" w:hAnsi="Times New Roman" w:cs="Times New Roman"/>
          <w:b/>
          <w:bCs/>
          <w:sz w:val="24"/>
        </w:rPr>
        <w:t xml:space="preserve"> </w:t>
      </w:r>
      <w:r w:rsidR="007637E5" w:rsidRPr="00AC4A03">
        <w:rPr>
          <w:rFonts w:ascii="Times New Roman" w:hAnsi="Times New Roman" w:cs="Times New Roman"/>
          <w:b/>
          <w:bCs/>
          <w:sz w:val="24"/>
        </w:rPr>
        <w:t>–</w:t>
      </w:r>
      <w:r w:rsidRPr="00AC4A03">
        <w:rPr>
          <w:rFonts w:ascii="Times New Roman" w:hAnsi="Times New Roman" w:cs="Times New Roman"/>
          <w:sz w:val="24"/>
        </w:rPr>
        <w:t xml:space="preserve"> </w:t>
      </w:r>
      <w:r w:rsidR="007637E5" w:rsidRPr="00AC4A03">
        <w:rPr>
          <w:rFonts w:ascii="Times New Roman" w:hAnsi="Times New Roman" w:cs="Times New Roman"/>
          <w:sz w:val="24"/>
        </w:rPr>
        <w:t>IC</w:t>
      </w:r>
      <w:r w:rsidR="007637E5" w:rsidRPr="00AC4A03">
        <w:rPr>
          <w:rFonts w:ascii="Times New Roman" w:hAnsi="Times New Roman" w:cs="Times New Roman"/>
          <w:sz w:val="24"/>
          <w:vertAlign w:val="subscript"/>
        </w:rPr>
        <w:t>50</w:t>
      </w:r>
      <w:r w:rsidR="007637E5" w:rsidRPr="00AC4A03">
        <w:rPr>
          <w:rFonts w:ascii="Times New Roman" w:hAnsi="Times New Roman" w:cs="Times New Roman"/>
          <w:sz w:val="24"/>
        </w:rPr>
        <w:t xml:space="preserve"> of pollutants and MIC</w:t>
      </w:r>
      <w:r w:rsidR="006B5DBC" w:rsidRPr="00AC4A03">
        <w:rPr>
          <w:rFonts w:ascii="Times New Roman" w:hAnsi="Times New Roman" w:cs="Times New Roman"/>
          <w:sz w:val="24"/>
        </w:rPr>
        <w:t>s</w:t>
      </w:r>
      <w:r w:rsidR="007637E5" w:rsidRPr="00AC4A03">
        <w:rPr>
          <w:rFonts w:ascii="Times New Roman" w:hAnsi="Times New Roman" w:cs="Times New Roman"/>
          <w:sz w:val="24"/>
        </w:rPr>
        <w:t xml:space="preserve"> of antifungals towards </w:t>
      </w:r>
      <w:r w:rsidR="00AC4A03" w:rsidRPr="00902969">
        <w:rPr>
          <w:rFonts w:ascii="Times New Roman" w:hAnsi="Times New Roman" w:cs="Times New Roman"/>
          <w:sz w:val="24"/>
        </w:rPr>
        <w:t xml:space="preserve">each </w:t>
      </w:r>
      <w:r w:rsidR="007637E5" w:rsidRPr="00AC4A03">
        <w:rPr>
          <w:rFonts w:ascii="Times New Roman" w:hAnsi="Times New Roman" w:cs="Times New Roman"/>
          <w:sz w:val="24"/>
        </w:rPr>
        <w:t>fung</w:t>
      </w:r>
      <w:r w:rsidR="00AC4A03" w:rsidRPr="00AC4A03">
        <w:rPr>
          <w:rFonts w:ascii="Times New Roman" w:hAnsi="Times New Roman" w:cs="Times New Roman"/>
          <w:sz w:val="24"/>
        </w:rPr>
        <w:t xml:space="preserve">al strain isolated </w:t>
      </w:r>
      <w:r w:rsidR="007637E5" w:rsidRPr="00AC4A03">
        <w:rPr>
          <w:rFonts w:ascii="Times New Roman" w:hAnsi="Times New Roman" w:cs="Times New Roman"/>
          <w:sz w:val="24"/>
        </w:rPr>
        <w:t xml:space="preserve">from </w:t>
      </w:r>
      <w:r w:rsidR="007637E5" w:rsidRPr="00AC4A03">
        <w:rPr>
          <w:rFonts w:ascii="Times New Roman" w:hAnsi="Times New Roman" w:cs="Times New Roman"/>
          <w:i/>
          <w:iCs/>
          <w:sz w:val="24"/>
        </w:rPr>
        <w:t>Galleria mellonella</w:t>
      </w:r>
      <w:r w:rsidR="007637E5" w:rsidRPr="00AC4A03">
        <w:rPr>
          <w:rFonts w:ascii="Times New Roman" w:hAnsi="Times New Roman" w:cs="Times New Roman"/>
          <w:sz w:val="24"/>
        </w:rPr>
        <w:t xml:space="preserve"> larvae upon infection with airborne spores collected at all tested conditions (</w:t>
      </w:r>
      <w:r w:rsidR="00AC4A03" w:rsidRPr="00AC4A03">
        <w:rPr>
          <w:rFonts w:ascii="Times New Roman" w:hAnsi="Times New Roman" w:cs="Times New Roman"/>
          <w:sz w:val="24"/>
        </w:rPr>
        <w:t>Unpolluted (</w:t>
      </w:r>
      <w:r w:rsidR="007637E5" w:rsidRPr="00AC4A03">
        <w:rPr>
          <w:rFonts w:ascii="Times New Roman" w:hAnsi="Times New Roman" w:cs="Times New Roman"/>
          <w:sz w:val="24"/>
        </w:rPr>
        <w:t>Control</w:t>
      </w:r>
      <w:r w:rsidR="00AC4A03" w:rsidRPr="00AC4A03">
        <w:rPr>
          <w:rFonts w:ascii="Times New Roman" w:hAnsi="Times New Roman" w:cs="Times New Roman"/>
          <w:sz w:val="24"/>
        </w:rPr>
        <w:t>)</w:t>
      </w:r>
      <w:r w:rsidR="007637E5" w:rsidRPr="00AC4A03">
        <w:rPr>
          <w:rFonts w:ascii="Times New Roman" w:hAnsi="Times New Roman" w:cs="Times New Roman"/>
          <w:sz w:val="24"/>
        </w:rPr>
        <w:t>, PCP and TCS).</w:t>
      </w:r>
    </w:p>
    <w:p w14:paraId="492B61FC" w14:textId="77777777" w:rsidR="00DC7986" w:rsidRPr="00AC4A03" w:rsidRDefault="00DC7986" w:rsidP="00505CEA">
      <w:pPr>
        <w:spacing w:after="0" w:line="360" w:lineRule="auto"/>
        <w:rPr>
          <w:rFonts w:ascii="Times New Roman" w:hAnsi="Times New Roman" w:cs="Times New Roman"/>
          <w:sz w:val="24"/>
        </w:rPr>
      </w:pPr>
    </w:p>
    <w:tbl>
      <w:tblPr>
        <w:tblW w:w="5000" w:type="pct"/>
        <w:tblLook w:val="04A0" w:firstRow="1" w:lastRow="0" w:firstColumn="1" w:lastColumn="0" w:noHBand="0" w:noVBand="1"/>
      </w:tblPr>
      <w:tblGrid>
        <w:gridCol w:w="1440"/>
        <w:gridCol w:w="1458"/>
        <w:gridCol w:w="1469"/>
        <w:gridCol w:w="1470"/>
        <w:gridCol w:w="1726"/>
        <w:gridCol w:w="1463"/>
      </w:tblGrid>
      <w:tr w:rsidR="007D16BD" w:rsidRPr="00DC7986" w14:paraId="23916DCC" w14:textId="77777777" w:rsidTr="00505CEA">
        <w:trPr>
          <w:trHeight w:val="300"/>
        </w:trPr>
        <w:tc>
          <w:tcPr>
            <w:tcW w:w="813" w:type="pct"/>
            <w:tcBorders>
              <w:top w:val="single" w:sz="4" w:space="0" w:color="auto"/>
              <w:left w:val="nil"/>
              <w:bottom w:val="single" w:sz="4" w:space="0" w:color="auto"/>
              <w:right w:val="nil"/>
            </w:tcBorders>
            <w:shd w:val="clear" w:color="auto" w:fill="auto"/>
            <w:noWrap/>
            <w:vAlign w:val="bottom"/>
            <w:hideMark/>
          </w:tcPr>
          <w:p w14:paraId="7B95A630" w14:textId="77777777" w:rsidR="007D16BD" w:rsidRPr="00AC4A03" w:rsidRDefault="007D16BD" w:rsidP="00DC7986">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 </w:t>
            </w:r>
          </w:p>
        </w:tc>
        <w:tc>
          <w:tcPr>
            <w:tcW w:w="823" w:type="pct"/>
            <w:tcBorders>
              <w:top w:val="single" w:sz="4" w:space="0" w:color="auto"/>
              <w:left w:val="nil"/>
              <w:bottom w:val="single" w:sz="4" w:space="0" w:color="auto"/>
              <w:right w:val="nil"/>
            </w:tcBorders>
            <w:shd w:val="clear" w:color="auto" w:fill="auto"/>
            <w:noWrap/>
            <w:vAlign w:val="bottom"/>
            <w:hideMark/>
          </w:tcPr>
          <w:p w14:paraId="3715778C" w14:textId="77777777" w:rsidR="007D16BD" w:rsidRPr="00AC4A03" w:rsidRDefault="007D16BD" w:rsidP="00DC7986">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 </w:t>
            </w:r>
          </w:p>
        </w:tc>
        <w:tc>
          <w:tcPr>
            <w:tcW w:w="1657" w:type="pct"/>
            <w:gridSpan w:val="2"/>
            <w:tcBorders>
              <w:top w:val="single" w:sz="4" w:space="0" w:color="auto"/>
              <w:left w:val="nil"/>
              <w:bottom w:val="single" w:sz="4" w:space="0" w:color="auto"/>
              <w:right w:val="nil"/>
            </w:tcBorders>
            <w:shd w:val="clear" w:color="auto" w:fill="auto"/>
            <w:noWrap/>
            <w:vAlign w:val="bottom"/>
            <w:hideMark/>
          </w:tcPr>
          <w:p w14:paraId="4D98164B" w14:textId="12A3F3A5" w:rsidR="007D16BD" w:rsidRPr="00AC4A03" w:rsidRDefault="00C401D1" w:rsidP="00DC7986">
            <w:pPr>
              <w:spacing w:after="0" w:line="240" w:lineRule="auto"/>
              <w:jc w:val="center"/>
              <w:rPr>
                <w:rFonts w:ascii="Times New Roman" w:eastAsia="Times New Roman" w:hAnsi="Times New Roman" w:cs="Times New Roman"/>
                <w:b/>
                <w:bCs/>
                <w:color w:val="000000"/>
                <w:sz w:val="24"/>
                <w:szCs w:val="24"/>
              </w:rPr>
            </w:pPr>
            <w:r w:rsidRPr="00AC4A03">
              <w:rPr>
                <w:rFonts w:ascii="Times New Roman" w:eastAsia="Times New Roman" w:hAnsi="Times New Roman" w:cs="Times New Roman"/>
                <w:b/>
                <w:bCs/>
                <w:color w:val="000000"/>
                <w:sz w:val="24"/>
                <w:szCs w:val="24"/>
              </w:rPr>
              <w:t>E</w:t>
            </w:r>
            <w:r w:rsidR="007D16BD" w:rsidRPr="00AC4A03">
              <w:rPr>
                <w:rFonts w:ascii="Times New Roman" w:eastAsia="Times New Roman" w:hAnsi="Times New Roman" w:cs="Times New Roman"/>
                <w:b/>
                <w:bCs/>
                <w:color w:val="000000"/>
                <w:sz w:val="24"/>
                <w:szCs w:val="24"/>
              </w:rPr>
              <w:t>C</w:t>
            </w:r>
            <w:r w:rsidR="007D16BD" w:rsidRPr="00AC4A03">
              <w:rPr>
                <w:rFonts w:ascii="Times New Roman" w:eastAsia="Times New Roman" w:hAnsi="Times New Roman" w:cs="Times New Roman"/>
                <w:b/>
                <w:bCs/>
                <w:color w:val="000000"/>
                <w:sz w:val="24"/>
                <w:szCs w:val="24"/>
                <w:vertAlign w:val="subscript"/>
              </w:rPr>
              <w:t>50</w:t>
            </w:r>
            <w:r w:rsidR="002F1945" w:rsidRPr="00AC4A03">
              <w:rPr>
                <w:rFonts w:ascii="Times New Roman" w:eastAsia="Times New Roman" w:hAnsi="Times New Roman" w:cs="Times New Roman"/>
                <w:b/>
                <w:bCs/>
                <w:color w:val="000000"/>
                <w:sz w:val="24"/>
                <w:szCs w:val="24"/>
              </w:rPr>
              <w:t xml:space="preserve"> (</w:t>
            </w:r>
            <w:r w:rsidR="00621A1C" w:rsidRPr="00902969">
              <w:rPr>
                <w:rFonts w:ascii="Times New Roman" w:eastAsia="Times New Roman" w:hAnsi="Times New Roman" w:cs="Times New Roman"/>
                <w:b/>
                <w:bCs/>
                <w:color w:val="000000"/>
                <w:sz w:val="24"/>
                <w:szCs w:val="24"/>
              </w:rPr>
              <w:t>m</w:t>
            </w:r>
            <w:r w:rsidR="002F1945" w:rsidRPr="00AC4A03">
              <w:rPr>
                <w:rFonts w:ascii="Times New Roman" w:eastAsia="Times New Roman" w:hAnsi="Times New Roman" w:cs="Times New Roman"/>
                <w:b/>
                <w:bCs/>
                <w:color w:val="000000"/>
                <w:sz w:val="24"/>
                <w:szCs w:val="24"/>
              </w:rPr>
              <w:t>g</w:t>
            </w:r>
            <w:r w:rsidR="006B5DBC" w:rsidRPr="00AC4A03">
              <w:rPr>
                <w:rFonts w:ascii="Times New Roman" w:eastAsia="Times New Roman" w:hAnsi="Times New Roman" w:cs="Times New Roman"/>
                <w:b/>
                <w:bCs/>
                <w:color w:val="000000"/>
                <w:sz w:val="24"/>
                <w:szCs w:val="24"/>
              </w:rPr>
              <w:t>·</w:t>
            </w:r>
            <w:r w:rsidR="002F1945" w:rsidRPr="00AC4A03">
              <w:rPr>
                <w:rFonts w:ascii="Times New Roman" w:eastAsia="Times New Roman" w:hAnsi="Times New Roman" w:cs="Times New Roman"/>
                <w:b/>
                <w:bCs/>
                <w:color w:val="000000"/>
                <w:sz w:val="24"/>
                <w:szCs w:val="24"/>
              </w:rPr>
              <w:t>L</w:t>
            </w:r>
            <w:r w:rsidR="002F1945" w:rsidRPr="00AC4A03">
              <w:rPr>
                <w:rFonts w:ascii="Times New Roman" w:eastAsia="Times New Roman" w:hAnsi="Times New Roman" w:cs="Times New Roman"/>
                <w:b/>
                <w:bCs/>
                <w:color w:val="000000"/>
                <w:sz w:val="24"/>
                <w:szCs w:val="24"/>
                <w:vertAlign w:val="superscript"/>
              </w:rPr>
              <w:t>-1</w:t>
            </w:r>
            <w:r w:rsidR="002F1945" w:rsidRPr="00AC4A03">
              <w:rPr>
                <w:rFonts w:ascii="Times New Roman" w:eastAsia="Times New Roman" w:hAnsi="Times New Roman" w:cs="Times New Roman"/>
                <w:b/>
                <w:bCs/>
                <w:color w:val="000000"/>
                <w:sz w:val="24"/>
                <w:szCs w:val="24"/>
              </w:rPr>
              <w:t>)</w:t>
            </w:r>
          </w:p>
        </w:tc>
        <w:tc>
          <w:tcPr>
            <w:tcW w:w="1707" w:type="pct"/>
            <w:gridSpan w:val="2"/>
            <w:tcBorders>
              <w:top w:val="single" w:sz="4" w:space="0" w:color="auto"/>
              <w:left w:val="nil"/>
              <w:bottom w:val="single" w:sz="4" w:space="0" w:color="auto"/>
              <w:right w:val="nil"/>
            </w:tcBorders>
            <w:shd w:val="clear" w:color="auto" w:fill="auto"/>
            <w:noWrap/>
            <w:vAlign w:val="bottom"/>
            <w:hideMark/>
          </w:tcPr>
          <w:p w14:paraId="5E9C0C51" w14:textId="36C6AB5A" w:rsidR="007D16BD" w:rsidRPr="00AC4A03" w:rsidRDefault="007D16BD" w:rsidP="00DC7986">
            <w:pPr>
              <w:spacing w:after="0" w:line="240" w:lineRule="auto"/>
              <w:jc w:val="center"/>
              <w:rPr>
                <w:rFonts w:ascii="Times New Roman" w:eastAsia="Times New Roman" w:hAnsi="Times New Roman" w:cs="Times New Roman"/>
                <w:b/>
                <w:bCs/>
                <w:color w:val="000000"/>
                <w:sz w:val="24"/>
                <w:szCs w:val="24"/>
              </w:rPr>
            </w:pPr>
            <w:r w:rsidRPr="00AC4A03">
              <w:rPr>
                <w:rFonts w:ascii="Times New Roman" w:eastAsia="Times New Roman" w:hAnsi="Times New Roman" w:cs="Times New Roman"/>
                <w:b/>
                <w:bCs/>
                <w:color w:val="000000"/>
                <w:sz w:val="24"/>
                <w:szCs w:val="24"/>
              </w:rPr>
              <w:t>MIC</w:t>
            </w:r>
            <w:r w:rsidR="002F1945" w:rsidRPr="00AC4A03">
              <w:rPr>
                <w:rFonts w:ascii="Times New Roman" w:eastAsia="Times New Roman" w:hAnsi="Times New Roman" w:cs="Times New Roman"/>
                <w:b/>
                <w:bCs/>
                <w:color w:val="000000"/>
                <w:sz w:val="24"/>
                <w:szCs w:val="24"/>
              </w:rPr>
              <w:t xml:space="preserve"> (mg</w:t>
            </w:r>
            <w:r w:rsidR="006B5DBC" w:rsidRPr="00AC4A03">
              <w:rPr>
                <w:rFonts w:ascii="Times New Roman" w:eastAsia="Times New Roman" w:hAnsi="Times New Roman" w:cs="Times New Roman"/>
                <w:b/>
                <w:bCs/>
                <w:color w:val="000000"/>
                <w:sz w:val="24"/>
                <w:szCs w:val="24"/>
              </w:rPr>
              <w:t>·</w:t>
            </w:r>
            <w:r w:rsidR="002F1945" w:rsidRPr="00AC4A03">
              <w:rPr>
                <w:rFonts w:ascii="Times New Roman" w:eastAsia="Times New Roman" w:hAnsi="Times New Roman" w:cs="Times New Roman"/>
                <w:b/>
                <w:bCs/>
                <w:color w:val="000000"/>
                <w:sz w:val="24"/>
                <w:szCs w:val="24"/>
              </w:rPr>
              <w:t>L</w:t>
            </w:r>
            <w:r w:rsidR="002F1945" w:rsidRPr="00AC4A03">
              <w:rPr>
                <w:rFonts w:ascii="Times New Roman" w:eastAsia="Times New Roman" w:hAnsi="Times New Roman" w:cs="Times New Roman"/>
                <w:b/>
                <w:bCs/>
                <w:color w:val="000000"/>
                <w:sz w:val="24"/>
                <w:szCs w:val="24"/>
                <w:vertAlign w:val="superscript"/>
              </w:rPr>
              <w:t>-1</w:t>
            </w:r>
            <w:r w:rsidR="002F1945" w:rsidRPr="00AC4A03">
              <w:rPr>
                <w:rFonts w:ascii="Times New Roman" w:eastAsia="Times New Roman" w:hAnsi="Times New Roman" w:cs="Times New Roman"/>
                <w:b/>
                <w:bCs/>
                <w:color w:val="000000"/>
                <w:sz w:val="24"/>
                <w:szCs w:val="24"/>
              </w:rPr>
              <w:t>)</w:t>
            </w:r>
          </w:p>
        </w:tc>
      </w:tr>
      <w:tr w:rsidR="007D16BD" w:rsidRPr="00DC7986" w14:paraId="7C2F90FC" w14:textId="77777777" w:rsidTr="00505CEA">
        <w:trPr>
          <w:trHeight w:val="573"/>
        </w:trPr>
        <w:tc>
          <w:tcPr>
            <w:tcW w:w="813" w:type="pct"/>
            <w:tcBorders>
              <w:top w:val="nil"/>
              <w:left w:val="nil"/>
              <w:bottom w:val="nil"/>
              <w:right w:val="nil"/>
            </w:tcBorders>
            <w:shd w:val="clear" w:color="auto" w:fill="auto"/>
            <w:noWrap/>
            <w:vAlign w:val="center"/>
            <w:hideMark/>
          </w:tcPr>
          <w:p w14:paraId="1D2DF3F1" w14:textId="77777777" w:rsidR="007D16BD" w:rsidRPr="00AC4A03" w:rsidRDefault="007D16BD" w:rsidP="005F4C25">
            <w:pPr>
              <w:spacing w:after="0" w:line="240" w:lineRule="auto"/>
              <w:rPr>
                <w:rFonts w:ascii="Times New Roman" w:eastAsia="Times New Roman" w:hAnsi="Times New Roman" w:cs="Times New Roman"/>
                <w:b/>
                <w:bCs/>
                <w:color w:val="000000"/>
              </w:rPr>
            </w:pPr>
            <w:r w:rsidRPr="00AC4A03">
              <w:rPr>
                <w:rFonts w:ascii="Times New Roman" w:eastAsia="Times New Roman" w:hAnsi="Times New Roman" w:cs="Times New Roman"/>
                <w:b/>
                <w:bCs/>
                <w:color w:val="000000"/>
              </w:rPr>
              <w:t>Isolate</w:t>
            </w:r>
          </w:p>
        </w:tc>
        <w:tc>
          <w:tcPr>
            <w:tcW w:w="823" w:type="pct"/>
            <w:tcBorders>
              <w:top w:val="nil"/>
              <w:left w:val="nil"/>
              <w:bottom w:val="nil"/>
              <w:right w:val="nil"/>
            </w:tcBorders>
            <w:shd w:val="clear" w:color="auto" w:fill="auto"/>
            <w:noWrap/>
            <w:vAlign w:val="center"/>
            <w:hideMark/>
          </w:tcPr>
          <w:p w14:paraId="06F42D4F" w14:textId="77777777" w:rsidR="007D16BD" w:rsidRPr="00AC4A03" w:rsidRDefault="007D16BD" w:rsidP="005F4C25">
            <w:pPr>
              <w:spacing w:after="0" w:line="240" w:lineRule="auto"/>
              <w:rPr>
                <w:rFonts w:ascii="Times New Roman" w:eastAsia="Times New Roman" w:hAnsi="Times New Roman" w:cs="Times New Roman"/>
                <w:b/>
                <w:bCs/>
                <w:color w:val="000000"/>
              </w:rPr>
            </w:pPr>
            <w:r w:rsidRPr="00AC4A03">
              <w:rPr>
                <w:rFonts w:ascii="Times New Roman" w:eastAsia="Times New Roman" w:hAnsi="Times New Roman" w:cs="Times New Roman"/>
                <w:b/>
                <w:bCs/>
                <w:color w:val="000000"/>
              </w:rPr>
              <w:t>Species</w:t>
            </w:r>
          </w:p>
        </w:tc>
        <w:tc>
          <w:tcPr>
            <w:tcW w:w="829" w:type="pct"/>
            <w:tcBorders>
              <w:top w:val="nil"/>
              <w:left w:val="nil"/>
              <w:bottom w:val="nil"/>
              <w:right w:val="nil"/>
            </w:tcBorders>
            <w:shd w:val="clear" w:color="auto" w:fill="auto"/>
            <w:noWrap/>
            <w:vAlign w:val="center"/>
            <w:hideMark/>
          </w:tcPr>
          <w:p w14:paraId="607AF17C" w14:textId="77777777" w:rsidR="007D16BD" w:rsidRPr="00AC4A03" w:rsidRDefault="007D16BD" w:rsidP="00DC7986">
            <w:pPr>
              <w:spacing w:after="0" w:line="240" w:lineRule="auto"/>
              <w:jc w:val="center"/>
              <w:rPr>
                <w:rFonts w:ascii="Times New Roman" w:eastAsia="Times New Roman" w:hAnsi="Times New Roman" w:cs="Times New Roman"/>
                <w:b/>
                <w:bCs/>
                <w:color w:val="000000"/>
              </w:rPr>
            </w:pPr>
            <w:r w:rsidRPr="00AC4A03">
              <w:rPr>
                <w:rFonts w:ascii="Times New Roman" w:eastAsia="Times New Roman" w:hAnsi="Times New Roman" w:cs="Times New Roman"/>
                <w:b/>
                <w:bCs/>
                <w:color w:val="000000"/>
              </w:rPr>
              <w:t>PCP</w:t>
            </w:r>
          </w:p>
        </w:tc>
        <w:tc>
          <w:tcPr>
            <w:tcW w:w="829" w:type="pct"/>
            <w:tcBorders>
              <w:top w:val="nil"/>
              <w:left w:val="nil"/>
              <w:bottom w:val="nil"/>
              <w:right w:val="nil"/>
            </w:tcBorders>
            <w:shd w:val="clear" w:color="auto" w:fill="auto"/>
            <w:noWrap/>
            <w:vAlign w:val="center"/>
            <w:hideMark/>
          </w:tcPr>
          <w:p w14:paraId="678F0E51" w14:textId="77777777" w:rsidR="007D16BD" w:rsidRPr="00AC4A03" w:rsidRDefault="007D16BD" w:rsidP="00DC7986">
            <w:pPr>
              <w:spacing w:after="0" w:line="240" w:lineRule="auto"/>
              <w:jc w:val="center"/>
              <w:rPr>
                <w:rFonts w:ascii="Times New Roman" w:eastAsia="Times New Roman" w:hAnsi="Times New Roman" w:cs="Times New Roman"/>
                <w:b/>
                <w:bCs/>
                <w:color w:val="000000"/>
              </w:rPr>
            </w:pPr>
            <w:r w:rsidRPr="00AC4A03">
              <w:rPr>
                <w:rFonts w:ascii="Times New Roman" w:eastAsia="Times New Roman" w:hAnsi="Times New Roman" w:cs="Times New Roman"/>
                <w:b/>
                <w:bCs/>
                <w:color w:val="000000"/>
              </w:rPr>
              <w:t>TCS</w:t>
            </w:r>
          </w:p>
        </w:tc>
        <w:tc>
          <w:tcPr>
            <w:tcW w:w="932" w:type="pct"/>
            <w:tcBorders>
              <w:top w:val="nil"/>
              <w:left w:val="nil"/>
              <w:bottom w:val="nil"/>
              <w:right w:val="nil"/>
            </w:tcBorders>
            <w:shd w:val="clear" w:color="auto" w:fill="auto"/>
            <w:noWrap/>
            <w:vAlign w:val="center"/>
            <w:hideMark/>
          </w:tcPr>
          <w:p w14:paraId="76252552" w14:textId="77777777" w:rsidR="007D16BD" w:rsidRPr="00AC4A03" w:rsidRDefault="007D16BD" w:rsidP="00DC7986">
            <w:pPr>
              <w:spacing w:after="0" w:line="240" w:lineRule="auto"/>
              <w:jc w:val="center"/>
              <w:rPr>
                <w:rFonts w:ascii="Times New Roman" w:eastAsia="Times New Roman" w:hAnsi="Times New Roman" w:cs="Times New Roman"/>
                <w:b/>
                <w:bCs/>
                <w:color w:val="000000"/>
              </w:rPr>
            </w:pPr>
            <w:r w:rsidRPr="00AC4A03">
              <w:rPr>
                <w:rFonts w:ascii="Times New Roman" w:eastAsia="Times New Roman" w:hAnsi="Times New Roman" w:cs="Times New Roman"/>
                <w:b/>
                <w:bCs/>
                <w:color w:val="000000"/>
              </w:rPr>
              <w:t>Amphotericin B</w:t>
            </w:r>
          </w:p>
        </w:tc>
        <w:tc>
          <w:tcPr>
            <w:tcW w:w="775" w:type="pct"/>
            <w:tcBorders>
              <w:top w:val="nil"/>
              <w:left w:val="nil"/>
              <w:bottom w:val="nil"/>
              <w:right w:val="nil"/>
            </w:tcBorders>
            <w:shd w:val="clear" w:color="auto" w:fill="auto"/>
            <w:noWrap/>
            <w:vAlign w:val="center"/>
            <w:hideMark/>
          </w:tcPr>
          <w:p w14:paraId="0A15AA36" w14:textId="77777777" w:rsidR="007D16BD" w:rsidRPr="00AC4A03" w:rsidRDefault="007D16BD" w:rsidP="00DC7986">
            <w:pPr>
              <w:spacing w:after="0" w:line="240" w:lineRule="auto"/>
              <w:jc w:val="center"/>
              <w:rPr>
                <w:rFonts w:ascii="Times New Roman" w:eastAsia="Times New Roman" w:hAnsi="Times New Roman" w:cs="Times New Roman"/>
                <w:b/>
                <w:bCs/>
                <w:color w:val="000000"/>
              </w:rPr>
            </w:pPr>
            <w:r w:rsidRPr="00AC4A03">
              <w:rPr>
                <w:rFonts w:ascii="Times New Roman" w:eastAsia="Times New Roman" w:hAnsi="Times New Roman" w:cs="Times New Roman"/>
                <w:b/>
                <w:bCs/>
                <w:color w:val="000000"/>
              </w:rPr>
              <w:t>Posaconazole</w:t>
            </w:r>
          </w:p>
        </w:tc>
      </w:tr>
      <w:tr w:rsidR="007D16BD" w:rsidRPr="00DC7986" w14:paraId="58A33814" w14:textId="77777777" w:rsidTr="00505CEA">
        <w:trPr>
          <w:trHeight w:val="573"/>
        </w:trPr>
        <w:tc>
          <w:tcPr>
            <w:tcW w:w="813" w:type="pct"/>
            <w:tcBorders>
              <w:top w:val="nil"/>
              <w:left w:val="nil"/>
              <w:bottom w:val="nil"/>
              <w:right w:val="nil"/>
            </w:tcBorders>
            <w:shd w:val="clear" w:color="auto" w:fill="auto"/>
            <w:noWrap/>
            <w:vAlign w:val="center"/>
            <w:hideMark/>
          </w:tcPr>
          <w:p w14:paraId="47DA1CAA"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AEM004</w:t>
            </w:r>
          </w:p>
        </w:tc>
        <w:tc>
          <w:tcPr>
            <w:tcW w:w="823" w:type="pct"/>
            <w:tcBorders>
              <w:top w:val="nil"/>
              <w:left w:val="nil"/>
              <w:bottom w:val="nil"/>
              <w:right w:val="nil"/>
            </w:tcBorders>
            <w:shd w:val="clear" w:color="auto" w:fill="auto"/>
            <w:noWrap/>
            <w:vAlign w:val="center"/>
            <w:hideMark/>
          </w:tcPr>
          <w:p w14:paraId="158A8F2F"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7FA3C75A"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10.540</w:t>
            </w:r>
          </w:p>
        </w:tc>
        <w:tc>
          <w:tcPr>
            <w:tcW w:w="829" w:type="pct"/>
            <w:tcBorders>
              <w:top w:val="nil"/>
              <w:left w:val="nil"/>
              <w:bottom w:val="nil"/>
              <w:right w:val="nil"/>
            </w:tcBorders>
            <w:shd w:val="clear" w:color="auto" w:fill="auto"/>
            <w:noWrap/>
            <w:vAlign w:val="center"/>
            <w:hideMark/>
          </w:tcPr>
          <w:p w14:paraId="4923BA43"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36.913</w:t>
            </w:r>
          </w:p>
        </w:tc>
        <w:tc>
          <w:tcPr>
            <w:tcW w:w="932" w:type="pct"/>
            <w:tcBorders>
              <w:top w:val="nil"/>
              <w:left w:val="nil"/>
              <w:bottom w:val="nil"/>
              <w:right w:val="nil"/>
            </w:tcBorders>
            <w:shd w:val="clear" w:color="auto" w:fill="auto"/>
            <w:noWrap/>
            <w:vAlign w:val="center"/>
            <w:hideMark/>
          </w:tcPr>
          <w:p w14:paraId="7AAD6BD6"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8.000</w:t>
            </w:r>
          </w:p>
        </w:tc>
        <w:tc>
          <w:tcPr>
            <w:tcW w:w="775" w:type="pct"/>
            <w:tcBorders>
              <w:top w:val="nil"/>
              <w:left w:val="nil"/>
              <w:bottom w:val="nil"/>
              <w:right w:val="nil"/>
            </w:tcBorders>
            <w:shd w:val="clear" w:color="auto" w:fill="auto"/>
            <w:noWrap/>
            <w:vAlign w:val="center"/>
            <w:hideMark/>
          </w:tcPr>
          <w:p w14:paraId="6A0EE63A"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0.125</w:t>
            </w:r>
          </w:p>
        </w:tc>
      </w:tr>
      <w:tr w:rsidR="007D16BD" w:rsidRPr="00DC7986" w14:paraId="32FA1F9B" w14:textId="77777777" w:rsidTr="00505CEA">
        <w:trPr>
          <w:trHeight w:val="573"/>
        </w:trPr>
        <w:tc>
          <w:tcPr>
            <w:tcW w:w="813" w:type="pct"/>
            <w:tcBorders>
              <w:top w:val="nil"/>
              <w:left w:val="nil"/>
              <w:bottom w:val="nil"/>
              <w:right w:val="nil"/>
            </w:tcBorders>
            <w:shd w:val="clear" w:color="auto" w:fill="auto"/>
            <w:noWrap/>
            <w:vAlign w:val="center"/>
            <w:hideMark/>
          </w:tcPr>
          <w:p w14:paraId="08AB3E85"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AEM005</w:t>
            </w:r>
          </w:p>
        </w:tc>
        <w:tc>
          <w:tcPr>
            <w:tcW w:w="823" w:type="pct"/>
            <w:tcBorders>
              <w:top w:val="nil"/>
              <w:left w:val="nil"/>
              <w:bottom w:val="nil"/>
              <w:right w:val="nil"/>
            </w:tcBorders>
            <w:shd w:val="clear" w:color="auto" w:fill="auto"/>
            <w:noWrap/>
            <w:vAlign w:val="center"/>
            <w:hideMark/>
          </w:tcPr>
          <w:p w14:paraId="2C8A3355"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 xml:space="preserve">S. </w:t>
            </w:r>
            <w:proofErr w:type="spellStart"/>
            <w:r w:rsidRPr="00AC4A03">
              <w:rPr>
                <w:rFonts w:ascii="Times New Roman" w:eastAsia="Times New Roman" w:hAnsi="Times New Roman" w:cs="Times New Roman"/>
                <w:i/>
                <w:iCs/>
                <w:color w:val="000000"/>
              </w:rPr>
              <w:t>racemosum</w:t>
            </w:r>
            <w:proofErr w:type="spellEnd"/>
          </w:p>
        </w:tc>
        <w:tc>
          <w:tcPr>
            <w:tcW w:w="829" w:type="pct"/>
            <w:tcBorders>
              <w:top w:val="nil"/>
              <w:left w:val="nil"/>
              <w:bottom w:val="nil"/>
              <w:right w:val="nil"/>
            </w:tcBorders>
            <w:shd w:val="clear" w:color="auto" w:fill="auto"/>
            <w:noWrap/>
            <w:vAlign w:val="center"/>
            <w:hideMark/>
          </w:tcPr>
          <w:p w14:paraId="4CE01480"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8.111</w:t>
            </w:r>
          </w:p>
        </w:tc>
        <w:tc>
          <w:tcPr>
            <w:tcW w:w="829" w:type="pct"/>
            <w:tcBorders>
              <w:top w:val="nil"/>
              <w:left w:val="nil"/>
              <w:bottom w:val="nil"/>
              <w:right w:val="nil"/>
            </w:tcBorders>
            <w:shd w:val="clear" w:color="auto" w:fill="auto"/>
            <w:noWrap/>
            <w:vAlign w:val="center"/>
            <w:hideMark/>
          </w:tcPr>
          <w:p w14:paraId="4B7F5D6C"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21.429</w:t>
            </w:r>
          </w:p>
        </w:tc>
        <w:tc>
          <w:tcPr>
            <w:tcW w:w="932" w:type="pct"/>
            <w:tcBorders>
              <w:top w:val="nil"/>
              <w:left w:val="nil"/>
              <w:bottom w:val="nil"/>
              <w:right w:val="nil"/>
            </w:tcBorders>
            <w:shd w:val="clear" w:color="auto" w:fill="auto"/>
            <w:noWrap/>
            <w:vAlign w:val="center"/>
            <w:hideMark/>
          </w:tcPr>
          <w:p w14:paraId="702FD9CA"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2.000</w:t>
            </w:r>
          </w:p>
        </w:tc>
        <w:tc>
          <w:tcPr>
            <w:tcW w:w="775" w:type="pct"/>
            <w:tcBorders>
              <w:top w:val="nil"/>
              <w:left w:val="nil"/>
              <w:bottom w:val="nil"/>
              <w:right w:val="nil"/>
            </w:tcBorders>
            <w:shd w:val="clear" w:color="auto" w:fill="auto"/>
            <w:noWrap/>
            <w:vAlign w:val="center"/>
            <w:hideMark/>
          </w:tcPr>
          <w:p w14:paraId="76C30740"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2.000</w:t>
            </w:r>
          </w:p>
        </w:tc>
      </w:tr>
      <w:tr w:rsidR="007D16BD" w:rsidRPr="00AC4A03" w14:paraId="5DD7E1FF" w14:textId="77777777" w:rsidTr="00505CEA">
        <w:trPr>
          <w:trHeight w:val="573"/>
        </w:trPr>
        <w:tc>
          <w:tcPr>
            <w:tcW w:w="813" w:type="pct"/>
            <w:tcBorders>
              <w:top w:val="nil"/>
              <w:left w:val="nil"/>
              <w:bottom w:val="nil"/>
              <w:right w:val="nil"/>
            </w:tcBorders>
            <w:shd w:val="clear" w:color="auto" w:fill="auto"/>
            <w:noWrap/>
            <w:vAlign w:val="center"/>
            <w:hideMark/>
          </w:tcPr>
          <w:p w14:paraId="409B52CD"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AEM006</w:t>
            </w:r>
          </w:p>
        </w:tc>
        <w:tc>
          <w:tcPr>
            <w:tcW w:w="823" w:type="pct"/>
            <w:tcBorders>
              <w:top w:val="nil"/>
              <w:left w:val="nil"/>
              <w:bottom w:val="nil"/>
              <w:right w:val="nil"/>
            </w:tcBorders>
            <w:shd w:val="clear" w:color="auto" w:fill="auto"/>
            <w:noWrap/>
            <w:vAlign w:val="center"/>
            <w:hideMark/>
          </w:tcPr>
          <w:p w14:paraId="21C465FB"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06890A0E"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6.637</w:t>
            </w:r>
          </w:p>
        </w:tc>
        <w:tc>
          <w:tcPr>
            <w:tcW w:w="829" w:type="pct"/>
            <w:tcBorders>
              <w:top w:val="nil"/>
              <w:left w:val="nil"/>
              <w:bottom w:val="nil"/>
              <w:right w:val="nil"/>
            </w:tcBorders>
            <w:shd w:val="clear" w:color="auto" w:fill="auto"/>
            <w:noWrap/>
            <w:vAlign w:val="center"/>
            <w:hideMark/>
          </w:tcPr>
          <w:p w14:paraId="52537395"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26.834</w:t>
            </w:r>
          </w:p>
        </w:tc>
        <w:tc>
          <w:tcPr>
            <w:tcW w:w="932" w:type="pct"/>
            <w:tcBorders>
              <w:top w:val="nil"/>
              <w:left w:val="nil"/>
              <w:bottom w:val="nil"/>
              <w:right w:val="nil"/>
            </w:tcBorders>
            <w:shd w:val="clear" w:color="auto" w:fill="auto"/>
            <w:noWrap/>
            <w:vAlign w:val="center"/>
            <w:hideMark/>
          </w:tcPr>
          <w:p w14:paraId="6685F351"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8.000</w:t>
            </w:r>
          </w:p>
        </w:tc>
        <w:tc>
          <w:tcPr>
            <w:tcW w:w="775" w:type="pct"/>
            <w:tcBorders>
              <w:top w:val="nil"/>
              <w:left w:val="nil"/>
              <w:bottom w:val="nil"/>
              <w:right w:val="nil"/>
            </w:tcBorders>
            <w:shd w:val="clear" w:color="auto" w:fill="auto"/>
            <w:noWrap/>
            <w:vAlign w:val="center"/>
            <w:hideMark/>
          </w:tcPr>
          <w:p w14:paraId="3BD4629D"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0.250</w:t>
            </w:r>
          </w:p>
        </w:tc>
      </w:tr>
      <w:tr w:rsidR="007D16BD" w:rsidRPr="00AC4A03" w14:paraId="692F9BBE" w14:textId="77777777" w:rsidTr="00505CEA">
        <w:trPr>
          <w:trHeight w:val="573"/>
        </w:trPr>
        <w:tc>
          <w:tcPr>
            <w:tcW w:w="813" w:type="pct"/>
            <w:tcBorders>
              <w:top w:val="nil"/>
              <w:left w:val="nil"/>
              <w:bottom w:val="nil"/>
              <w:right w:val="nil"/>
            </w:tcBorders>
            <w:shd w:val="clear" w:color="auto" w:fill="auto"/>
            <w:noWrap/>
            <w:vAlign w:val="center"/>
            <w:hideMark/>
          </w:tcPr>
          <w:p w14:paraId="3E05DFFC"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AEM007</w:t>
            </w:r>
          </w:p>
        </w:tc>
        <w:tc>
          <w:tcPr>
            <w:tcW w:w="823" w:type="pct"/>
            <w:tcBorders>
              <w:top w:val="nil"/>
              <w:left w:val="nil"/>
              <w:bottom w:val="nil"/>
              <w:right w:val="nil"/>
            </w:tcBorders>
            <w:shd w:val="clear" w:color="auto" w:fill="auto"/>
            <w:noWrap/>
            <w:vAlign w:val="center"/>
            <w:hideMark/>
          </w:tcPr>
          <w:p w14:paraId="026E930E"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670C1EA8"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8.152</w:t>
            </w:r>
          </w:p>
        </w:tc>
        <w:tc>
          <w:tcPr>
            <w:tcW w:w="829" w:type="pct"/>
            <w:tcBorders>
              <w:top w:val="nil"/>
              <w:left w:val="nil"/>
              <w:bottom w:val="nil"/>
              <w:right w:val="nil"/>
            </w:tcBorders>
            <w:shd w:val="clear" w:color="auto" w:fill="auto"/>
            <w:noWrap/>
            <w:vAlign w:val="center"/>
            <w:hideMark/>
          </w:tcPr>
          <w:p w14:paraId="5700F111"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23.023</w:t>
            </w:r>
          </w:p>
        </w:tc>
        <w:tc>
          <w:tcPr>
            <w:tcW w:w="932" w:type="pct"/>
            <w:tcBorders>
              <w:top w:val="nil"/>
              <w:left w:val="nil"/>
              <w:bottom w:val="nil"/>
              <w:right w:val="nil"/>
            </w:tcBorders>
            <w:shd w:val="clear" w:color="auto" w:fill="auto"/>
            <w:noWrap/>
            <w:vAlign w:val="center"/>
            <w:hideMark/>
          </w:tcPr>
          <w:p w14:paraId="5A2D0871"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64.000</w:t>
            </w:r>
          </w:p>
        </w:tc>
        <w:tc>
          <w:tcPr>
            <w:tcW w:w="775" w:type="pct"/>
            <w:tcBorders>
              <w:top w:val="nil"/>
              <w:left w:val="nil"/>
              <w:bottom w:val="nil"/>
              <w:right w:val="nil"/>
            </w:tcBorders>
            <w:shd w:val="clear" w:color="auto" w:fill="auto"/>
            <w:noWrap/>
            <w:vAlign w:val="center"/>
            <w:hideMark/>
          </w:tcPr>
          <w:p w14:paraId="0CA9CD24"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0.063</w:t>
            </w:r>
          </w:p>
        </w:tc>
      </w:tr>
      <w:tr w:rsidR="007D16BD" w:rsidRPr="00AC4A03" w14:paraId="7C5F175B" w14:textId="77777777" w:rsidTr="00505CEA">
        <w:trPr>
          <w:trHeight w:val="573"/>
        </w:trPr>
        <w:tc>
          <w:tcPr>
            <w:tcW w:w="813" w:type="pct"/>
            <w:tcBorders>
              <w:top w:val="nil"/>
              <w:left w:val="nil"/>
              <w:bottom w:val="nil"/>
              <w:right w:val="nil"/>
            </w:tcBorders>
            <w:shd w:val="clear" w:color="auto" w:fill="auto"/>
            <w:noWrap/>
            <w:vAlign w:val="center"/>
            <w:hideMark/>
          </w:tcPr>
          <w:p w14:paraId="6276B4AB"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AEM008</w:t>
            </w:r>
          </w:p>
        </w:tc>
        <w:tc>
          <w:tcPr>
            <w:tcW w:w="823" w:type="pct"/>
            <w:tcBorders>
              <w:top w:val="nil"/>
              <w:left w:val="nil"/>
              <w:bottom w:val="nil"/>
              <w:right w:val="nil"/>
            </w:tcBorders>
            <w:shd w:val="clear" w:color="auto" w:fill="auto"/>
            <w:noWrap/>
            <w:vAlign w:val="center"/>
            <w:hideMark/>
          </w:tcPr>
          <w:p w14:paraId="7EFDEC7E"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6E669EF3"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6.865</w:t>
            </w:r>
          </w:p>
        </w:tc>
        <w:tc>
          <w:tcPr>
            <w:tcW w:w="829" w:type="pct"/>
            <w:tcBorders>
              <w:top w:val="nil"/>
              <w:left w:val="nil"/>
              <w:bottom w:val="nil"/>
              <w:right w:val="nil"/>
            </w:tcBorders>
            <w:shd w:val="clear" w:color="auto" w:fill="auto"/>
            <w:noWrap/>
            <w:vAlign w:val="center"/>
            <w:hideMark/>
          </w:tcPr>
          <w:p w14:paraId="71ECAFCF"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20.973</w:t>
            </w:r>
          </w:p>
        </w:tc>
        <w:tc>
          <w:tcPr>
            <w:tcW w:w="932" w:type="pct"/>
            <w:tcBorders>
              <w:top w:val="nil"/>
              <w:left w:val="nil"/>
              <w:bottom w:val="nil"/>
              <w:right w:val="nil"/>
            </w:tcBorders>
            <w:shd w:val="clear" w:color="auto" w:fill="auto"/>
            <w:noWrap/>
            <w:vAlign w:val="center"/>
            <w:hideMark/>
          </w:tcPr>
          <w:p w14:paraId="202188D2"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128.000</w:t>
            </w:r>
          </w:p>
        </w:tc>
        <w:tc>
          <w:tcPr>
            <w:tcW w:w="775" w:type="pct"/>
            <w:tcBorders>
              <w:top w:val="nil"/>
              <w:left w:val="nil"/>
              <w:bottom w:val="nil"/>
              <w:right w:val="nil"/>
            </w:tcBorders>
            <w:shd w:val="clear" w:color="auto" w:fill="auto"/>
            <w:noWrap/>
            <w:vAlign w:val="center"/>
            <w:hideMark/>
          </w:tcPr>
          <w:p w14:paraId="418A9411"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0.250</w:t>
            </w:r>
          </w:p>
        </w:tc>
      </w:tr>
      <w:tr w:rsidR="007D16BD" w:rsidRPr="00AC4A03" w14:paraId="57DCECC9" w14:textId="77777777" w:rsidTr="00505CEA">
        <w:trPr>
          <w:trHeight w:val="573"/>
        </w:trPr>
        <w:tc>
          <w:tcPr>
            <w:tcW w:w="813" w:type="pct"/>
            <w:tcBorders>
              <w:top w:val="nil"/>
              <w:left w:val="nil"/>
              <w:bottom w:val="nil"/>
              <w:right w:val="nil"/>
            </w:tcBorders>
            <w:shd w:val="clear" w:color="auto" w:fill="auto"/>
            <w:noWrap/>
            <w:vAlign w:val="center"/>
            <w:hideMark/>
          </w:tcPr>
          <w:p w14:paraId="670FED53"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AEM009</w:t>
            </w:r>
          </w:p>
        </w:tc>
        <w:tc>
          <w:tcPr>
            <w:tcW w:w="823" w:type="pct"/>
            <w:tcBorders>
              <w:top w:val="nil"/>
              <w:left w:val="nil"/>
              <w:bottom w:val="nil"/>
              <w:right w:val="nil"/>
            </w:tcBorders>
            <w:shd w:val="clear" w:color="auto" w:fill="auto"/>
            <w:noWrap/>
            <w:vAlign w:val="center"/>
            <w:hideMark/>
          </w:tcPr>
          <w:p w14:paraId="69107F50"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38F10B10"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8.552</w:t>
            </w:r>
          </w:p>
        </w:tc>
        <w:tc>
          <w:tcPr>
            <w:tcW w:w="829" w:type="pct"/>
            <w:tcBorders>
              <w:top w:val="nil"/>
              <w:left w:val="nil"/>
              <w:bottom w:val="nil"/>
              <w:right w:val="nil"/>
            </w:tcBorders>
            <w:shd w:val="clear" w:color="auto" w:fill="auto"/>
            <w:noWrap/>
            <w:vAlign w:val="center"/>
            <w:hideMark/>
          </w:tcPr>
          <w:p w14:paraId="124226FA"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22.124</w:t>
            </w:r>
          </w:p>
        </w:tc>
        <w:tc>
          <w:tcPr>
            <w:tcW w:w="932" w:type="pct"/>
            <w:tcBorders>
              <w:top w:val="nil"/>
              <w:left w:val="nil"/>
              <w:bottom w:val="nil"/>
              <w:right w:val="nil"/>
            </w:tcBorders>
            <w:shd w:val="clear" w:color="auto" w:fill="auto"/>
            <w:noWrap/>
            <w:vAlign w:val="center"/>
            <w:hideMark/>
          </w:tcPr>
          <w:p w14:paraId="0EDE0736"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128.000</w:t>
            </w:r>
          </w:p>
        </w:tc>
        <w:tc>
          <w:tcPr>
            <w:tcW w:w="775" w:type="pct"/>
            <w:tcBorders>
              <w:top w:val="nil"/>
              <w:left w:val="nil"/>
              <w:bottom w:val="nil"/>
              <w:right w:val="nil"/>
            </w:tcBorders>
            <w:shd w:val="clear" w:color="auto" w:fill="auto"/>
            <w:noWrap/>
            <w:vAlign w:val="center"/>
            <w:hideMark/>
          </w:tcPr>
          <w:p w14:paraId="76C7538B"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0.250</w:t>
            </w:r>
          </w:p>
        </w:tc>
      </w:tr>
      <w:tr w:rsidR="007D16BD" w:rsidRPr="00AC4A03" w14:paraId="6C0DA464" w14:textId="77777777" w:rsidTr="00505CEA">
        <w:trPr>
          <w:trHeight w:val="573"/>
        </w:trPr>
        <w:tc>
          <w:tcPr>
            <w:tcW w:w="813" w:type="pct"/>
            <w:tcBorders>
              <w:top w:val="nil"/>
              <w:left w:val="nil"/>
              <w:bottom w:val="nil"/>
              <w:right w:val="nil"/>
            </w:tcBorders>
            <w:shd w:val="clear" w:color="auto" w:fill="auto"/>
            <w:noWrap/>
            <w:vAlign w:val="center"/>
            <w:hideMark/>
          </w:tcPr>
          <w:p w14:paraId="5174CD6F"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AEM010</w:t>
            </w:r>
          </w:p>
        </w:tc>
        <w:tc>
          <w:tcPr>
            <w:tcW w:w="823" w:type="pct"/>
            <w:tcBorders>
              <w:top w:val="nil"/>
              <w:left w:val="nil"/>
              <w:bottom w:val="nil"/>
              <w:right w:val="nil"/>
            </w:tcBorders>
            <w:shd w:val="clear" w:color="auto" w:fill="auto"/>
            <w:noWrap/>
            <w:vAlign w:val="center"/>
            <w:hideMark/>
          </w:tcPr>
          <w:p w14:paraId="08FA032E"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 xml:space="preserve">S. </w:t>
            </w:r>
            <w:proofErr w:type="spellStart"/>
            <w:r w:rsidRPr="00AC4A03">
              <w:rPr>
                <w:rFonts w:ascii="Times New Roman" w:eastAsia="Times New Roman" w:hAnsi="Times New Roman" w:cs="Times New Roman"/>
                <w:i/>
                <w:iCs/>
                <w:color w:val="000000"/>
              </w:rPr>
              <w:t>racemosum</w:t>
            </w:r>
            <w:proofErr w:type="spellEnd"/>
          </w:p>
        </w:tc>
        <w:tc>
          <w:tcPr>
            <w:tcW w:w="829" w:type="pct"/>
            <w:tcBorders>
              <w:top w:val="nil"/>
              <w:left w:val="nil"/>
              <w:bottom w:val="nil"/>
              <w:right w:val="nil"/>
            </w:tcBorders>
            <w:shd w:val="clear" w:color="auto" w:fill="auto"/>
            <w:noWrap/>
            <w:vAlign w:val="center"/>
            <w:hideMark/>
          </w:tcPr>
          <w:p w14:paraId="7A58A5BE"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4.372</w:t>
            </w:r>
          </w:p>
        </w:tc>
        <w:tc>
          <w:tcPr>
            <w:tcW w:w="829" w:type="pct"/>
            <w:tcBorders>
              <w:top w:val="nil"/>
              <w:left w:val="nil"/>
              <w:bottom w:val="nil"/>
              <w:right w:val="nil"/>
            </w:tcBorders>
            <w:shd w:val="clear" w:color="auto" w:fill="auto"/>
            <w:noWrap/>
            <w:vAlign w:val="center"/>
            <w:hideMark/>
          </w:tcPr>
          <w:p w14:paraId="35DB6668"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10.406</w:t>
            </w:r>
          </w:p>
        </w:tc>
        <w:tc>
          <w:tcPr>
            <w:tcW w:w="932" w:type="pct"/>
            <w:tcBorders>
              <w:top w:val="nil"/>
              <w:left w:val="nil"/>
              <w:bottom w:val="nil"/>
              <w:right w:val="nil"/>
            </w:tcBorders>
            <w:shd w:val="clear" w:color="auto" w:fill="auto"/>
            <w:noWrap/>
            <w:vAlign w:val="center"/>
            <w:hideMark/>
          </w:tcPr>
          <w:p w14:paraId="3CF46B57"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1.000</w:t>
            </w:r>
          </w:p>
        </w:tc>
        <w:tc>
          <w:tcPr>
            <w:tcW w:w="775" w:type="pct"/>
            <w:tcBorders>
              <w:top w:val="nil"/>
              <w:left w:val="nil"/>
              <w:bottom w:val="nil"/>
              <w:right w:val="nil"/>
            </w:tcBorders>
            <w:shd w:val="clear" w:color="auto" w:fill="auto"/>
            <w:noWrap/>
            <w:vAlign w:val="center"/>
            <w:hideMark/>
          </w:tcPr>
          <w:p w14:paraId="07C6ADFE"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2.000</w:t>
            </w:r>
          </w:p>
        </w:tc>
      </w:tr>
      <w:tr w:rsidR="007D16BD" w:rsidRPr="00AC4A03" w14:paraId="72AC2F4F" w14:textId="77777777" w:rsidTr="00505CEA">
        <w:trPr>
          <w:trHeight w:val="573"/>
        </w:trPr>
        <w:tc>
          <w:tcPr>
            <w:tcW w:w="813" w:type="pct"/>
            <w:tcBorders>
              <w:top w:val="nil"/>
              <w:left w:val="nil"/>
              <w:bottom w:val="nil"/>
              <w:right w:val="nil"/>
            </w:tcBorders>
            <w:shd w:val="clear" w:color="auto" w:fill="auto"/>
            <w:noWrap/>
            <w:vAlign w:val="center"/>
            <w:hideMark/>
          </w:tcPr>
          <w:p w14:paraId="6268763B"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AEM011</w:t>
            </w:r>
          </w:p>
        </w:tc>
        <w:tc>
          <w:tcPr>
            <w:tcW w:w="823" w:type="pct"/>
            <w:tcBorders>
              <w:top w:val="nil"/>
              <w:left w:val="nil"/>
              <w:bottom w:val="nil"/>
              <w:right w:val="nil"/>
            </w:tcBorders>
            <w:shd w:val="clear" w:color="auto" w:fill="auto"/>
            <w:noWrap/>
            <w:vAlign w:val="center"/>
            <w:hideMark/>
          </w:tcPr>
          <w:p w14:paraId="5C8C9078"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 xml:space="preserve">A. </w:t>
            </w:r>
            <w:proofErr w:type="spellStart"/>
            <w:r w:rsidRPr="00AC4A03">
              <w:rPr>
                <w:rFonts w:ascii="Times New Roman" w:eastAsia="Times New Roman" w:hAnsi="Times New Roman" w:cs="Times New Roman"/>
                <w:i/>
                <w:iCs/>
                <w:color w:val="000000"/>
              </w:rPr>
              <w:t>niger</w:t>
            </w:r>
            <w:proofErr w:type="spellEnd"/>
          </w:p>
        </w:tc>
        <w:tc>
          <w:tcPr>
            <w:tcW w:w="829" w:type="pct"/>
            <w:tcBorders>
              <w:top w:val="nil"/>
              <w:left w:val="nil"/>
              <w:bottom w:val="nil"/>
              <w:right w:val="nil"/>
            </w:tcBorders>
            <w:shd w:val="clear" w:color="auto" w:fill="auto"/>
            <w:noWrap/>
            <w:vAlign w:val="center"/>
            <w:hideMark/>
          </w:tcPr>
          <w:p w14:paraId="178F4009"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5.695</w:t>
            </w:r>
          </w:p>
        </w:tc>
        <w:tc>
          <w:tcPr>
            <w:tcW w:w="829" w:type="pct"/>
            <w:tcBorders>
              <w:top w:val="nil"/>
              <w:left w:val="nil"/>
              <w:bottom w:val="nil"/>
              <w:right w:val="nil"/>
            </w:tcBorders>
            <w:shd w:val="clear" w:color="auto" w:fill="auto"/>
            <w:noWrap/>
            <w:vAlign w:val="center"/>
            <w:hideMark/>
          </w:tcPr>
          <w:p w14:paraId="6D985715"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18.416</w:t>
            </w:r>
          </w:p>
        </w:tc>
        <w:tc>
          <w:tcPr>
            <w:tcW w:w="932" w:type="pct"/>
            <w:tcBorders>
              <w:top w:val="nil"/>
              <w:left w:val="nil"/>
              <w:bottom w:val="nil"/>
              <w:right w:val="nil"/>
            </w:tcBorders>
            <w:shd w:val="clear" w:color="auto" w:fill="auto"/>
            <w:noWrap/>
            <w:vAlign w:val="center"/>
            <w:hideMark/>
          </w:tcPr>
          <w:p w14:paraId="0851BB37"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1.000</w:t>
            </w:r>
          </w:p>
        </w:tc>
        <w:tc>
          <w:tcPr>
            <w:tcW w:w="775" w:type="pct"/>
            <w:tcBorders>
              <w:top w:val="nil"/>
              <w:left w:val="nil"/>
              <w:bottom w:val="nil"/>
              <w:right w:val="nil"/>
            </w:tcBorders>
            <w:shd w:val="clear" w:color="auto" w:fill="auto"/>
            <w:noWrap/>
            <w:vAlign w:val="center"/>
            <w:hideMark/>
          </w:tcPr>
          <w:p w14:paraId="4287E6C0"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0.500</w:t>
            </w:r>
          </w:p>
        </w:tc>
      </w:tr>
      <w:tr w:rsidR="007D16BD" w:rsidRPr="00AC4A03" w14:paraId="65704FEE" w14:textId="77777777" w:rsidTr="00505CEA">
        <w:trPr>
          <w:trHeight w:val="573"/>
        </w:trPr>
        <w:tc>
          <w:tcPr>
            <w:tcW w:w="813" w:type="pct"/>
            <w:tcBorders>
              <w:top w:val="nil"/>
              <w:left w:val="nil"/>
              <w:bottom w:val="nil"/>
              <w:right w:val="nil"/>
            </w:tcBorders>
            <w:shd w:val="clear" w:color="auto" w:fill="auto"/>
            <w:noWrap/>
            <w:vAlign w:val="center"/>
            <w:hideMark/>
          </w:tcPr>
          <w:p w14:paraId="529FE88D"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AEM012</w:t>
            </w:r>
          </w:p>
        </w:tc>
        <w:tc>
          <w:tcPr>
            <w:tcW w:w="823" w:type="pct"/>
            <w:tcBorders>
              <w:top w:val="nil"/>
              <w:left w:val="nil"/>
              <w:bottom w:val="nil"/>
              <w:right w:val="nil"/>
            </w:tcBorders>
            <w:shd w:val="clear" w:color="auto" w:fill="auto"/>
            <w:noWrap/>
            <w:vAlign w:val="center"/>
            <w:hideMark/>
          </w:tcPr>
          <w:p w14:paraId="5BA956FE"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0A7B2C16"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9.622</w:t>
            </w:r>
          </w:p>
        </w:tc>
        <w:tc>
          <w:tcPr>
            <w:tcW w:w="829" w:type="pct"/>
            <w:tcBorders>
              <w:top w:val="nil"/>
              <w:left w:val="nil"/>
              <w:bottom w:val="nil"/>
              <w:right w:val="nil"/>
            </w:tcBorders>
            <w:shd w:val="clear" w:color="auto" w:fill="auto"/>
            <w:noWrap/>
            <w:vAlign w:val="center"/>
            <w:hideMark/>
          </w:tcPr>
          <w:p w14:paraId="32570B5B"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18.839</w:t>
            </w:r>
          </w:p>
        </w:tc>
        <w:tc>
          <w:tcPr>
            <w:tcW w:w="932" w:type="pct"/>
            <w:tcBorders>
              <w:top w:val="nil"/>
              <w:left w:val="nil"/>
              <w:bottom w:val="nil"/>
              <w:right w:val="nil"/>
            </w:tcBorders>
            <w:shd w:val="clear" w:color="auto" w:fill="auto"/>
            <w:noWrap/>
            <w:vAlign w:val="center"/>
            <w:hideMark/>
          </w:tcPr>
          <w:p w14:paraId="505B60D9"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8.000</w:t>
            </w:r>
          </w:p>
        </w:tc>
        <w:tc>
          <w:tcPr>
            <w:tcW w:w="775" w:type="pct"/>
            <w:tcBorders>
              <w:top w:val="nil"/>
              <w:left w:val="nil"/>
              <w:bottom w:val="nil"/>
              <w:right w:val="nil"/>
            </w:tcBorders>
            <w:shd w:val="clear" w:color="auto" w:fill="auto"/>
            <w:noWrap/>
            <w:vAlign w:val="center"/>
            <w:hideMark/>
          </w:tcPr>
          <w:p w14:paraId="5C9F46E9"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0.125</w:t>
            </w:r>
          </w:p>
        </w:tc>
      </w:tr>
      <w:tr w:rsidR="007D16BD" w:rsidRPr="00AC4A03" w14:paraId="20CBEC3B" w14:textId="77777777" w:rsidTr="00505CEA">
        <w:trPr>
          <w:trHeight w:val="573"/>
        </w:trPr>
        <w:tc>
          <w:tcPr>
            <w:tcW w:w="813" w:type="pct"/>
            <w:tcBorders>
              <w:top w:val="nil"/>
              <w:left w:val="nil"/>
              <w:bottom w:val="nil"/>
              <w:right w:val="nil"/>
            </w:tcBorders>
            <w:shd w:val="clear" w:color="auto" w:fill="auto"/>
            <w:noWrap/>
            <w:vAlign w:val="center"/>
            <w:hideMark/>
          </w:tcPr>
          <w:p w14:paraId="20B73DE5"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AEM013</w:t>
            </w:r>
          </w:p>
        </w:tc>
        <w:tc>
          <w:tcPr>
            <w:tcW w:w="823" w:type="pct"/>
            <w:tcBorders>
              <w:top w:val="nil"/>
              <w:left w:val="nil"/>
              <w:bottom w:val="nil"/>
              <w:right w:val="nil"/>
            </w:tcBorders>
            <w:shd w:val="clear" w:color="auto" w:fill="auto"/>
            <w:noWrap/>
            <w:vAlign w:val="center"/>
            <w:hideMark/>
          </w:tcPr>
          <w:p w14:paraId="30CE4B44"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 xml:space="preserve">S. </w:t>
            </w:r>
            <w:proofErr w:type="spellStart"/>
            <w:r w:rsidRPr="00AC4A03">
              <w:rPr>
                <w:rFonts w:ascii="Times New Roman" w:eastAsia="Times New Roman" w:hAnsi="Times New Roman" w:cs="Times New Roman"/>
                <w:i/>
                <w:iCs/>
                <w:color w:val="000000"/>
              </w:rPr>
              <w:t>racemosum</w:t>
            </w:r>
            <w:proofErr w:type="spellEnd"/>
          </w:p>
        </w:tc>
        <w:tc>
          <w:tcPr>
            <w:tcW w:w="829" w:type="pct"/>
            <w:tcBorders>
              <w:top w:val="nil"/>
              <w:left w:val="nil"/>
              <w:bottom w:val="nil"/>
              <w:right w:val="nil"/>
            </w:tcBorders>
            <w:shd w:val="clear" w:color="auto" w:fill="auto"/>
            <w:noWrap/>
            <w:vAlign w:val="center"/>
            <w:hideMark/>
          </w:tcPr>
          <w:p w14:paraId="752A37B5"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6.453</w:t>
            </w:r>
          </w:p>
        </w:tc>
        <w:tc>
          <w:tcPr>
            <w:tcW w:w="829" w:type="pct"/>
            <w:tcBorders>
              <w:top w:val="nil"/>
              <w:left w:val="nil"/>
              <w:bottom w:val="nil"/>
              <w:right w:val="nil"/>
            </w:tcBorders>
            <w:shd w:val="clear" w:color="auto" w:fill="auto"/>
            <w:noWrap/>
            <w:vAlign w:val="center"/>
            <w:hideMark/>
          </w:tcPr>
          <w:p w14:paraId="6FA809F2"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12.576</w:t>
            </w:r>
          </w:p>
        </w:tc>
        <w:tc>
          <w:tcPr>
            <w:tcW w:w="932" w:type="pct"/>
            <w:tcBorders>
              <w:top w:val="nil"/>
              <w:left w:val="nil"/>
              <w:bottom w:val="nil"/>
              <w:right w:val="nil"/>
            </w:tcBorders>
            <w:shd w:val="clear" w:color="auto" w:fill="auto"/>
            <w:noWrap/>
            <w:vAlign w:val="center"/>
            <w:hideMark/>
          </w:tcPr>
          <w:p w14:paraId="1C927809"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4.000</w:t>
            </w:r>
          </w:p>
        </w:tc>
        <w:tc>
          <w:tcPr>
            <w:tcW w:w="775" w:type="pct"/>
            <w:tcBorders>
              <w:top w:val="nil"/>
              <w:left w:val="nil"/>
              <w:bottom w:val="nil"/>
              <w:right w:val="nil"/>
            </w:tcBorders>
            <w:shd w:val="clear" w:color="auto" w:fill="auto"/>
            <w:noWrap/>
            <w:vAlign w:val="center"/>
            <w:hideMark/>
          </w:tcPr>
          <w:p w14:paraId="3A13B322"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4.000</w:t>
            </w:r>
          </w:p>
        </w:tc>
      </w:tr>
      <w:tr w:rsidR="007D16BD" w:rsidRPr="00AC4A03" w14:paraId="3479E1BB" w14:textId="77777777" w:rsidTr="00505CEA">
        <w:trPr>
          <w:trHeight w:val="573"/>
        </w:trPr>
        <w:tc>
          <w:tcPr>
            <w:tcW w:w="813" w:type="pct"/>
            <w:tcBorders>
              <w:top w:val="nil"/>
              <w:left w:val="nil"/>
              <w:bottom w:val="nil"/>
              <w:right w:val="nil"/>
            </w:tcBorders>
            <w:shd w:val="clear" w:color="auto" w:fill="auto"/>
            <w:noWrap/>
            <w:vAlign w:val="center"/>
            <w:hideMark/>
          </w:tcPr>
          <w:p w14:paraId="4A3254D8"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AEM014</w:t>
            </w:r>
          </w:p>
        </w:tc>
        <w:tc>
          <w:tcPr>
            <w:tcW w:w="823" w:type="pct"/>
            <w:tcBorders>
              <w:top w:val="nil"/>
              <w:left w:val="nil"/>
              <w:bottom w:val="nil"/>
              <w:right w:val="nil"/>
            </w:tcBorders>
            <w:shd w:val="clear" w:color="auto" w:fill="auto"/>
            <w:noWrap/>
            <w:vAlign w:val="center"/>
            <w:hideMark/>
          </w:tcPr>
          <w:p w14:paraId="07EDD244"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 xml:space="preserve">A. </w:t>
            </w:r>
            <w:proofErr w:type="spellStart"/>
            <w:r w:rsidRPr="00AC4A03">
              <w:rPr>
                <w:rFonts w:ascii="Times New Roman" w:eastAsia="Times New Roman" w:hAnsi="Times New Roman" w:cs="Times New Roman"/>
                <w:i/>
                <w:iCs/>
                <w:color w:val="000000"/>
              </w:rPr>
              <w:t>niger</w:t>
            </w:r>
            <w:proofErr w:type="spellEnd"/>
          </w:p>
        </w:tc>
        <w:tc>
          <w:tcPr>
            <w:tcW w:w="829" w:type="pct"/>
            <w:tcBorders>
              <w:top w:val="nil"/>
              <w:left w:val="nil"/>
              <w:bottom w:val="nil"/>
              <w:right w:val="nil"/>
            </w:tcBorders>
            <w:shd w:val="clear" w:color="auto" w:fill="auto"/>
            <w:noWrap/>
            <w:vAlign w:val="center"/>
            <w:hideMark/>
          </w:tcPr>
          <w:p w14:paraId="49A82E7A"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5.752</w:t>
            </w:r>
          </w:p>
        </w:tc>
        <w:tc>
          <w:tcPr>
            <w:tcW w:w="829" w:type="pct"/>
            <w:tcBorders>
              <w:top w:val="nil"/>
              <w:left w:val="nil"/>
              <w:bottom w:val="nil"/>
              <w:right w:val="nil"/>
            </w:tcBorders>
            <w:shd w:val="clear" w:color="auto" w:fill="auto"/>
            <w:noWrap/>
            <w:vAlign w:val="center"/>
            <w:hideMark/>
          </w:tcPr>
          <w:p w14:paraId="540BEBDD"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16.141</w:t>
            </w:r>
          </w:p>
        </w:tc>
        <w:tc>
          <w:tcPr>
            <w:tcW w:w="932" w:type="pct"/>
            <w:tcBorders>
              <w:top w:val="nil"/>
              <w:left w:val="nil"/>
              <w:bottom w:val="nil"/>
              <w:right w:val="nil"/>
            </w:tcBorders>
            <w:shd w:val="clear" w:color="auto" w:fill="auto"/>
            <w:noWrap/>
            <w:vAlign w:val="center"/>
            <w:hideMark/>
          </w:tcPr>
          <w:p w14:paraId="68646C8D"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2.000</w:t>
            </w:r>
          </w:p>
        </w:tc>
        <w:tc>
          <w:tcPr>
            <w:tcW w:w="775" w:type="pct"/>
            <w:tcBorders>
              <w:top w:val="nil"/>
              <w:left w:val="nil"/>
              <w:bottom w:val="nil"/>
              <w:right w:val="nil"/>
            </w:tcBorders>
            <w:shd w:val="clear" w:color="auto" w:fill="auto"/>
            <w:noWrap/>
            <w:vAlign w:val="center"/>
            <w:hideMark/>
          </w:tcPr>
          <w:p w14:paraId="6FA5534F"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0.500</w:t>
            </w:r>
          </w:p>
        </w:tc>
      </w:tr>
      <w:tr w:rsidR="007D16BD" w:rsidRPr="00AC4A03" w14:paraId="7BDB0F92" w14:textId="77777777" w:rsidTr="00505CEA">
        <w:trPr>
          <w:trHeight w:val="573"/>
        </w:trPr>
        <w:tc>
          <w:tcPr>
            <w:tcW w:w="813" w:type="pct"/>
            <w:tcBorders>
              <w:top w:val="nil"/>
              <w:left w:val="nil"/>
              <w:bottom w:val="nil"/>
              <w:right w:val="nil"/>
            </w:tcBorders>
            <w:shd w:val="clear" w:color="auto" w:fill="auto"/>
            <w:noWrap/>
            <w:vAlign w:val="center"/>
            <w:hideMark/>
          </w:tcPr>
          <w:p w14:paraId="42D5894B"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AEM015</w:t>
            </w:r>
          </w:p>
        </w:tc>
        <w:tc>
          <w:tcPr>
            <w:tcW w:w="823" w:type="pct"/>
            <w:tcBorders>
              <w:top w:val="nil"/>
              <w:left w:val="nil"/>
              <w:bottom w:val="nil"/>
              <w:right w:val="nil"/>
            </w:tcBorders>
            <w:shd w:val="clear" w:color="auto" w:fill="auto"/>
            <w:noWrap/>
            <w:vAlign w:val="center"/>
            <w:hideMark/>
          </w:tcPr>
          <w:p w14:paraId="1500CB3B"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nil"/>
              <w:right w:val="nil"/>
            </w:tcBorders>
            <w:shd w:val="clear" w:color="auto" w:fill="auto"/>
            <w:noWrap/>
            <w:vAlign w:val="center"/>
            <w:hideMark/>
          </w:tcPr>
          <w:p w14:paraId="5A8146C3"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10.397</w:t>
            </w:r>
          </w:p>
        </w:tc>
        <w:tc>
          <w:tcPr>
            <w:tcW w:w="829" w:type="pct"/>
            <w:tcBorders>
              <w:top w:val="nil"/>
              <w:left w:val="nil"/>
              <w:bottom w:val="nil"/>
              <w:right w:val="nil"/>
            </w:tcBorders>
            <w:shd w:val="clear" w:color="auto" w:fill="auto"/>
            <w:noWrap/>
            <w:vAlign w:val="center"/>
            <w:hideMark/>
          </w:tcPr>
          <w:p w14:paraId="2C8486C0"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16.431</w:t>
            </w:r>
          </w:p>
        </w:tc>
        <w:tc>
          <w:tcPr>
            <w:tcW w:w="932" w:type="pct"/>
            <w:tcBorders>
              <w:top w:val="nil"/>
              <w:left w:val="nil"/>
              <w:bottom w:val="nil"/>
              <w:right w:val="nil"/>
            </w:tcBorders>
            <w:shd w:val="clear" w:color="auto" w:fill="auto"/>
            <w:noWrap/>
            <w:vAlign w:val="center"/>
            <w:hideMark/>
          </w:tcPr>
          <w:p w14:paraId="73323A68"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4.000</w:t>
            </w:r>
          </w:p>
        </w:tc>
        <w:tc>
          <w:tcPr>
            <w:tcW w:w="775" w:type="pct"/>
            <w:tcBorders>
              <w:top w:val="nil"/>
              <w:left w:val="nil"/>
              <w:bottom w:val="nil"/>
              <w:right w:val="nil"/>
            </w:tcBorders>
            <w:shd w:val="clear" w:color="auto" w:fill="auto"/>
            <w:noWrap/>
            <w:vAlign w:val="center"/>
            <w:hideMark/>
          </w:tcPr>
          <w:p w14:paraId="68F78CA2"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0.125</w:t>
            </w:r>
          </w:p>
        </w:tc>
      </w:tr>
      <w:tr w:rsidR="007D16BD" w:rsidRPr="00AC4A03" w14:paraId="3C9C455C" w14:textId="77777777" w:rsidTr="00505CEA">
        <w:trPr>
          <w:trHeight w:val="570"/>
        </w:trPr>
        <w:tc>
          <w:tcPr>
            <w:tcW w:w="813" w:type="pct"/>
            <w:tcBorders>
              <w:top w:val="nil"/>
              <w:left w:val="nil"/>
              <w:bottom w:val="single" w:sz="4" w:space="0" w:color="auto"/>
              <w:right w:val="nil"/>
            </w:tcBorders>
            <w:shd w:val="clear" w:color="auto" w:fill="auto"/>
            <w:vAlign w:val="center"/>
            <w:hideMark/>
          </w:tcPr>
          <w:p w14:paraId="1DF14363" w14:textId="77777777" w:rsidR="007D16BD" w:rsidRPr="00AC4A03" w:rsidRDefault="007D16BD" w:rsidP="005F4C25">
            <w:pPr>
              <w:spacing w:after="0" w:line="240" w:lineRule="auto"/>
              <w:rPr>
                <w:rFonts w:ascii="Times New Roman" w:eastAsia="Times New Roman" w:hAnsi="Times New Roman" w:cs="Times New Roman"/>
                <w:color w:val="000000"/>
              </w:rPr>
            </w:pPr>
            <w:r w:rsidRPr="00AC4A03">
              <w:rPr>
                <w:rFonts w:ascii="Times New Roman" w:eastAsia="Times New Roman" w:hAnsi="Times New Roman" w:cs="Times New Roman"/>
                <w:color w:val="000000"/>
              </w:rPr>
              <w:t>AF18</w:t>
            </w:r>
            <w:r w:rsidRPr="00AC4A03">
              <w:rPr>
                <w:rFonts w:ascii="Times New Roman" w:eastAsia="Times New Roman" w:hAnsi="Times New Roman" w:cs="Times New Roman"/>
                <w:color w:val="000000"/>
              </w:rPr>
              <w:br/>
              <w:t>(clinical isolate)</w:t>
            </w:r>
          </w:p>
        </w:tc>
        <w:tc>
          <w:tcPr>
            <w:tcW w:w="823" w:type="pct"/>
            <w:tcBorders>
              <w:top w:val="nil"/>
              <w:left w:val="nil"/>
              <w:bottom w:val="single" w:sz="4" w:space="0" w:color="auto"/>
              <w:right w:val="nil"/>
            </w:tcBorders>
            <w:shd w:val="clear" w:color="auto" w:fill="auto"/>
            <w:noWrap/>
            <w:vAlign w:val="center"/>
            <w:hideMark/>
          </w:tcPr>
          <w:p w14:paraId="4BB2DD71" w14:textId="77777777" w:rsidR="007D16BD" w:rsidRPr="00AC4A03" w:rsidRDefault="007D16BD" w:rsidP="005F4C25">
            <w:pPr>
              <w:spacing w:after="0" w:line="240" w:lineRule="auto"/>
              <w:rPr>
                <w:rFonts w:ascii="Times New Roman" w:eastAsia="Times New Roman" w:hAnsi="Times New Roman" w:cs="Times New Roman"/>
                <w:i/>
                <w:iCs/>
                <w:color w:val="000000"/>
              </w:rPr>
            </w:pPr>
            <w:r w:rsidRPr="00AC4A03">
              <w:rPr>
                <w:rFonts w:ascii="Times New Roman" w:eastAsia="Times New Roman" w:hAnsi="Times New Roman" w:cs="Times New Roman"/>
                <w:i/>
                <w:iCs/>
                <w:color w:val="000000"/>
              </w:rPr>
              <w:t>A. fumigatus</w:t>
            </w:r>
          </w:p>
        </w:tc>
        <w:tc>
          <w:tcPr>
            <w:tcW w:w="829" w:type="pct"/>
            <w:tcBorders>
              <w:top w:val="nil"/>
              <w:left w:val="nil"/>
              <w:bottom w:val="single" w:sz="4" w:space="0" w:color="auto"/>
              <w:right w:val="nil"/>
            </w:tcBorders>
            <w:shd w:val="clear" w:color="auto" w:fill="auto"/>
            <w:noWrap/>
            <w:vAlign w:val="center"/>
            <w:hideMark/>
          </w:tcPr>
          <w:p w14:paraId="27E625E6"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8.048</w:t>
            </w:r>
          </w:p>
        </w:tc>
        <w:tc>
          <w:tcPr>
            <w:tcW w:w="829" w:type="pct"/>
            <w:tcBorders>
              <w:top w:val="nil"/>
              <w:left w:val="nil"/>
              <w:bottom w:val="single" w:sz="4" w:space="0" w:color="auto"/>
              <w:right w:val="nil"/>
            </w:tcBorders>
            <w:shd w:val="clear" w:color="auto" w:fill="auto"/>
            <w:noWrap/>
            <w:vAlign w:val="center"/>
            <w:hideMark/>
          </w:tcPr>
          <w:p w14:paraId="4348A6F8"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4.298</w:t>
            </w:r>
          </w:p>
        </w:tc>
        <w:tc>
          <w:tcPr>
            <w:tcW w:w="932" w:type="pct"/>
            <w:tcBorders>
              <w:top w:val="nil"/>
              <w:left w:val="nil"/>
              <w:bottom w:val="single" w:sz="4" w:space="0" w:color="auto"/>
              <w:right w:val="nil"/>
            </w:tcBorders>
            <w:shd w:val="clear" w:color="auto" w:fill="auto"/>
            <w:noWrap/>
            <w:vAlign w:val="center"/>
            <w:hideMark/>
          </w:tcPr>
          <w:p w14:paraId="553A5DB2"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4.000</w:t>
            </w:r>
          </w:p>
        </w:tc>
        <w:tc>
          <w:tcPr>
            <w:tcW w:w="775" w:type="pct"/>
            <w:tcBorders>
              <w:top w:val="nil"/>
              <w:left w:val="nil"/>
              <w:bottom w:val="single" w:sz="4" w:space="0" w:color="auto"/>
              <w:right w:val="nil"/>
            </w:tcBorders>
            <w:shd w:val="clear" w:color="auto" w:fill="auto"/>
            <w:noWrap/>
            <w:vAlign w:val="center"/>
            <w:hideMark/>
          </w:tcPr>
          <w:p w14:paraId="3B295B31" w14:textId="77777777" w:rsidR="007D16BD" w:rsidRPr="00AC4A03" w:rsidRDefault="007D16BD" w:rsidP="00DC7986">
            <w:pPr>
              <w:spacing w:after="0" w:line="240" w:lineRule="auto"/>
              <w:jc w:val="center"/>
              <w:rPr>
                <w:rFonts w:ascii="Times New Roman" w:eastAsia="Times New Roman" w:hAnsi="Times New Roman" w:cs="Times New Roman"/>
                <w:color w:val="000000"/>
              </w:rPr>
            </w:pPr>
            <w:r w:rsidRPr="00AC4A03">
              <w:rPr>
                <w:rFonts w:ascii="Times New Roman" w:eastAsia="Times New Roman" w:hAnsi="Times New Roman" w:cs="Times New Roman"/>
                <w:color w:val="000000"/>
              </w:rPr>
              <w:t>0.250</w:t>
            </w:r>
          </w:p>
        </w:tc>
      </w:tr>
    </w:tbl>
    <w:p w14:paraId="4ECED044" w14:textId="77777777" w:rsidR="00BA03BC" w:rsidRDefault="00BA03BC" w:rsidP="00505CEA">
      <w:pPr>
        <w:spacing w:after="0" w:line="360" w:lineRule="auto"/>
        <w:rPr>
          <w:rFonts w:ascii="Times New Roman" w:hAnsi="Times New Roman" w:cs="Times New Roman"/>
        </w:rPr>
      </w:pPr>
    </w:p>
    <w:p w14:paraId="20157F57" w14:textId="4856B6C0" w:rsidR="00BA03BC" w:rsidRDefault="00BA03BC" w:rsidP="00505CEA">
      <w:pPr>
        <w:spacing w:after="0" w:line="360" w:lineRule="auto"/>
        <w:rPr>
          <w:rFonts w:ascii="Times New Roman" w:hAnsi="Times New Roman" w:cs="Times New Roman"/>
        </w:rPr>
      </w:pPr>
    </w:p>
    <w:p w14:paraId="41ADC18F" w14:textId="41E774AC" w:rsidR="00BA03BC" w:rsidRDefault="00BA03BC" w:rsidP="00505CEA">
      <w:pPr>
        <w:spacing w:after="0" w:line="360" w:lineRule="auto"/>
        <w:rPr>
          <w:rFonts w:ascii="Times New Roman" w:hAnsi="Times New Roman" w:cs="Times New Roman"/>
        </w:rPr>
      </w:pPr>
    </w:p>
    <w:p w14:paraId="6773CFA3" w14:textId="60F1824B" w:rsidR="00BA03BC" w:rsidRDefault="00BA03BC" w:rsidP="00505CEA">
      <w:pPr>
        <w:spacing w:after="0" w:line="360" w:lineRule="auto"/>
        <w:rPr>
          <w:rFonts w:ascii="Times New Roman" w:hAnsi="Times New Roman" w:cs="Times New Roman"/>
        </w:rPr>
      </w:pPr>
    </w:p>
    <w:p w14:paraId="2C206E89" w14:textId="4490827D" w:rsidR="00BA03BC" w:rsidRPr="00BA03BC" w:rsidRDefault="00BA03BC" w:rsidP="00BA03BC">
      <w:pPr>
        <w:spacing w:after="0" w:line="360" w:lineRule="auto"/>
        <w:ind w:firstLine="720"/>
        <w:rPr>
          <w:rFonts w:ascii="Times New Roman" w:hAnsi="Times New Roman" w:cs="Times New Roman"/>
          <w:b/>
          <w:bCs/>
          <w:sz w:val="24"/>
          <w:szCs w:val="24"/>
        </w:rPr>
      </w:pPr>
      <w:r w:rsidRPr="00BA03BC">
        <w:rPr>
          <w:rFonts w:ascii="Times New Roman" w:hAnsi="Times New Roman" w:cs="Times New Roman"/>
          <w:b/>
          <w:bCs/>
          <w:sz w:val="24"/>
          <w:szCs w:val="24"/>
        </w:rPr>
        <w:lastRenderedPageBreak/>
        <w:t>Supplementary References</w:t>
      </w:r>
    </w:p>
    <w:p w14:paraId="1C1473BA" w14:textId="77777777" w:rsidR="00711FEA" w:rsidRPr="00711FEA" w:rsidRDefault="008907F4" w:rsidP="00711FEA">
      <w:pPr>
        <w:pStyle w:val="EndNoteBibliography"/>
        <w:spacing w:after="0"/>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711FEA" w:rsidRPr="00711FEA">
        <w:t>1</w:t>
      </w:r>
      <w:r w:rsidR="00711FEA" w:rsidRPr="00711FEA">
        <w:tab/>
        <w:t>Varela, A.</w:t>
      </w:r>
      <w:r w:rsidR="00711FEA" w:rsidRPr="00711FEA">
        <w:rPr>
          <w:i/>
        </w:rPr>
        <w:t xml:space="preserve"> et al.</w:t>
      </w:r>
      <w:r w:rsidR="00711FEA" w:rsidRPr="00711FEA">
        <w:t xml:space="preserve"> Understanding fungal functional biodiversity during the mitigation of environmentally dispersed pentachlorophenol in cork oak forest soils. </w:t>
      </w:r>
      <w:r w:rsidR="00711FEA" w:rsidRPr="00711FEA">
        <w:rPr>
          <w:i/>
        </w:rPr>
        <w:t>Environ. Microbiol.</w:t>
      </w:r>
      <w:r w:rsidR="00711FEA" w:rsidRPr="00711FEA">
        <w:t xml:space="preserve"> </w:t>
      </w:r>
      <w:r w:rsidR="00711FEA" w:rsidRPr="00711FEA">
        <w:rPr>
          <w:b/>
        </w:rPr>
        <w:t>17</w:t>
      </w:r>
      <w:r w:rsidR="00711FEA" w:rsidRPr="00711FEA">
        <w:t xml:space="preserve">, 2922-2934 (2015). </w:t>
      </w:r>
    </w:p>
    <w:p w14:paraId="178BC3DC" w14:textId="77777777" w:rsidR="00711FEA" w:rsidRPr="00711FEA" w:rsidRDefault="00711FEA" w:rsidP="00711FEA">
      <w:pPr>
        <w:pStyle w:val="EndNoteBibliography"/>
        <w:spacing w:after="0"/>
        <w:ind w:left="720" w:hanging="720"/>
      </w:pPr>
      <w:r w:rsidRPr="00711FEA">
        <w:t>2</w:t>
      </w:r>
      <w:r w:rsidRPr="00711FEA">
        <w:tab/>
        <w:t>Martins, C.</w:t>
      </w:r>
      <w:r w:rsidRPr="00711FEA">
        <w:rPr>
          <w:i/>
        </w:rPr>
        <w:t xml:space="preserve"> et al.</w:t>
      </w:r>
      <w:r w:rsidRPr="00711FEA">
        <w:t xml:space="preserve"> Specialisation events of fungal metacommunities exposed to a persistent organic pollutant are suggestive of augmented pathogenic potential. </w:t>
      </w:r>
      <w:r w:rsidRPr="00711FEA">
        <w:rPr>
          <w:i/>
        </w:rPr>
        <w:t>Microbiome</w:t>
      </w:r>
      <w:r w:rsidRPr="00711FEA">
        <w:t xml:space="preserve"> </w:t>
      </w:r>
      <w:r w:rsidRPr="00711FEA">
        <w:rPr>
          <w:b/>
        </w:rPr>
        <w:t>6</w:t>
      </w:r>
      <w:r w:rsidRPr="00711FEA">
        <w:t xml:space="preserve">, 208 (2018). </w:t>
      </w:r>
    </w:p>
    <w:p w14:paraId="765F97A1" w14:textId="77777777" w:rsidR="00711FEA" w:rsidRPr="00711FEA" w:rsidRDefault="00711FEA" w:rsidP="00711FEA">
      <w:pPr>
        <w:pStyle w:val="EndNoteBibliography"/>
        <w:spacing w:after="0"/>
        <w:ind w:left="720" w:hanging="720"/>
      </w:pPr>
      <w:r w:rsidRPr="00711FEA">
        <w:t>3</w:t>
      </w:r>
      <w:r w:rsidRPr="00711FEA">
        <w:tab/>
        <w:t>Durieux, M.-F.</w:t>
      </w:r>
      <w:r w:rsidRPr="00711FEA">
        <w:rPr>
          <w:i/>
        </w:rPr>
        <w:t xml:space="preserve"> et al.</w:t>
      </w:r>
      <w:r w:rsidRPr="00711FEA">
        <w:t xml:space="preserve"> </w:t>
      </w:r>
      <w:r w:rsidRPr="00711FEA">
        <w:rPr>
          <w:i/>
        </w:rPr>
        <w:t>Galleria mellonella</w:t>
      </w:r>
      <w:r w:rsidRPr="00711FEA">
        <w:t xml:space="preserve"> as a screening tool to study virulence factors of </w:t>
      </w:r>
      <w:r w:rsidRPr="00711FEA">
        <w:rPr>
          <w:i/>
        </w:rPr>
        <w:t>Aspergillus fumigatus</w:t>
      </w:r>
      <w:r w:rsidRPr="00711FEA">
        <w:t xml:space="preserve">. </w:t>
      </w:r>
      <w:r w:rsidRPr="00711FEA">
        <w:rPr>
          <w:i/>
        </w:rPr>
        <w:t>Virulence</w:t>
      </w:r>
      <w:r w:rsidRPr="00711FEA">
        <w:t xml:space="preserve"> </w:t>
      </w:r>
      <w:r w:rsidRPr="00711FEA">
        <w:rPr>
          <w:b/>
        </w:rPr>
        <w:t>12</w:t>
      </w:r>
      <w:r w:rsidRPr="00711FEA">
        <w:t xml:space="preserve">, 818-834 (2021). </w:t>
      </w:r>
    </w:p>
    <w:p w14:paraId="236BAF66" w14:textId="77777777" w:rsidR="00711FEA" w:rsidRPr="00711FEA" w:rsidRDefault="00711FEA" w:rsidP="00711FEA">
      <w:pPr>
        <w:pStyle w:val="EndNoteBibliography"/>
        <w:spacing w:after="0"/>
        <w:ind w:left="720" w:hanging="720"/>
      </w:pPr>
      <w:r w:rsidRPr="00711FEA">
        <w:t>4</w:t>
      </w:r>
      <w:r w:rsidRPr="00711FEA">
        <w:tab/>
        <w:t xml:space="preserve">Tsai, C. J.-Y., Loh, J. M. S. &amp; Proft, T. </w:t>
      </w:r>
      <w:r w:rsidRPr="00711FEA">
        <w:rPr>
          <w:i/>
        </w:rPr>
        <w:t>Galleria mellonella</w:t>
      </w:r>
      <w:r w:rsidRPr="00711FEA">
        <w:t xml:space="preserve"> infection models for the study of bacterial diseases and for antimicrobial drug testing. </w:t>
      </w:r>
      <w:r w:rsidRPr="00711FEA">
        <w:rPr>
          <w:i/>
        </w:rPr>
        <w:t>Virulence</w:t>
      </w:r>
      <w:r w:rsidRPr="00711FEA">
        <w:t xml:space="preserve"> </w:t>
      </w:r>
      <w:r w:rsidRPr="00711FEA">
        <w:rPr>
          <w:b/>
        </w:rPr>
        <w:t>7</w:t>
      </w:r>
      <w:r w:rsidRPr="00711FEA">
        <w:t xml:space="preserve">, 214-229 (2016). </w:t>
      </w:r>
    </w:p>
    <w:p w14:paraId="1B13D65B" w14:textId="77777777" w:rsidR="00711FEA" w:rsidRPr="00711FEA" w:rsidRDefault="00711FEA" w:rsidP="00711FEA">
      <w:pPr>
        <w:pStyle w:val="EndNoteBibliography"/>
        <w:spacing w:after="0"/>
        <w:ind w:left="720" w:hanging="720"/>
      </w:pPr>
      <w:r w:rsidRPr="00711FEA">
        <w:t>5</w:t>
      </w:r>
      <w:r w:rsidRPr="00711FEA">
        <w:tab/>
        <w:t>Ihrmark, K.</w:t>
      </w:r>
      <w:r w:rsidRPr="00711FEA">
        <w:rPr>
          <w:i/>
        </w:rPr>
        <w:t xml:space="preserve"> et al.</w:t>
      </w:r>
      <w:r w:rsidRPr="00711FEA">
        <w:t xml:space="preserve"> New primers to amplify the fungal ITS2 region–evaluation by 454-sequencing of artificial and natural communities. </w:t>
      </w:r>
      <w:r w:rsidRPr="00711FEA">
        <w:rPr>
          <w:i/>
        </w:rPr>
        <w:t>FEMS Microbiol. Ecol.</w:t>
      </w:r>
      <w:r w:rsidRPr="00711FEA">
        <w:t xml:space="preserve"> </w:t>
      </w:r>
      <w:r w:rsidRPr="00711FEA">
        <w:rPr>
          <w:b/>
        </w:rPr>
        <w:t>82</w:t>
      </w:r>
      <w:r w:rsidRPr="00711FEA">
        <w:t xml:space="preserve">, 666-677 (2012). </w:t>
      </w:r>
    </w:p>
    <w:p w14:paraId="5886A971" w14:textId="77777777" w:rsidR="00711FEA" w:rsidRPr="00711FEA" w:rsidRDefault="00711FEA" w:rsidP="00711FEA">
      <w:pPr>
        <w:pStyle w:val="EndNoteBibliography"/>
        <w:spacing w:after="0"/>
        <w:ind w:left="720" w:hanging="720"/>
      </w:pPr>
      <w:r w:rsidRPr="00711FEA">
        <w:t>6</w:t>
      </w:r>
      <w:r w:rsidRPr="00711FEA">
        <w:tab/>
        <w:t xml:space="preserve">Žifčáková, L., Větrovský, T., Howe, A. &amp; Baldrian, P. Microbial activity in forest soil reflects the changes in ecosystem properties between summer and winter. </w:t>
      </w:r>
      <w:r w:rsidRPr="00711FEA">
        <w:rPr>
          <w:i/>
        </w:rPr>
        <w:t>Environ. Microbiol.</w:t>
      </w:r>
      <w:r w:rsidRPr="00711FEA">
        <w:t xml:space="preserve"> </w:t>
      </w:r>
      <w:r w:rsidRPr="00711FEA">
        <w:rPr>
          <w:b/>
        </w:rPr>
        <w:t>18</w:t>
      </w:r>
      <w:r w:rsidRPr="00711FEA">
        <w:t xml:space="preserve">, 288-301 (2016). </w:t>
      </w:r>
    </w:p>
    <w:p w14:paraId="67B12D26" w14:textId="77777777" w:rsidR="00711FEA" w:rsidRPr="00711FEA" w:rsidRDefault="00711FEA" w:rsidP="00711FEA">
      <w:pPr>
        <w:pStyle w:val="EndNoteBibliography"/>
        <w:spacing w:after="0"/>
        <w:ind w:left="720" w:hanging="720"/>
      </w:pPr>
      <w:r w:rsidRPr="00711FEA">
        <w:t>7</w:t>
      </w:r>
      <w:r w:rsidRPr="00711FEA">
        <w:tab/>
        <w:t xml:space="preserve">Větrovský, T., Baldrian, P. &amp; Morais, D. SEED 2: a user-friendly platform for amplicon high-throughput sequencing data analyses. </w:t>
      </w:r>
      <w:r w:rsidRPr="00711FEA">
        <w:rPr>
          <w:i/>
        </w:rPr>
        <w:t>Bioinformatics</w:t>
      </w:r>
      <w:r w:rsidRPr="00711FEA">
        <w:t xml:space="preserve"> (2018). </w:t>
      </w:r>
    </w:p>
    <w:p w14:paraId="78C5FCF6" w14:textId="77777777" w:rsidR="00711FEA" w:rsidRPr="00711FEA" w:rsidRDefault="00711FEA" w:rsidP="00711FEA">
      <w:pPr>
        <w:pStyle w:val="EndNoteBibliography"/>
        <w:spacing w:after="0"/>
        <w:ind w:left="720" w:hanging="720"/>
      </w:pPr>
      <w:r w:rsidRPr="00711FEA">
        <w:t>8</w:t>
      </w:r>
      <w:r w:rsidRPr="00711FEA">
        <w:tab/>
        <w:t xml:space="preserve">Aronesty, E. Comparison of sequencing utility programs. </w:t>
      </w:r>
      <w:r w:rsidRPr="00711FEA">
        <w:rPr>
          <w:i/>
        </w:rPr>
        <w:t>Open Bioinform. J.</w:t>
      </w:r>
      <w:r w:rsidRPr="00711FEA">
        <w:t xml:space="preserve"> </w:t>
      </w:r>
      <w:r w:rsidRPr="00711FEA">
        <w:rPr>
          <w:b/>
        </w:rPr>
        <w:t>7</w:t>
      </w:r>
      <w:r w:rsidRPr="00711FEA">
        <w:t xml:space="preserve"> (2013). </w:t>
      </w:r>
    </w:p>
    <w:p w14:paraId="300C56E1" w14:textId="77777777" w:rsidR="00711FEA" w:rsidRPr="00711FEA" w:rsidRDefault="00711FEA" w:rsidP="00711FEA">
      <w:pPr>
        <w:pStyle w:val="EndNoteBibliography"/>
        <w:spacing w:after="0"/>
        <w:ind w:left="720" w:hanging="720"/>
      </w:pPr>
      <w:r w:rsidRPr="00711FEA">
        <w:t>9</w:t>
      </w:r>
      <w:r w:rsidRPr="00711FEA">
        <w:tab/>
        <w:t>Nilsson, R. H.</w:t>
      </w:r>
      <w:r w:rsidRPr="00711FEA">
        <w:rPr>
          <w:i/>
        </w:rPr>
        <w:t xml:space="preserve"> et al.</w:t>
      </w:r>
      <w:r w:rsidRPr="00711FEA">
        <w:t xml:space="preserve"> An open source software package for automated extraction of ITS1 and ITS2 from fungal ITS sequences for use in high-throughput community assays and molecular ecology. </w:t>
      </w:r>
      <w:r w:rsidRPr="00711FEA">
        <w:rPr>
          <w:i/>
        </w:rPr>
        <w:t>Fungal Ecol.</w:t>
      </w:r>
      <w:r w:rsidRPr="00711FEA">
        <w:t xml:space="preserve"> </w:t>
      </w:r>
      <w:r w:rsidRPr="00711FEA">
        <w:rPr>
          <w:b/>
        </w:rPr>
        <w:t>3</w:t>
      </w:r>
      <w:r w:rsidRPr="00711FEA">
        <w:t xml:space="preserve">, 284-287 (2010). </w:t>
      </w:r>
    </w:p>
    <w:p w14:paraId="633178E7" w14:textId="77777777" w:rsidR="00711FEA" w:rsidRPr="00711FEA" w:rsidRDefault="00711FEA" w:rsidP="00711FEA">
      <w:pPr>
        <w:pStyle w:val="EndNoteBibliography"/>
        <w:spacing w:after="0"/>
        <w:ind w:left="720" w:hanging="720"/>
      </w:pPr>
      <w:r w:rsidRPr="00711FEA">
        <w:t>10</w:t>
      </w:r>
      <w:r w:rsidRPr="00711FEA">
        <w:tab/>
        <w:t xml:space="preserve">Edgar, R. C. UPARSE: highly accurate OTU sequences from microbial amplicon reads. </w:t>
      </w:r>
      <w:r w:rsidRPr="00711FEA">
        <w:rPr>
          <w:i/>
        </w:rPr>
        <w:t>Nat. Methods</w:t>
      </w:r>
      <w:r w:rsidRPr="00711FEA">
        <w:t xml:space="preserve"> </w:t>
      </w:r>
      <w:r w:rsidRPr="00711FEA">
        <w:rPr>
          <w:b/>
        </w:rPr>
        <w:t>10</w:t>
      </w:r>
      <w:r w:rsidRPr="00711FEA">
        <w:t xml:space="preserve">, 996-998 (2013). </w:t>
      </w:r>
    </w:p>
    <w:p w14:paraId="1D95423A" w14:textId="77777777" w:rsidR="00711FEA" w:rsidRPr="00711FEA" w:rsidRDefault="00711FEA" w:rsidP="00711FEA">
      <w:pPr>
        <w:pStyle w:val="EndNoteBibliography"/>
        <w:spacing w:after="0"/>
        <w:ind w:left="720" w:hanging="720"/>
      </w:pPr>
      <w:r w:rsidRPr="00711FEA">
        <w:t>11</w:t>
      </w:r>
      <w:r w:rsidRPr="00711FEA">
        <w:tab/>
        <w:t>de Valk, H. A.</w:t>
      </w:r>
      <w:r w:rsidRPr="00711FEA">
        <w:rPr>
          <w:i/>
        </w:rPr>
        <w:t xml:space="preserve"> et al.</w:t>
      </w:r>
      <w:r w:rsidRPr="00711FEA">
        <w:t xml:space="preserve"> Use of a novel panel of nine short tandem repeats for exact and high-resolution fingerprinting of </w:t>
      </w:r>
      <w:r w:rsidRPr="00711FEA">
        <w:rPr>
          <w:i/>
        </w:rPr>
        <w:t>Aspergillus fumigatus</w:t>
      </w:r>
      <w:r w:rsidRPr="00711FEA">
        <w:t xml:space="preserve"> isolates. </w:t>
      </w:r>
      <w:r w:rsidRPr="00711FEA">
        <w:rPr>
          <w:i/>
        </w:rPr>
        <w:t>J. Clin. Microbiol.</w:t>
      </w:r>
      <w:r w:rsidRPr="00711FEA">
        <w:t xml:space="preserve"> </w:t>
      </w:r>
      <w:r w:rsidRPr="00711FEA">
        <w:rPr>
          <w:b/>
        </w:rPr>
        <w:t>43</w:t>
      </w:r>
      <w:r w:rsidRPr="00711FEA">
        <w:t xml:space="preserve">, 4112-4120 (2005). </w:t>
      </w:r>
    </w:p>
    <w:p w14:paraId="43D024B1" w14:textId="77777777" w:rsidR="00711FEA" w:rsidRPr="00711FEA" w:rsidRDefault="00711FEA" w:rsidP="00711FEA">
      <w:pPr>
        <w:pStyle w:val="EndNoteBibliography"/>
        <w:spacing w:after="0"/>
        <w:ind w:left="720" w:hanging="720"/>
      </w:pPr>
      <w:r w:rsidRPr="00711FEA">
        <w:t>12</w:t>
      </w:r>
      <w:r w:rsidRPr="00711FEA">
        <w:tab/>
        <w:t xml:space="preserve">Testing, S. o. A. S. T. o. t. E. E. C. f. A. S. EUCAST technical note on the method for the determination of broth dilution minimum inhibitory concentrations of antifungal agents for conidia-forming moulds. </w:t>
      </w:r>
      <w:r w:rsidRPr="00711FEA">
        <w:rPr>
          <w:i/>
        </w:rPr>
        <w:t>Clin. Microbiol. Infect.</w:t>
      </w:r>
      <w:r w:rsidRPr="00711FEA">
        <w:t xml:space="preserve"> </w:t>
      </w:r>
      <w:r w:rsidRPr="00711FEA">
        <w:rPr>
          <w:b/>
        </w:rPr>
        <w:t>14</w:t>
      </w:r>
      <w:r w:rsidRPr="00711FEA">
        <w:t xml:space="preserve">, 982-984 (2008). </w:t>
      </w:r>
    </w:p>
    <w:p w14:paraId="134A75A7" w14:textId="77777777" w:rsidR="00711FEA" w:rsidRPr="00711FEA" w:rsidRDefault="00711FEA" w:rsidP="00711FEA">
      <w:pPr>
        <w:pStyle w:val="EndNoteBibliography"/>
        <w:spacing w:after="0"/>
        <w:ind w:left="720" w:hanging="720"/>
      </w:pPr>
      <w:r w:rsidRPr="00711FEA">
        <w:t>13</w:t>
      </w:r>
      <w:r w:rsidRPr="00711FEA">
        <w:tab/>
        <w:t>Bárria, C.</w:t>
      </w:r>
      <w:r w:rsidRPr="00711FEA">
        <w:rPr>
          <w:i/>
        </w:rPr>
        <w:t xml:space="preserve"> et al.</w:t>
      </w:r>
      <w:r w:rsidRPr="00711FEA">
        <w:t xml:space="preserve"> RNase R, a new virulence determinant of Streptococcus pneumoniae. </w:t>
      </w:r>
      <w:r w:rsidRPr="00711FEA">
        <w:rPr>
          <w:i/>
        </w:rPr>
        <w:t>Microorganisms</w:t>
      </w:r>
      <w:r w:rsidRPr="00711FEA">
        <w:t xml:space="preserve"> </w:t>
      </w:r>
      <w:r w:rsidRPr="00711FEA">
        <w:rPr>
          <w:b/>
        </w:rPr>
        <w:t>10</w:t>
      </w:r>
      <w:r w:rsidRPr="00711FEA">
        <w:t xml:space="preserve">, 317 (2022). </w:t>
      </w:r>
    </w:p>
    <w:p w14:paraId="511A9F56" w14:textId="77777777" w:rsidR="00711FEA" w:rsidRPr="00711FEA" w:rsidRDefault="00711FEA" w:rsidP="00711FEA">
      <w:pPr>
        <w:pStyle w:val="EndNoteBibliography"/>
        <w:spacing w:after="0"/>
        <w:ind w:left="720" w:hanging="720"/>
      </w:pPr>
      <w:r w:rsidRPr="00711FEA">
        <w:t>14</w:t>
      </w:r>
      <w:r w:rsidRPr="00711FEA">
        <w:tab/>
        <w:t xml:space="preserve">Livak, K. J. &amp; Schmittgen, T. D. Analysis of relative gene expression data using real-time quantitative PCR and the 2− ΔΔCT method. </w:t>
      </w:r>
      <w:r w:rsidRPr="00711FEA">
        <w:rPr>
          <w:i/>
        </w:rPr>
        <w:t>Methods</w:t>
      </w:r>
      <w:r w:rsidRPr="00711FEA">
        <w:t xml:space="preserve"> </w:t>
      </w:r>
      <w:r w:rsidRPr="00711FEA">
        <w:rPr>
          <w:b/>
        </w:rPr>
        <w:t>25</w:t>
      </w:r>
      <w:r w:rsidRPr="00711FEA">
        <w:t xml:space="preserve">, 402-408 (2001). </w:t>
      </w:r>
    </w:p>
    <w:p w14:paraId="4AA6BA3E" w14:textId="77777777" w:rsidR="00711FEA" w:rsidRPr="00711FEA" w:rsidRDefault="00711FEA" w:rsidP="00711FEA">
      <w:pPr>
        <w:pStyle w:val="EndNoteBibliography"/>
        <w:ind w:left="720" w:hanging="720"/>
      </w:pPr>
      <w:r w:rsidRPr="00711FEA">
        <w:t>15</w:t>
      </w:r>
      <w:r w:rsidRPr="00711FEA">
        <w:tab/>
        <w:t xml:space="preserve">Mak, P., Zdybicka-Barabas, A. &amp; Cytryńska, M. A different repertoire of Galleria mellonella antimicrobial peptides in larvae challenged with bacteria and fungi. </w:t>
      </w:r>
      <w:r w:rsidRPr="00711FEA">
        <w:rPr>
          <w:i/>
        </w:rPr>
        <w:t>Dev. Comp. Immunol.</w:t>
      </w:r>
      <w:r w:rsidRPr="00711FEA">
        <w:t xml:space="preserve"> </w:t>
      </w:r>
      <w:r w:rsidRPr="00711FEA">
        <w:rPr>
          <w:b/>
        </w:rPr>
        <w:t>34</w:t>
      </w:r>
      <w:r w:rsidRPr="00711FEA">
        <w:t xml:space="preserve">, 1129-1136 (2010). </w:t>
      </w:r>
    </w:p>
    <w:p w14:paraId="054DAD2C" w14:textId="3DD25F81" w:rsidR="003A2B55" w:rsidRPr="00AC4A03" w:rsidRDefault="008907F4" w:rsidP="00505CEA">
      <w:pPr>
        <w:spacing w:after="0" w:line="360" w:lineRule="auto"/>
        <w:rPr>
          <w:rFonts w:ascii="Times New Roman" w:hAnsi="Times New Roman" w:cs="Times New Roman"/>
        </w:rPr>
      </w:pPr>
      <w:r>
        <w:rPr>
          <w:rFonts w:ascii="Times New Roman" w:hAnsi="Times New Roman" w:cs="Times New Roman"/>
        </w:rPr>
        <w:fldChar w:fldCharType="end"/>
      </w:r>
    </w:p>
    <w:sectPr w:rsidR="003A2B55" w:rsidRPr="00AC4A03">
      <w:footerReference w:type="default" r:id="rId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7503B" w16cex:dateUtc="2022-11-10T09:26:00Z"/>
  <w16cex:commentExtensible w16cex:durableId="2717530A" w16cex:dateUtc="2022-11-10T0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D8776" w14:textId="77777777" w:rsidR="00A05103" w:rsidRDefault="00A05103" w:rsidP="00505CEA">
      <w:pPr>
        <w:spacing w:after="0" w:line="240" w:lineRule="auto"/>
      </w:pPr>
      <w:r>
        <w:separator/>
      </w:r>
    </w:p>
  </w:endnote>
  <w:endnote w:type="continuationSeparator" w:id="0">
    <w:p w14:paraId="63297548" w14:textId="77777777" w:rsidR="00A05103" w:rsidRDefault="00A05103" w:rsidP="00505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ヒラギノ角ゴ Pro W3">
    <w:charset w:val="80"/>
    <w:family w:val="auto"/>
    <w:pitch w:val="variable"/>
    <w:sig w:usb0="00000000" w:usb1="00000000" w:usb2="07040001"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995415"/>
      <w:docPartObj>
        <w:docPartGallery w:val="Page Numbers (Bottom of Page)"/>
        <w:docPartUnique/>
      </w:docPartObj>
    </w:sdtPr>
    <w:sdtEndPr>
      <w:rPr>
        <w:noProof/>
      </w:rPr>
    </w:sdtEndPr>
    <w:sdtContent>
      <w:p w14:paraId="67AA96DA" w14:textId="0D8DAF80" w:rsidR="0067648A" w:rsidRDefault="0067648A">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5BEFF243" w14:textId="77777777" w:rsidR="0067648A" w:rsidRDefault="00676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10ED8" w14:textId="77777777" w:rsidR="00A05103" w:rsidRDefault="00A05103" w:rsidP="00505CEA">
      <w:pPr>
        <w:spacing w:after="0" w:line="240" w:lineRule="auto"/>
      </w:pPr>
      <w:r>
        <w:separator/>
      </w:r>
    </w:p>
  </w:footnote>
  <w:footnote w:type="continuationSeparator" w:id="0">
    <w:p w14:paraId="1BBC9DDF" w14:textId="77777777" w:rsidR="00A05103" w:rsidRDefault="00A05103" w:rsidP="00505C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2tjQ2MzAzMjI2NzNT0lEKTi0uzszPAykwqQUAFXfcsC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fsx9rapweadwev95s5wwp5rf9aav0wzpfd&quot;&gt;Martins_etal_2022_Integrated-Converted&lt;record-ids&gt;&lt;item&gt;18&lt;/item&gt;&lt;item&gt;23&lt;/item&gt;&lt;item&gt;37&lt;/item&gt;&lt;item&gt;52&lt;/item&gt;&lt;item&gt;53&lt;/item&gt;&lt;item&gt;54&lt;/item&gt;&lt;item&gt;56&lt;/item&gt;&lt;item&gt;57&lt;/item&gt;&lt;item&gt;62&lt;/item&gt;&lt;item&gt;69&lt;/item&gt;&lt;item&gt;70&lt;/item&gt;&lt;item&gt;71&lt;/item&gt;&lt;item&gt;72&lt;/item&gt;&lt;item&gt;73&lt;/item&gt;&lt;item&gt;74&lt;/item&gt;&lt;item&gt;75&lt;/item&gt;&lt;/record-ids&gt;&lt;/item&gt;&lt;/Libraries&gt;"/>
  </w:docVars>
  <w:rsids>
    <w:rsidRoot w:val="00A7579E"/>
    <w:rsid w:val="000B1C1D"/>
    <w:rsid w:val="000C6279"/>
    <w:rsid w:val="000E5347"/>
    <w:rsid w:val="000F3C28"/>
    <w:rsid w:val="001A1D31"/>
    <w:rsid w:val="001A288D"/>
    <w:rsid w:val="001B4902"/>
    <w:rsid w:val="001C7DCF"/>
    <w:rsid w:val="00203551"/>
    <w:rsid w:val="0021018D"/>
    <w:rsid w:val="00262F96"/>
    <w:rsid w:val="00291646"/>
    <w:rsid w:val="002A083E"/>
    <w:rsid w:val="002F1945"/>
    <w:rsid w:val="003A2B55"/>
    <w:rsid w:val="003E6761"/>
    <w:rsid w:val="00422A00"/>
    <w:rsid w:val="00451BF7"/>
    <w:rsid w:val="00481DAC"/>
    <w:rsid w:val="00482A35"/>
    <w:rsid w:val="004B470C"/>
    <w:rsid w:val="00505CEA"/>
    <w:rsid w:val="005920CE"/>
    <w:rsid w:val="005D4B88"/>
    <w:rsid w:val="005F4C25"/>
    <w:rsid w:val="00621A1C"/>
    <w:rsid w:val="006269B6"/>
    <w:rsid w:val="006334D9"/>
    <w:rsid w:val="0067648A"/>
    <w:rsid w:val="00677D08"/>
    <w:rsid w:val="00694B08"/>
    <w:rsid w:val="006B5DBC"/>
    <w:rsid w:val="006E3A27"/>
    <w:rsid w:val="006F00C3"/>
    <w:rsid w:val="00711FEA"/>
    <w:rsid w:val="007637E5"/>
    <w:rsid w:val="0077207A"/>
    <w:rsid w:val="007D16BD"/>
    <w:rsid w:val="007D6CE9"/>
    <w:rsid w:val="00800C34"/>
    <w:rsid w:val="00821E92"/>
    <w:rsid w:val="008464A9"/>
    <w:rsid w:val="008907F4"/>
    <w:rsid w:val="00896244"/>
    <w:rsid w:val="008A6B85"/>
    <w:rsid w:val="008E1323"/>
    <w:rsid w:val="009947DA"/>
    <w:rsid w:val="009B6468"/>
    <w:rsid w:val="009D67F6"/>
    <w:rsid w:val="00A05103"/>
    <w:rsid w:val="00A33266"/>
    <w:rsid w:val="00A7579E"/>
    <w:rsid w:val="00A95254"/>
    <w:rsid w:val="00AB120C"/>
    <w:rsid w:val="00AC4A03"/>
    <w:rsid w:val="00AC5C81"/>
    <w:rsid w:val="00AE1AE6"/>
    <w:rsid w:val="00AF7CD1"/>
    <w:rsid w:val="00B13601"/>
    <w:rsid w:val="00B86593"/>
    <w:rsid w:val="00BA03BC"/>
    <w:rsid w:val="00BA2747"/>
    <w:rsid w:val="00BB6129"/>
    <w:rsid w:val="00BF5801"/>
    <w:rsid w:val="00C401D1"/>
    <w:rsid w:val="00C668E6"/>
    <w:rsid w:val="00C83A1C"/>
    <w:rsid w:val="00C90DF0"/>
    <w:rsid w:val="00CC1FD3"/>
    <w:rsid w:val="00CF7D01"/>
    <w:rsid w:val="00D07191"/>
    <w:rsid w:val="00D9618E"/>
    <w:rsid w:val="00DA72A7"/>
    <w:rsid w:val="00DC7986"/>
    <w:rsid w:val="00DD0DEF"/>
    <w:rsid w:val="00E968A4"/>
    <w:rsid w:val="00EB1BA5"/>
    <w:rsid w:val="00ED0CB9"/>
    <w:rsid w:val="00F473E5"/>
    <w:rsid w:val="00F51C66"/>
    <w:rsid w:val="00F647B2"/>
    <w:rsid w:val="00F72A7B"/>
    <w:rsid w:val="00F86DFA"/>
    <w:rsid w:val="00FA0F84"/>
    <w:rsid w:val="00FB10C7"/>
    <w:rsid w:val="00FB1E1E"/>
    <w:rsid w:val="00FE7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309E3"/>
  <w15:chartTrackingRefBased/>
  <w15:docId w15:val="{9BA5BEBE-BC8B-4E77-84A2-238676FA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F7CD1"/>
    <w:rPr>
      <w:sz w:val="16"/>
      <w:szCs w:val="16"/>
    </w:rPr>
  </w:style>
  <w:style w:type="paragraph" w:styleId="CommentText">
    <w:name w:val="annotation text"/>
    <w:basedOn w:val="Normal"/>
    <w:link w:val="CommentTextChar"/>
    <w:uiPriority w:val="99"/>
    <w:unhideWhenUsed/>
    <w:rsid w:val="00AF7CD1"/>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F7CD1"/>
    <w:rPr>
      <w:rFonts w:ascii="Calibri" w:eastAsia="Calibri" w:hAnsi="Calibri" w:cs="Times New Roman"/>
      <w:sz w:val="20"/>
      <w:szCs w:val="20"/>
    </w:rPr>
  </w:style>
  <w:style w:type="paragraph" w:customStyle="1" w:styleId="Paragraph">
    <w:name w:val="Paragraph"/>
    <w:basedOn w:val="Normal"/>
    <w:link w:val="ParagraphChar"/>
    <w:rsid w:val="003A2B55"/>
    <w:pPr>
      <w:spacing w:before="120" w:after="0" w:line="240" w:lineRule="auto"/>
      <w:ind w:firstLine="720"/>
    </w:pPr>
    <w:rPr>
      <w:rFonts w:ascii="Times New Roman" w:eastAsia="Times New Roman" w:hAnsi="Times New Roman" w:cs="Times New Roman"/>
      <w:sz w:val="24"/>
      <w:szCs w:val="24"/>
      <w:lang w:val="en-US"/>
    </w:rPr>
  </w:style>
  <w:style w:type="character" w:customStyle="1" w:styleId="ParagraphChar">
    <w:name w:val="Paragraph Char"/>
    <w:basedOn w:val="DefaultParagraphFont"/>
    <w:link w:val="Paragraph"/>
    <w:rsid w:val="003A2B5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B5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DBC"/>
    <w:rPr>
      <w:rFonts w:ascii="Segoe UI" w:hAnsi="Segoe UI" w:cs="Segoe UI"/>
      <w:sz w:val="18"/>
      <w:szCs w:val="18"/>
    </w:rPr>
  </w:style>
  <w:style w:type="paragraph" w:customStyle="1" w:styleId="AbstractSummary">
    <w:name w:val="Abstract/Summary"/>
    <w:basedOn w:val="Normal"/>
    <w:rsid w:val="00505CEA"/>
    <w:pPr>
      <w:spacing w:before="120" w:after="0" w:line="240" w:lineRule="auto"/>
    </w:pPr>
    <w:rPr>
      <w:rFonts w:ascii="Times New Roman" w:eastAsia="Times New Roman" w:hAnsi="Times New Roman" w:cs="Times New Roman"/>
      <w:sz w:val="24"/>
      <w:szCs w:val="24"/>
      <w:lang w:val="en-US"/>
    </w:rPr>
  </w:style>
  <w:style w:type="paragraph" w:customStyle="1" w:styleId="BBAuthorName">
    <w:name w:val="BB_Author_Name"/>
    <w:basedOn w:val="Normal"/>
    <w:next w:val="Normal"/>
    <w:rsid w:val="00505CEA"/>
    <w:pPr>
      <w:spacing w:after="240" w:line="480" w:lineRule="auto"/>
      <w:jc w:val="center"/>
    </w:pPr>
    <w:rPr>
      <w:rFonts w:ascii="Times" w:eastAsia="Times New Roman" w:hAnsi="Times" w:cs="Times New Roman"/>
      <w:i/>
      <w:sz w:val="24"/>
      <w:szCs w:val="20"/>
      <w:lang w:val="en-US"/>
    </w:rPr>
  </w:style>
  <w:style w:type="paragraph" w:styleId="Header">
    <w:name w:val="header"/>
    <w:basedOn w:val="Normal"/>
    <w:link w:val="HeaderChar"/>
    <w:uiPriority w:val="99"/>
    <w:unhideWhenUsed/>
    <w:rsid w:val="00505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CEA"/>
  </w:style>
  <w:style w:type="paragraph" w:styleId="Footer">
    <w:name w:val="footer"/>
    <w:basedOn w:val="Normal"/>
    <w:link w:val="FooterChar"/>
    <w:uiPriority w:val="99"/>
    <w:unhideWhenUsed/>
    <w:rsid w:val="00505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CEA"/>
  </w:style>
  <w:style w:type="paragraph" w:styleId="Revision">
    <w:name w:val="Revision"/>
    <w:hidden/>
    <w:uiPriority w:val="99"/>
    <w:semiHidden/>
    <w:rsid w:val="001B4902"/>
    <w:pPr>
      <w:spacing w:after="0" w:line="240" w:lineRule="auto"/>
    </w:pPr>
  </w:style>
  <w:style w:type="paragraph" w:styleId="CommentSubject">
    <w:name w:val="annotation subject"/>
    <w:basedOn w:val="CommentText"/>
    <w:next w:val="CommentText"/>
    <w:link w:val="CommentSubjectChar"/>
    <w:uiPriority w:val="99"/>
    <w:semiHidden/>
    <w:unhideWhenUsed/>
    <w:rsid w:val="00FE7356"/>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E7356"/>
    <w:rPr>
      <w:rFonts w:ascii="Calibri" w:eastAsia="Calibri" w:hAnsi="Calibri" w:cs="Times New Roman"/>
      <w:b/>
      <w:bCs/>
      <w:sz w:val="20"/>
      <w:szCs w:val="20"/>
    </w:rPr>
  </w:style>
  <w:style w:type="paragraph" w:customStyle="1" w:styleId="EndNoteBibliographyTitle">
    <w:name w:val="EndNote Bibliography Title"/>
    <w:basedOn w:val="Normal"/>
    <w:link w:val="EndNoteBibliographyTitleChar"/>
    <w:rsid w:val="00BA03B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A03BC"/>
    <w:rPr>
      <w:rFonts w:ascii="Calibri" w:hAnsi="Calibri" w:cs="Calibri"/>
      <w:noProof/>
      <w:lang w:val="en-US"/>
    </w:rPr>
  </w:style>
  <w:style w:type="paragraph" w:customStyle="1" w:styleId="EndNoteBibliography">
    <w:name w:val="EndNote Bibliography"/>
    <w:basedOn w:val="Normal"/>
    <w:link w:val="EndNoteBibliographyChar"/>
    <w:rsid w:val="00BA03B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A03BC"/>
    <w:rPr>
      <w:rFonts w:ascii="Calibri" w:hAnsi="Calibri" w:cs="Calibri"/>
      <w:noProof/>
      <w:lang w:val="en-US"/>
    </w:rPr>
  </w:style>
  <w:style w:type="character" w:styleId="Hyperlink">
    <w:name w:val="Hyperlink"/>
    <w:basedOn w:val="DefaultParagraphFont"/>
    <w:uiPriority w:val="99"/>
    <w:unhideWhenUsed/>
    <w:rsid w:val="00BA03BC"/>
    <w:rPr>
      <w:color w:val="0000FF" w:themeColor="hyperlink"/>
      <w:u w:val="single"/>
    </w:rPr>
  </w:style>
  <w:style w:type="character" w:customStyle="1" w:styleId="UnresolvedMention1">
    <w:name w:val="Unresolved Mention1"/>
    <w:basedOn w:val="DefaultParagraphFont"/>
    <w:uiPriority w:val="99"/>
    <w:semiHidden/>
    <w:unhideWhenUsed/>
    <w:rsid w:val="00BA0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228118">
      <w:bodyDiv w:val="1"/>
      <w:marLeft w:val="0"/>
      <w:marRight w:val="0"/>
      <w:marTop w:val="0"/>
      <w:marBottom w:val="0"/>
      <w:divBdr>
        <w:top w:val="none" w:sz="0" w:space="0" w:color="auto"/>
        <w:left w:val="none" w:sz="0" w:space="0" w:color="auto"/>
        <w:bottom w:val="none" w:sz="0" w:space="0" w:color="auto"/>
        <w:right w:val="none" w:sz="0" w:space="0" w:color="auto"/>
      </w:divBdr>
    </w:div>
    <w:div w:id="950162476">
      <w:bodyDiv w:val="1"/>
      <w:marLeft w:val="0"/>
      <w:marRight w:val="0"/>
      <w:marTop w:val="0"/>
      <w:marBottom w:val="0"/>
      <w:divBdr>
        <w:top w:val="none" w:sz="0" w:space="0" w:color="auto"/>
        <w:left w:val="none" w:sz="0" w:space="0" w:color="auto"/>
        <w:bottom w:val="none" w:sz="0" w:space="0" w:color="auto"/>
        <w:right w:val="none" w:sz="0" w:space="0" w:color="auto"/>
      </w:divBdr>
    </w:div>
    <w:div w:id="1043552841">
      <w:bodyDiv w:val="1"/>
      <w:marLeft w:val="0"/>
      <w:marRight w:val="0"/>
      <w:marTop w:val="0"/>
      <w:marBottom w:val="0"/>
      <w:divBdr>
        <w:top w:val="none" w:sz="0" w:space="0" w:color="auto"/>
        <w:left w:val="none" w:sz="0" w:space="0" w:color="auto"/>
        <w:bottom w:val="none" w:sz="0" w:space="0" w:color="auto"/>
        <w:right w:val="none" w:sz="0" w:space="0" w:color="auto"/>
      </w:divBdr>
    </w:div>
    <w:div w:id="17066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222C3-AE46-40FE-9A49-0C1A2EE3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6843</Words>
  <Characters>39006</Characters>
  <Application>Microsoft Office Word</Application>
  <DocSecurity>0</DocSecurity>
  <Lines>325</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ITQB</Company>
  <LinksUpToDate>false</LinksUpToDate>
  <CharactersWithSpaces>45758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Celso Martins</dc:creator>
  <cp:keywords/>
  <dc:description/>
  <cp:lastModifiedBy>Cris</cp:lastModifiedBy>
  <cp:revision>7</cp:revision>
  <dcterms:created xsi:type="dcterms:W3CDTF">2022-11-11T13:25:00Z</dcterms:created>
  <dcterms:modified xsi:type="dcterms:W3CDTF">2023-02-02T16:34:00Z</dcterms:modified>
</cp:coreProperties>
</file>