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D041E" w14:textId="77777777" w:rsidR="00346530" w:rsidRPr="00557D75" w:rsidRDefault="00346530" w:rsidP="00346530">
      <w:pPr>
        <w:spacing w:line="480" w:lineRule="auto"/>
        <w:rPr>
          <w:rFonts w:ascii="Times New Roman" w:hAnsi="Times New Roman" w:cs="Times New Roman"/>
          <w:i/>
          <w:iCs/>
          <w:color w:val="000000" w:themeColor="text1"/>
          <w:sz w:val="22"/>
        </w:rPr>
      </w:pPr>
      <w:r w:rsidRPr="00557D75">
        <w:rPr>
          <w:rFonts w:ascii="Times New Roman" w:hAnsi="Times New Roman" w:cs="Times New Roman"/>
          <w:sz w:val="22"/>
        </w:rPr>
        <w:t>Appendix A</w:t>
      </w:r>
    </w:p>
    <w:p w14:paraId="5B03D6C7" w14:textId="77777777" w:rsidR="00346530" w:rsidRPr="00557D75" w:rsidRDefault="00346530" w:rsidP="00346530">
      <w:pPr>
        <w:pStyle w:val="ListParagraph"/>
        <w:numPr>
          <w:ilvl w:val="0"/>
          <w:numId w:val="1"/>
        </w:numPr>
        <w:spacing w:line="480" w:lineRule="auto"/>
        <w:ind w:leftChars="0"/>
        <w:rPr>
          <w:rFonts w:ascii="Times New Roman" w:hAnsi="Times New Roman" w:cs="Times New Roman"/>
          <w:i/>
          <w:iCs/>
          <w:color w:val="000000" w:themeColor="text1"/>
          <w:sz w:val="22"/>
        </w:rPr>
      </w:pPr>
      <w:r w:rsidRPr="00557D75">
        <w:rPr>
          <w:rFonts w:ascii="Times New Roman" w:hAnsi="Times New Roman" w:cs="Times New Roman"/>
          <w:bCs/>
          <w:i/>
          <w:iCs/>
          <w:color w:val="000000" w:themeColor="text1"/>
          <w:sz w:val="22"/>
        </w:rPr>
        <w:t>3D inversion algorithm considering the excavation site</w:t>
      </w:r>
    </w:p>
    <w:p w14:paraId="3D536F14" w14:textId="77777777" w:rsidR="00346530" w:rsidRPr="00557D75" w:rsidRDefault="00346530" w:rsidP="00346530">
      <w:pPr>
        <w:spacing w:line="480" w:lineRule="auto"/>
        <w:ind w:firstLineChars="50" w:firstLine="110"/>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 xml:space="preserve">The 3D DC inversion was performed by iteratively solving the </w:t>
      </w:r>
      <w:r>
        <w:rPr>
          <w:rFonts w:ascii="Times New Roman" w:hAnsi="Times New Roman" w:cs="Times New Roman"/>
          <w:color w:val="000000" w:themeColor="text1"/>
          <w:sz w:val="22"/>
        </w:rPr>
        <w:t xml:space="preserve">following </w:t>
      </w:r>
      <w:r w:rsidRPr="00557D75">
        <w:rPr>
          <w:rFonts w:ascii="Times New Roman" w:hAnsi="Times New Roman" w:cs="Times New Roman"/>
          <w:color w:val="000000" w:themeColor="text1"/>
          <w:sz w:val="22"/>
        </w:rPr>
        <w:t>nonlinear problem: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346530" w:rsidRPr="00557D75" w14:paraId="1F6B8BA6" w14:textId="77777777" w:rsidTr="00DA718F">
        <w:tc>
          <w:tcPr>
            <w:tcW w:w="8500" w:type="dxa"/>
          </w:tcPr>
          <w:p w14:paraId="44D9237D" w14:textId="77777777" w:rsidR="00346530" w:rsidRPr="00557D75" w:rsidRDefault="00346530" w:rsidP="00DA718F">
            <w:pPr>
              <w:spacing w:line="480" w:lineRule="auto"/>
              <w:jc w:val="center"/>
              <w:rPr>
                <w:rFonts w:ascii="Times New Roman" w:hAnsi="Times New Roman" w:cs="Times New Roman"/>
                <w:color w:val="000000" w:themeColor="text1"/>
                <w:sz w:val="22"/>
              </w:rPr>
            </w:pPr>
            <m:oMathPara>
              <m:oMath>
                <m:r>
                  <m:rPr>
                    <m:sty m:val="b"/>
                  </m:rPr>
                  <w:rPr>
                    <w:rFonts w:ascii="Cambria Math" w:hAnsi="Cambria Math" w:cs="Times New Roman"/>
                    <w:color w:val="000000" w:themeColor="text1"/>
                    <w:sz w:val="22"/>
                  </w:rPr>
                  <m:t>∆d=j∆m</m:t>
                </m:r>
              </m:oMath>
            </m:oMathPara>
          </w:p>
        </w:tc>
        <w:tc>
          <w:tcPr>
            <w:tcW w:w="516" w:type="dxa"/>
          </w:tcPr>
          <w:p w14:paraId="5933485A" w14:textId="77777777" w:rsidR="00346530" w:rsidRPr="00557D75" w:rsidRDefault="00346530" w:rsidP="00DA718F">
            <w:pPr>
              <w:spacing w:line="480" w:lineRule="auto"/>
              <w:jc w:val="center"/>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(A1)</w:t>
            </w:r>
          </w:p>
        </w:tc>
      </w:tr>
    </w:tbl>
    <w:p w14:paraId="7BD928CE" w14:textId="77777777" w:rsidR="00346530" w:rsidRPr="00557D75" w:rsidRDefault="00346530" w:rsidP="00346530">
      <w:pPr>
        <w:spacing w:line="480" w:lineRule="auto"/>
        <w:ind w:right="95"/>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 xml:space="preserve">where </w:t>
      </w:r>
      <m:oMath>
        <m:r>
          <m:rPr>
            <m:sty m:val="b"/>
          </m:rPr>
          <w:rPr>
            <w:rFonts w:ascii="Cambria Math" w:hAnsi="Cambria Math" w:cs="Times New Roman"/>
            <w:color w:val="000000" w:themeColor="text1"/>
            <w:sz w:val="22"/>
          </w:rPr>
          <m:t>∆d</m:t>
        </m:r>
      </m:oMath>
      <w:r w:rsidRPr="00557D75">
        <w:rPr>
          <w:rFonts w:ascii="Times New Roman" w:hAnsi="Times New Roman" w:cs="Times New Roman"/>
          <w:b/>
          <w:bCs/>
          <w:color w:val="000000" w:themeColor="text1"/>
          <w:sz w:val="22"/>
        </w:rPr>
        <w:t xml:space="preserve"> </w:t>
      </w:r>
      <w:r w:rsidRPr="00557D75">
        <w:rPr>
          <w:rFonts w:ascii="Times New Roman" w:hAnsi="Times New Roman" w:cs="Times New Roman"/>
          <w:color w:val="000000" w:themeColor="text1"/>
          <w:sz w:val="22"/>
        </w:rPr>
        <w:t xml:space="preserve">is the vector of the difference between the observed and numerically simulated data, </w:t>
      </w:r>
      <m:oMath>
        <m:r>
          <m:rPr>
            <m:sty m:val="b"/>
          </m:rPr>
          <w:rPr>
            <w:rFonts w:ascii="Cambria Math" w:hAnsi="Cambria Math" w:cs="Times New Roman"/>
            <w:color w:val="000000" w:themeColor="text1"/>
            <w:sz w:val="22"/>
          </w:rPr>
          <m:t>∆m</m:t>
        </m:r>
      </m:oMath>
      <w:r w:rsidRPr="00557D75">
        <w:rPr>
          <w:rFonts w:ascii="Times New Roman" w:hAnsi="Times New Roman" w:cs="Times New Roman"/>
          <w:b/>
          <w:bCs/>
          <w:color w:val="000000" w:themeColor="text1"/>
          <w:sz w:val="22"/>
        </w:rPr>
        <w:t xml:space="preserve"> </w:t>
      </w:r>
      <w:r w:rsidRPr="00557D75">
        <w:rPr>
          <w:rFonts w:ascii="Times New Roman" w:hAnsi="Times New Roman" w:cs="Times New Roman"/>
          <w:color w:val="000000" w:themeColor="text1"/>
          <w:sz w:val="22"/>
        </w:rPr>
        <w:t>i</w:t>
      </w:r>
      <w:r w:rsidRPr="00557D75">
        <w:rPr>
          <w:rFonts w:ascii="Times New Roman" w:hAnsi="Times New Roman" w:cs="Times New Roman"/>
          <w:b/>
          <w:bCs/>
          <w:color w:val="000000" w:themeColor="text1"/>
          <w:sz w:val="22"/>
        </w:rPr>
        <w:t xml:space="preserve">s </w:t>
      </w:r>
      <w:r w:rsidRPr="00557D75">
        <w:rPr>
          <w:rFonts w:ascii="Times New Roman" w:hAnsi="Times New Roman" w:cs="Times New Roman"/>
          <w:color w:val="000000" w:themeColor="text1"/>
          <w:sz w:val="22"/>
        </w:rPr>
        <w:t xml:space="preserve">a model correction vector, and </w:t>
      </w:r>
      <w:r w:rsidRPr="00557D75">
        <w:rPr>
          <w:rFonts w:ascii="Times New Roman" w:hAnsi="Times New Roman" w:cs="Times New Roman"/>
          <w:b/>
          <w:bCs/>
          <w:color w:val="000000" w:themeColor="text1"/>
          <w:sz w:val="22"/>
        </w:rPr>
        <w:t xml:space="preserve">j </w:t>
      </w:r>
      <w:r w:rsidRPr="00557D75">
        <w:rPr>
          <w:rFonts w:ascii="Times New Roman" w:hAnsi="Times New Roman" w:cs="Times New Roman"/>
          <w:color w:val="000000" w:themeColor="text1"/>
          <w:sz w:val="22"/>
        </w:rPr>
        <w:t>is</w:t>
      </w:r>
      <w:r w:rsidRPr="00557D75">
        <w:rPr>
          <w:rFonts w:ascii="Times New Roman" w:hAnsi="Times New Roman" w:cs="Times New Roman"/>
          <w:b/>
          <w:bCs/>
          <w:color w:val="000000" w:themeColor="text1"/>
          <w:sz w:val="22"/>
        </w:rPr>
        <w:t xml:space="preserve"> </w:t>
      </w:r>
      <w:r w:rsidRPr="00557D75">
        <w:rPr>
          <w:rFonts w:ascii="Times New Roman" w:hAnsi="Times New Roman" w:cs="Times New Roman"/>
          <w:color w:val="000000" w:themeColor="text1"/>
          <w:sz w:val="22"/>
        </w:rPr>
        <w:t xml:space="preserve">a sensitivity matrix. Solutions of Eq. (A1) that yield </w:t>
      </w:r>
      <m:oMath>
        <m:r>
          <m:rPr>
            <m:sty m:val="b"/>
          </m:rPr>
          <w:rPr>
            <w:rFonts w:ascii="Cambria Math" w:hAnsi="Cambria Math" w:cs="Times New Roman"/>
            <w:color w:val="000000" w:themeColor="text1"/>
            <w:sz w:val="22"/>
          </w:rPr>
          <m:t>∆m</m:t>
        </m:r>
      </m:oMath>
      <w:r w:rsidRPr="00557D75">
        <w:rPr>
          <w:rFonts w:ascii="Times New Roman" w:hAnsi="Times New Roman" w:cs="Times New Roman"/>
          <w:b/>
          <w:color w:val="000000" w:themeColor="text1"/>
          <w:sz w:val="22"/>
        </w:rPr>
        <w:t xml:space="preserve"> </w:t>
      </w:r>
      <w:r w:rsidRPr="00557D75">
        <w:rPr>
          <w:rFonts w:ascii="Times New Roman" w:hAnsi="Times New Roman" w:cs="Times New Roman"/>
          <w:bCs/>
          <w:color w:val="000000" w:themeColor="text1"/>
          <w:sz w:val="22"/>
        </w:rPr>
        <w:t>values are numerically unstable</w:t>
      </w:r>
      <w:r>
        <w:rPr>
          <w:rFonts w:ascii="Times New Roman" w:hAnsi="Times New Roman" w:cs="Times New Roman"/>
          <w:color w:val="000000" w:themeColor="text1"/>
          <w:sz w:val="22"/>
        </w:rPr>
        <w:t>;</w:t>
      </w:r>
      <w:r w:rsidRPr="00557D75">
        <w:rPr>
          <w:rFonts w:ascii="Times New Roman" w:hAnsi="Times New Roman" w:cs="Times New Roman"/>
          <w:color w:val="000000" w:themeColor="text1"/>
          <w:sz w:val="22"/>
        </w:rPr>
        <w:t xml:space="preserve"> therefore</w:t>
      </w:r>
      <w:r>
        <w:rPr>
          <w:rFonts w:ascii="Times New Roman" w:hAnsi="Times New Roman" w:cs="Times New Roman"/>
          <w:color w:val="000000" w:themeColor="text1"/>
          <w:sz w:val="22"/>
        </w:rPr>
        <w:t>,</w:t>
      </w:r>
      <w:r w:rsidRPr="00557D75">
        <w:rPr>
          <w:rFonts w:ascii="Times New Roman" w:hAnsi="Times New Roman" w:cs="Times New Roman"/>
          <w:color w:val="000000" w:themeColor="text1"/>
          <w:sz w:val="22"/>
        </w:rPr>
        <w:t xml:space="preserve"> constraints are required. </w:t>
      </w:r>
      <w:r>
        <w:rPr>
          <w:rFonts w:ascii="Times New Roman" w:hAnsi="Times New Roman" w:cs="Times New Roman"/>
          <w:color w:val="000000" w:themeColor="text1"/>
          <w:sz w:val="22"/>
        </w:rPr>
        <w:t>M</w:t>
      </w:r>
      <w:r w:rsidRPr="00557D75">
        <w:rPr>
          <w:rFonts w:ascii="Times New Roman" w:hAnsi="Times New Roman" w:cs="Times New Roman"/>
          <w:color w:val="000000" w:themeColor="text1"/>
          <w:sz w:val="22"/>
        </w:rPr>
        <w:t xml:space="preserve">odel roughness is </w:t>
      </w:r>
      <w:r>
        <w:rPr>
          <w:rFonts w:ascii="Times New Roman" w:hAnsi="Times New Roman" w:cs="Times New Roman"/>
          <w:color w:val="000000" w:themeColor="text1"/>
          <w:sz w:val="22"/>
        </w:rPr>
        <w:t xml:space="preserve">often </w:t>
      </w:r>
      <w:r w:rsidRPr="00557D75">
        <w:rPr>
          <w:rFonts w:ascii="Times New Roman" w:hAnsi="Times New Roman" w:cs="Times New Roman"/>
          <w:color w:val="000000" w:themeColor="text1"/>
          <w:sz w:val="22"/>
        </w:rPr>
        <w:t xml:space="preserve">minimized using an objective function </w:t>
      </w:r>
      <m:oMath>
        <m:r>
          <m:rPr>
            <m:sty m:val="p"/>
          </m:rPr>
          <w:rPr>
            <w:rFonts w:ascii="Cambria Math" w:hAnsi="Cambria Math" w:cs="Times New Roman"/>
            <w:color w:val="000000" w:themeColor="text1"/>
            <w:sz w:val="22"/>
          </w:rPr>
          <m:t>Φ</m:t>
        </m:r>
      </m:oMath>
      <w:r w:rsidRPr="00557D75">
        <w:rPr>
          <w:rFonts w:ascii="Times New Roman" w:hAnsi="Times New Roman" w:cs="Times New Roman"/>
          <w:color w:val="000000" w:themeColor="text1"/>
          <w:sz w:val="22"/>
        </w:rPr>
        <w:t xml:space="preserve"> (Han et al. 2008):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346530" w:rsidRPr="00557D75" w14:paraId="7C92F51E" w14:textId="77777777" w:rsidTr="00DA718F">
        <w:tc>
          <w:tcPr>
            <w:tcW w:w="8500" w:type="dxa"/>
          </w:tcPr>
          <w:p w14:paraId="54FF6E4E" w14:textId="77777777" w:rsidR="00346530" w:rsidRPr="00557D75" w:rsidRDefault="00346530" w:rsidP="00DA718F">
            <w:pPr>
              <w:spacing w:line="480" w:lineRule="auto"/>
              <w:jc w:val="center"/>
              <w:rPr>
                <w:rFonts w:ascii="Times New Roman" w:hAnsi="Times New Roman" w:cs="Times New Roman"/>
                <w:color w:val="000000" w:themeColor="text1"/>
                <w:sz w:val="22"/>
              </w:rPr>
            </w:pPr>
            <m:oMathPara>
              <m:oMath>
                <m:r>
                  <m:rPr>
                    <m:sty m:val="p"/>
                  </m:rPr>
                  <w:rPr>
                    <w:rFonts w:ascii="Cambria Math" w:hAnsi="Cambria Math" w:cs="Times New Roman"/>
                    <w:color w:val="000000" w:themeColor="text1"/>
                    <w:sz w:val="22"/>
                  </w:rPr>
                  <m:t>Φ</m:t>
                </m:r>
                <m:d>
                  <m:dPr>
                    <m:ctrlPr>
                      <w:rPr>
                        <w:rFonts w:ascii="Cambria Math" w:hAnsi="Cambria Math" w:cs="Times New Roman"/>
                        <w:color w:val="000000" w:themeColor="text1"/>
                        <w:sz w:val="22"/>
                      </w:rPr>
                    </m:ctrlPr>
                  </m:dPr>
                  <m:e>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r>
                  <m:rPr>
                    <m:sty m:val="p"/>
                  </m:rPr>
                  <w:rPr>
                    <w:rFonts w:ascii="Cambria Math" w:hAnsi="Cambria Math" w:cs="Times New Roman"/>
                    <w:color w:val="000000" w:themeColor="text1"/>
                    <w:sz w:val="22"/>
                  </w:rPr>
                  <m:t>=</m:t>
                </m:r>
                <m:sSup>
                  <m:sSupPr>
                    <m:ctrlPr>
                      <w:rPr>
                        <w:rFonts w:ascii="Cambria Math" w:hAnsi="Cambria Math" w:cs="Times New Roman"/>
                        <w:color w:val="000000" w:themeColor="text1"/>
                        <w:sz w:val="22"/>
                      </w:rPr>
                    </m:ctrlPr>
                  </m:sSupPr>
                  <m:e>
                    <m:d>
                      <m:dPr>
                        <m:begChr m:val="‖"/>
                        <m:endChr m:val="‖"/>
                        <m:ctrlPr>
                          <w:rPr>
                            <w:rFonts w:ascii="Cambria Math" w:hAnsi="Cambria Math" w:cs="Times New Roman"/>
                            <w:color w:val="000000" w:themeColor="text1"/>
                            <w:sz w:val="22"/>
                          </w:rPr>
                        </m:ctrlPr>
                      </m:dPr>
                      <m:e>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e>
                  <m:sup>
                    <m:r>
                      <m:rPr>
                        <m:sty m:val="p"/>
                      </m:rPr>
                      <w:rPr>
                        <w:rFonts w:ascii="Cambria Math" w:hAnsi="Cambria Math" w:cs="Times New Roman"/>
                        <w:color w:val="000000" w:themeColor="text1"/>
                        <w:sz w:val="22"/>
                      </w:rPr>
                      <m:t>2</m:t>
                    </m:r>
                  </m:sup>
                </m:sSup>
                <m:r>
                  <m:rPr>
                    <m:sty m:val="p"/>
                  </m:rPr>
                  <w:rPr>
                    <w:rFonts w:ascii="Cambria Math" w:hAnsi="Cambria Math" w:cs="Times New Roman"/>
                    <w:color w:val="000000" w:themeColor="text1"/>
                    <w:sz w:val="22"/>
                  </w:rPr>
                  <m:t>+</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λ</m:t>
                    </m:r>
                  </m:e>
                  <m:sup>
                    <m:r>
                      <m:rPr>
                        <m:sty m:val="p"/>
                      </m:rPr>
                      <w:rPr>
                        <w:rFonts w:ascii="Cambria Math" w:hAnsi="Cambria Math" w:cs="Times New Roman"/>
                        <w:color w:val="000000" w:themeColor="text1"/>
                        <w:sz w:val="22"/>
                      </w:rPr>
                      <m:t>2</m:t>
                    </m:r>
                  </m:sup>
                </m:sSup>
                <m:sSup>
                  <m:sSupPr>
                    <m:ctrlPr>
                      <w:rPr>
                        <w:rFonts w:ascii="Cambria Math" w:hAnsi="Cambria Math" w:cs="Times New Roman"/>
                        <w:color w:val="000000" w:themeColor="text1"/>
                        <w:sz w:val="22"/>
                      </w:rPr>
                    </m:ctrlPr>
                  </m:sSupPr>
                  <m:e>
                    <m:d>
                      <m:dPr>
                        <m:begChr m:val="["/>
                        <m:endChr m:val="]"/>
                        <m:ctrlPr>
                          <w:rPr>
                            <w:rFonts w:ascii="Cambria Math" w:hAnsi="Cambria Math" w:cs="Times New Roman"/>
                            <w:color w:val="000000" w:themeColor="text1"/>
                            <w:sz w:val="22"/>
                          </w:rPr>
                        </m:ctrlPr>
                      </m:dPr>
                      <m:e>
                        <m:d>
                          <m:dPr>
                            <m:begChr m:val="‖"/>
                            <m:endChr m:val="‖"/>
                            <m:ctrlPr>
                              <w:rPr>
                                <w:rFonts w:ascii="Cambria Math" w:hAnsi="Cambria Math" w:cs="Times New Roman"/>
                                <w:color w:val="000000" w:themeColor="text1"/>
                                <w:sz w:val="22"/>
                              </w:rPr>
                            </m:ctrlPr>
                          </m:dPr>
                          <m:e>
                            <m:r>
                              <m:rPr>
                                <m:sty m:val="b"/>
                              </m:rPr>
                              <w:rPr>
                                <w:rFonts w:ascii="Cambria Math" w:hAnsi="Cambria Math" w:cs="Times New Roman"/>
                                <w:color w:val="000000" w:themeColor="text1"/>
                                <w:sz w:val="22"/>
                              </w:rPr>
                              <m:t>c</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e>
                    </m:d>
                  </m:e>
                  <m:sup>
                    <m:r>
                      <m:rPr>
                        <m:sty m:val="p"/>
                      </m:rPr>
                      <w:rPr>
                        <w:rFonts w:ascii="Cambria Math" w:hAnsi="Cambria Math" w:cs="Times New Roman"/>
                        <w:color w:val="000000" w:themeColor="text1"/>
                        <w:sz w:val="22"/>
                      </w:rPr>
                      <m:t>2</m:t>
                    </m:r>
                  </m:sup>
                </m:sSup>
              </m:oMath>
            </m:oMathPara>
          </w:p>
        </w:tc>
        <w:tc>
          <w:tcPr>
            <w:tcW w:w="516" w:type="dxa"/>
          </w:tcPr>
          <w:p w14:paraId="66378FC2" w14:textId="77777777" w:rsidR="00346530" w:rsidRPr="00557D75" w:rsidRDefault="00346530" w:rsidP="00DA718F">
            <w:pPr>
              <w:spacing w:line="480" w:lineRule="auto"/>
              <w:jc w:val="center"/>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(A2)</w:t>
            </w:r>
          </w:p>
        </w:tc>
      </w:tr>
    </w:tbl>
    <w:p w14:paraId="2CD27277" w14:textId="77777777" w:rsidR="00346530" w:rsidRPr="00557D75" w:rsidRDefault="00346530" w:rsidP="00346530">
      <w:pPr>
        <w:spacing w:line="480" w:lineRule="auto"/>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 xml:space="preserve">where </w:t>
      </w:r>
      <w:r w:rsidRPr="00557D75">
        <w:rPr>
          <w:rFonts w:ascii="Times New Roman" w:hAnsi="Times New Roman" w:cs="Times New Roman"/>
          <w:b/>
          <w:bCs/>
          <w:color w:val="000000" w:themeColor="text1"/>
          <w:sz w:val="22"/>
        </w:rPr>
        <w:t xml:space="preserve">c </w:t>
      </w:r>
      <w:r w:rsidRPr="00557D75">
        <w:rPr>
          <w:rFonts w:ascii="Times New Roman" w:hAnsi="Times New Roman" w:cs="Times New Roman"/>
          <w:color w:val="000000" w:themeColor="text1"/>
          <w:sz w:val="22"/>
        </w:rPr>
        <w:t xml:space="preserve">is a second-order difference operator quantifying model roughness, </w:t>
      </w:r>
      <w:r w:rsidRPr="00557D75">
        <w:rPr>
          <w:rFonts w:ascii="Times New Roman" w:hAnsi="Times New Roman" w:cs="Times New Roman"/>
          <w:b/>
          <w:bCs/>
          <w:color w:val="000000" w:themeColor="text1"/>
          <w:sz w:val="22"/>
        </w:rPr>
        <w:t>m</w:t>
      </w:r>
      <w:r w:rsidRPr="00557D75">
        <w:rPr>
          <w:rFonts w:ascii="Times New Roman" w:hAnsi="Times New Roman" w:cs="Times New Roman"/>
          <w:i/>
          <w:iCs/>
          <w:color w:val="000000" w:themeColor="text1"/>
          <w:sz w:val="22"/>
          <w:vertAlign w:val="superscript"/>
        </w:rPr>
        <w:t>k</w:t>
      </w:r>
      <w:r w:rsidRPr="00557D75">
        <w:rPr>
          <w:rFonts w:ascii="Times New Roman" w:hAnsi="Times New Roman" w:cs="Times New Roman"/>
          <w:color w:val="000000" w:themeColor="text1"/>
          <w:sz w:val="22"/>
        </w:rPr>
        <w:t xml:space="preserve"> is the model at the </w:t>
      </w:r>
      <w:r w:rsidRPr="00557D75">
        <w:rPr>
          <w:rFonts w:ascii="Times New Roman" w:hAnsi="Times New Roman" w:cs="Times New Roman"/>
          <w:i/>
          <w:iCs/>
          <w:color w:val="000000" w:themeColor="text1"/>
          <w:sz w:val="22"/>
        </w:rPr>
        <w:t>k</w:t>
      </w:r>
      <w:r w:rsidRPr="00557D75">
        <w:rPr>
          <w:rFonts w:ascii="Times New Roman" w:hAnsi="Times New Roman" w:cs="Times New Roman"/>
          <w:color w:val="000000" w:themeColor="text1"/>
          <w:sz w:val="22"/>
        </w:rPr>
        <w:t>-th iteration, and λ is the Lagrange multiplier. λ balances the model misfit (</w:t>
      </w:r>
      <m:oMath>
        <m:d>
          <m:dPr>
            <m:begChr m:val="‖"/>
            <m:endChr m:val="‖"/>
            <m:ctrlPr>
              <w:rPr>
                <w:rFonts w:ascii="Cambria Math" w:hAnsi="Cambria Math" w:cs="Times New Roman"/>
                <w:color w:val="000000" w:themeColor="text1"/>
                <w:sz w:val="22"/>
              </w:rPr>
            </m:ctrlPr>
          </m:dPr>
          <m:e>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oMath>
      <w:r w:rsidRPr="00557D75">
        <w:rPr>
          <w:rFonts w:ascii="Times New Roman" w:hAnsi="Times New Roman" w:cs="Times New Roman"/>
          <w:color w:val="000000" w:themeColor="text1"/>
          <w:sz w:val="22"/>
        </w:rPr>
        <w:t>) with the spatial constraints (</w:t>
      </w:r>
      <m:oMath>
        <m:d>
          <m:dPr>
            <m:begChr m:val="‖"/>
            <m:endChr m:val="‖"/>
            <m:ctrlPr>
              <w:rPr>
                <w:rFonts w:ascii="Cambria Math" w:hAnsi="Cambria Math" w:cs="Times New Roman"/>
                <w:color w:val="000000" w:themeColor="text1"/>
                <w:sz w:val="22"/>
              </w:rPr>
            </m:ctrlPr>
          </m:dPr>
          <m:e>
            <m:r>
              <m:rPr>
                <m:sty m:val="b"/>
              </m:rPr>
              <w:rPr>
                <w:rFonts w:ascii="Cambria Math" w:hAnsi="Cambria Math" w:cs="Times New Roman"/>
                <w:color w:val="000000" w:themeColor="text1"/>
                <w:sz w:val="22"/>
              </w:rPr>
              <m:t>c</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oMath>
      <w:r w:rsidRPr="00557D75">
        <w:rPr>
          <w:rFonts w:ascii="Times New Roman" w:hAnsi="Times New Roman" w:cs="Times New Roman"/>
          <w:color w:val="000000" w:themeColor="text1"/>
          <w:sz w:val="22"/>
        </w:rPr>
        <w:t>). Smoothing</w:t>
      </w:r>
      <w:r>
        <w:rPr>
          <w:rFonts w:ascii="Times New Roman" w:hAnsi="Times New Roman" w:cs="Times New Roman"/>
          <w:color w:val="000000" w:themeColor="text1"/>
          <w:sz w:val="22"/>
        </w:rPr>
        <w:t xml:space="preserve"> constraint is</w:t>
      </w:r>
      <w:r w:rsidRPr="00557D75">
        <w:rPr>
          <w:rFonts w:ascii="Times New Roman" w:hAnsi="Times New Roman" w:cs="Times New Roman"/>
          <w:color w:val="000000" w:themeColor="text1"/>
          <w:sz w:val="22"/>
        </w:rPr>
        <w:t xml:space="preserve"> widely used </w:t>
      </w:r>
      <w:r>
        <w:rPr>
          <w:rFonts w:ascii="Times New Roman" w:hAnsi="Times New Roman" w:cs="Times New Roman"/>
          <w:color w:val="000000" w:themeColor="text1"/>
          <w:sz w:val="22"/>
        </w:rPr>
        <w:t>in</w:t>
      </w:r>
      <w:r w:rsidRPr="00557D75">
        <w:rPr>
          <w:rFonts w:ascii="Times New Roman" w:hAnsi="Times New Roman" w:cs="Times New Roman"/>
          <w:color w:val="000000" w:themeColor="text1"/>
          <w:sz w:val="22"/>
        </w:rPr>
        <w:t xml:space="preserve"> spatial domain models </w:t>
      </w:r>
      <w:r>
        <w:rPr>
          <w:rFonts w:ascii="Times New Roman" w:hAnsi="Times New Roman" w:cs="Times New Roman"/>
          <w:color w:val="000000" w:themeColor="text1"/>
          <w:sz w:val="22"/>
        </w:rPr>
        <w:t>using</w:t>
      </w:r>
      <w:r w:rsidRPr="00557D75">
        <w:rPr>
          <w:rFonts w:ascii="Times New Roman" w:hAnsi="Times New Roman" w:cs="Times New Roman"/>
          <w:color w:val="000000" w:themeColor="text1"/>
          <w:sz w:val="22"/>
        </w:rPr>
        <w:t xml:space="preserve"> least-squares inversion. Smoothness constraint force</w:t>
      </w:r>
      <w:r>
        <w:rPr>
          <w:rFonts w:ascii="Times New Roman" w:hAnsi="Times New Roman" w:cs="Times New Roman"/>
          <w:color w:val="000000" w:themeColor="text1"/>
          <w:sz w:val="22"/>
        </w:rPr>
        <w:t>s</w:t>
      </w:r>
      <w:r w:rsidRPr="00557D75">
        <w:rPr>
          <w:rFonts w:ascii="Times New Roman" w:hAnsi="Times New Roman" w:cs="Times New Roman"/>
          <w:color w:val="000000" w:themeColor="text1"/>
          <w:sz w:val="22"/>
        </w:rPr>
        <w:t xml:space="preserve"> </w:t>
      </w:r>
      <w:r>
        <w:rPr>
          <w:rFonts w:ascii="Times New Roman" w:hAnsi="Times New Roman" w:cs="Times New Roman"/>
          <w:color w:val="000000" w:themeColor="text1"/>
          <w:sz w:val="22"/>
        </w:rPr>
        <w:t xml:space="preserve">spatial </w:t>
      </w:r>
      <w:r w:rsidRPr="00557D75">
        <w:rPr>
          <w:rFonts w:ascii="Times New Roman" w:hAnsi="Times New Roman" w:cs="Times New Roman"/>
          <w:color w:val="000000" w:themeColor="text1"/>
          <w:sz w:val="22"/>
        </w:rPr>
        <w:t>model parameters to change gradually by minimizing the primary or secondary differentiation</w:t>
      </w:r>
      <w:r>
        <w:rPr>
          <w:rFonts w:ascii="Times New Roman" w:hAnsi="Times New Roman" w:cs="Times New Roman"/>
          <w:color w:val="000000" w:themeColor="text1"/>
          <w:sz w:val="22"/>
        </w:rPr>
        <w:t>s</w:t>
      </w:r>
      <w:r w:rsidRPr="00557D75">
        <w:rPr>
          <w:rFonts w:ascii="Times New Roman" w:hAnsi="Times New Roman" w:cs="Times New Roman"/>
          <w:color w:val="000000" w:themeColor="text1"/>
          <w:sz w:val="22"/>
        </w:rPr>
        <w:t xml:space="preserve"> (Constable et al., 1987). Minimizing the objective function in Eq. (A2) is equivalent to solving the </w:t>
      </w:r>
      <w:r>
        <w:rPr>
          <w:rFonts w:ascii="Times New Roman" w:hAnsi="Times New Roman" w:cs="Times New Roman"/>
          <w:color w:val="000000" w:themeColor="text1"/>
          <w:sz w:val="22"/>
        </w:rPr>
        <w:t xml:space="preserve">following </w:t>
      </w:r>
      <w:r w:rsidRPr="00557D75">
        <w:rPr>
          <w:rFonts w:ascii="Times New Roman" w:hAnsi="Times New Roman" w:cs="Times New Roman"/>
          <w:color w:val="000000" w:themeColor="text1"/>
          <w:sz w:val="22"/>
        </w:rPr>
        <w:t>observational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346530" w:rsidRPr="00557D75" w14:paraId="0DD17119" w14:textId="77777777" w:rsidTr="00DA718F">
        <w:tc>
          <w:tcPr>
            <w:tcW w:w="8500" w:type="dxa"/>
          </w:tcPr>
          <w:p w14:paraId="207E0EBB" w14:textId="77777777" w:rsidR="00346530" w:rsidRPr="00557D75" w:rsidRDefault="00346530" w:rsidP="00DA718F">
            <w:pPr>
              <w:spacing w:line="480" w:lineRule="auto"/>
              <w:jc w:val="center"/>
              <w:rPr>
                <w:rFonts w:ascii="Times New Roman" w:hAnsi="Times New Roman" w:cs="Times New Roman"/>
                <w:b/>
                <w:bCs/>
                <w:iCs/>
                <w:color w:val="000000" w:themeColor="text1"/>
                <w:sz w:val="22"/>
              </w:rPr>
            </w:pPr>
            <m:oMathPara>
              <m:oMath>
                <m:d>
                  <m:dPr>
                    <m:begChr m:val="["/>
                    <m:endChr m:val="]"/>
                    <m:ctrlPr>
                      <w:rPr>
                        <w:rFonts w:ascii="Cambria Math" w:hAnsi="Cambria Math" w:cs="Times New Roman"/>
                        <w:b/>
                        <w:bCs/>
                        <w:iCs/>
                        <w:color w:val="000000" w:themeColor="text1"/>
                        <w:sz w:val="22"/>
                      </w:rPr>
                    </m:ctrlPr>
                  </m:dPr>
                  <m:e>
                    <m:m>
                      <m:mPr>
                        <m:mcs>
                          <m:mc>
                            <m:mcPr>
                              <m:count m:val="1"/>
                              <m:mcJc m:val="center"/>
                            </m:mcPr>
                          </m:mc>
                        </m:mcs>
                        <m:ctrlPr>
                          <w:rPr>
                            <w:rFonts w:ascii="Cambria Math" w:hAnsi="Cambria Math" w:cs="Times New Roman"/>
                            <w:b/>
                            <w:bCs/>
                            <w:iCs/>
                            <w:color w:val="000000" w:themeColor="text1"/>
                            <w:sz w:val="22"/>
                          </w:rPr>
                        </m:ctrlPr>
                      </m:mPr>
                      <m:mr>
                        <m:e>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e>
                      </m:mr>
                      <m:mr>
                        <m:e>
                          <m:r>
                            <m:rPr>
                              <m:sty m:val="p"/>
                            </m:rPr>
                            <w:rPr>
                              <w:rFonts w:ascii="Cambria Math" w:hAnsi="Cambria Math" w:cs="Times New Roman"/>
                              <w:color w:val="000000" w:themeColor="text1"/>
                              <w:sz w:val="22"/>
                            </w:rPr>
                            <m:t>λ</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c</m:t>
                              </m:r>
                            </m:e>
                            <m:sup>
                              <m:r>
                                <w:rPr>
                                  <w:rFonts w:ascii="Cambria Math" w:hAnsi="Cambria Math" w:cs="Times New Roman"/>
                                  <w:color w:val="000000" w:themeColor="text1"/>
                                  <w:sz w:val="22"/>
                                </w:rPr>
                                <m:t>k</m:t>
                              </m:r>
                            </m:sup>
                          </m:sSup>
                        </m:e>
                      </m:mr>
                    </m:m>
                  </m:e>
                </m:d>
                <m:r>
                  <m:rPr>
                    <m:sty m:val="b"/>
                  </m:rPr>
                  <w:rPr>
                    <w:rFonts w:ascii="Cambria Math" w:hAnsi="Cambria Math" w:cs="Times New Roman"/>
                    <w:color w:val="000000" w:themeColor="text1"/>
                    <w:sz w:val="22"/>
                  </w:rPr>
                  <m:t>∆</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d>
                  <m:dPr>
                    <m:begChr m:val="["/>
                    <m:endChr m:val="]"/>
                    <m:ctrlPr>
                      <w:rPr>
                        <w:rFonts w:ascii="Cambria Math" w:hAnsi="Cambria Math" w:cs="Times New Roman"/>
                        <w:b/>
                        <w:bCs/>
                        <w:iCs/>
                        <w:color w:val="000000" w:themeColor="text1"/>
                        <w:sz w:val="22"/>
                      </w:rPr>
                    </m:ctrlPr>
                  </m:dPr>
                  <m:e>
                    <m:m>
                      <m:mPr>
                        <m:mcs>
                          <m:mc>
                            <m:mcPr>
                              <m:count m:val="1"/>
                              <m:mcJc m:val="center"/>
                            </m:mcPr>
                          </m:mc>
                        </m:mcs>
                        <m:ctrlPr>
                          <w:rPr>
                            <w:rFonts w:ascii="Cambria Math" w:hAnsi="Cambria Math" w:cs="Times New Roman"/>
                            <w:b/>
                            <w:bCs/>
                            <w:iCs/>
                            <w:color w:val="000000" w:themeColor="text1"/>
                            <w:sz w:val="22"/>
                          </w:rPr>
                        </m:ctrlPr>
                      </m:mPr>
                      <m:mr>
                        <m:e>
                          <m:r>
                            <m:rPr>
                              <m:sty m:val="b"/>
                            </m:rPr>
                            <w:rPr>
                              <w:rFonts w:ascii="Cambria Math" w:hAnsi="Cambria Math" w:cs="Times New Roman"/>
                              <w:color w:val="000000" w:themeColor="text1"/>
                              <w:sz w:val="22"/>
                            </w:rPr>
                            <m:t>∆</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e>
                      </m:mr>
                      <m:mr>
                        <m:e>
                          <m:r>
                            <m:rPr>
                              <m:sty m:val="b"/>
                            </m:rPr>
                            <w:rPr>
                              <w:rFonts w:ascii="Cambria Math" w:hAnsi="Cambria Math" w:cs="Times New Roman"/>
                              <w:color w:val="000000" w:themeColor="text1"/>
                              <w:sz w:val="22"/>
                            </w:rPr>
                            <m:t>-</m:t>
                          </m:r>
                          <m:r>
                            <m:rPr>
                              <m:sty m:val="p"/>
                            </m:rPr>
                            <w:rPr>
                              <w:rFonts w:ascii="Cambria Math" w:hAnsi="Cambria Math" w:cs="Times New Roman"/>
                              <w:color w:val="000000" w:themeColor="text1"/>
                              <w:sz w:val="22"/>
                            </w:rPr>
                            <m:t>λ</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cm</m:t>
                              </m:r>
                            </m:e>
                            <m:sup>
                              <m:r>
                                <w:rPr>
                                  <w:rFonts w:ascii="Cambria Math" w:hAnsi="Cambria Math" w:cs="Times New Roman"/>
                                  <w:color w:val="000000" w:themeColor="text1"/>
                                  <w:sz w:val="22"/>
                                </w:rPr>
                                <m:t>k</m:t>
                              </m:r>
                            </m:sup>
                          </m:sSup>
                        </m:e>
                      </m:mr>
                    </m:m>
                  </m:e>
                </m:d>
              </m:oMath>
            </m:oMathPara>
          </w:p>
        </w:tc>
        <w:tc>
          <w:tcPr>
            <w:tcW w:w="516" w:type="dxa"/>
          </w:tcPr>
          <w:p w14:paraId="1F07EB0F" w14:textId="77777777" w:rsidR="00346530" w:rsidRPr="00557D75" w:rsidRDefault="00346530" w:rsidP="00DA718F">
            <w:pPr>
              <w:spacing w:line="480" w:lineRule="auto"/>
              <w:jc w:val="center"/>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(A3)</w:t>
            </w:r>
          </w:p>
        </w:tc>
      </w:tr>
    </w:tbl>
    <w:p w14:paraId="36EC8CF9" w14:textId="77777777" w:rsidR="00346530" w:rsidRPr="00557D75" w:rsidRDefault="00346530" w:rsidP="00346530">
      <w:pPr>
        <w:spacing w:line="480" w:lineRule="auto"/>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A modified Gram–Schmidt method is used to solve Eq. (A3) (Han et al., 2008)</w:t>
      </w:r>
      <w:r>
        <w:rPr>
          <w:rFonts w:ascii="Times New Roman" w:hAnsi="Times New Roman" w:cs="Times New Roman"/>
          <w:color w:val="000000" w:themeColor="text1"/>
          <w:sz w:val="22"/>
        </w:rPr>
        <w:t>, which</w:t>
      </w:r>
      <w:r w:rsidRPr="00D816E6">
        <w:rPr>
          <w:rFonts w:ascii="Times New Roman" w:hAnsi="Times New Roman"/>
          <w:color w:val="000000" w:themeColor="text1"/>
          <w:sz w:val="22"/>
        </w:rPr>
        <w:t xml:space="preserve"> </w:t>
      </w:r>
      <w:r>
        <w:rPr>
          <w:rFonts w:ascii="Times New Roman" w:hAnsi="Times New Roman" w:cs="Times New Roman"/>
          <w:color w:val="000000" w:themeColor="text1"/>
          <w:sz w:val="22"/>
        </w:rPr>
        <w:t xml:space="preserve">yields </w:t>
      </w:r>
      <m:oMath>
        <m:r>
          <m:rPr>
            <m:sty m:val="b"/>
          </m:rPr>
          <w:rPr>
            <w:rFonts w:ascii="Cambria Math" w:hAnsi="Cambria Math" w:cs="Times New Roman"/>
            <w:color w:val="000000" w:themeColor="text1"/>
            <w:sz w:val="22"/>
          </w:rPr>
          <m:t>∆m</m:t>
        </m:r>
      </m:oMath>
      <w:r>
        <w:rPr>
          <w:rFonts w:ascii="Times New Roman" w:hAnsi="Times New Roman" w:cs="Times New Roman"/>
          <w:bCs/>
          <w:color w:val="000000" w:themeColor="text1"/>
          <w:sz w:val="22"/>
        </w:rPr>
        <w:t>; this</w:t>
      </w:r>
      <w:r w:rsidRPr="00557D75">
        <w:rPr>
          <w:rFonts w:ascii="Times New Roman" w:hAnsi="Times New Roman" w:cs="Times New Roman"/>
          <w:bCs/>
          <w:color w:val="000000" w:themeColor="text1"/>
          <w:sz w:val="22"/>
        </w:rPr>
        <w:t xml:space="preserve"> </w:t>
      </w:r>
      <w:r w:rsidRPr="00557D75">
        <w:rPr>
          <w:rFonts w:ascii="Times New Roman" w:hAnsi="Times New Roman" w:cs="Times New Roman"/>
          <w:color w:val="000000" w:themeColor="text1"/>
          <w:sz w:val="22"/>
        </w:rPr>
        <w:t xml:space="preserve">is </w:t>
      </w:r>
      <w:r>
        <w:rPr>
          <w:rFonts w:ascii="Times New Roman" w:hAnsi="Times New Roman" w:cs="Times New Roman"/>
          <w:color w:val="000000" w:themeColor="text1"/>
          <w:sz w:val="22"/>
        </w:rPr>
        <w:t xml:space="preserve">then </w:t>
      </w:r>
      <w:r w:rsidRPr="00557D75">
        <w:rPr>
          <w:rFonts w:ascii="Times New Roman" w:hAnsi="Times New Roman" w:cs="Times New Roman"/>
          <w:color w:val="000000" w:themeColor="text1"/>
          <w:sz w:val="22"/>
        </w:rPr>
        <w:t xml:space="preserve">added to </w:t>
      </w:r>
      <m:oMath>
        <m:r>
          <m:rPr>
            <m:sty m:val="b"/>
          </m:rPr>
          <w:rPr>
            <w:rFonts w:ascii="Cambria Math" w:hAnsi="Cambria Math" w:cs="Times New Roman"/>
            <w:color w:val="000000" w:themeColor="text1"/>
            <w:sz w:val="22"/>
          </w:rPr>
          <m:t>m</m:t>
        </m:r>
      </m:oMath>
      <w:r w:rsidRPr="00557D75">
        <w:rPr>
          <w:rFonts w:ascii="Times New Roman" w:hAnsi="Times New Roman" w:cs="Times New Roman"/>
          <w:b/>
          <w:bCs/>
          <w:color w:val="000000" w:themeColor="text1"/>
          <w:sz w:val="22"/>
        </w:rPr>
        <w:t xml:space="preserve"> </w:t>
      </w:r>
      <w:r w:rsidRPr="00557D75">
        <w:rPr>
          <w:rFonts w:ascii="Times New Roman" w:hAnsi="Times New Roman" w:cs="Times New Roman"/>
          <w:color w:val="000000" w:themeColor="text1"/>
          <w:sz w:val="22"/>
        </w:rPr>
        <w:t>when the model is updated. This procedure is repeated until the misfit between the measured and modeled data decreases to an acceptable level.</w:t>
      </w:r>
    </w:p>
    <w:p w14:paraId="2BE8EB79" w14:textId="77777777" w:rsidR="00346530" w:rsidRPr="00557D75" w:rsidRDefault="00346530" w:rsidP="00346530">
      <w:pPr>
        <w:wordWrap/>
        <w:adjustRightInd w:val="0"/>
        <w:spacing w:after="0" w:line="480" w:lineRule="auto"/>
        <w:ind w:firstLineChars="100" w:firstLine="220"/>
        <w:contextualSpacing/>
        <w:rPr>
          <w:rFonts w:ascii="Times New Roman" w:hAnsi="Times New Roman" w:cs="Times New Roman"/>
          <w:color w:val="000000" w:themeColor="text1"/>
          <w:sz w:val="22"/>
        </w:rPr>
      </w:pPr>
      <w:r w:rsidRPr="00557D75">
        <w:rPr>
          <w:rFonts w:ascii="Times New Roman" w:hAnsi="Times New Roman" w:cs="Times New Roman"/>
          <w:color w:val="000000" w:themeColor="text1"/>
          <w:sz w:val="22"/>
        </w:rPr>
        <w:t xml:space="preserve">When inverting ERT data obtained near the excavation, we excluded the excavation site </w:t>
      </w:r>
      <w:r>
        <w:rPr>
          <w:rFonts w:ascii="Times New Roman" w:hAnsi="Times New Roman" w:cs="Times New Roman"/>
          <w:color w:val="000000" w:themeColor="text1"/>
          <w:sz w:val="22"/>
        </w:rPr>
        <w:t xml:space="preserve">itself </w:t>
      </w:r>
      <w:r w:rsidRPr="00557D75">
        <w:rPr>
          <w:rFonts w:ascii="Times New Roman" w:hAnsi="Times New Roman" w:cs="Times New Roman"/>
          <w:color w:val="000000" w:themeColor="text1"/>
          <w:sz w:val="22"/>
        </w:rPr>
        <w:t xml:space="preserve">but included it when modeling the ERT </w:t>
      </w:r>
      <w:r>
        <w:rPr>
          <w:rFonts w:ascii="Times New Roman" w:hAnsi="Times New Roman" w:cs="Times New Roman"/>
          <w:color w:val="000000" w:themeColor="text1"/>
          <w:sz w:val="22"/>
        </w:rPr>
        <w:t>signals</w:t>
      </w:r>
      <w:r w:rsidRPr="00557D75">
        <w:rPr>
          <w:rFonts w:ascii="Times New Roman" w:hAnsi="Times New Roman" w:cs="Times New Roman"/>
          <w:color w:val="000000" w:themeColor="text1"/>
          <w:sz w:val="22"/>
        </w:rPr>
        <w:t>. The excavation position and dimensions were known</w:t>
      </w:r>
      <w:r>
        <w:rPr>
          <w:rFonts w:ascii="Times New Roman" w:hAnsi="Times New Roman" w:cs="Times New Roman"/>
          <w:color w:val="000000" w:themeColor="text1"/>
          <w:sz w:val="22"/>
        </w:rPr>
        <w:t xml:space="preserve"> and </w:t>
      </w:r>
      <w:r w:rsidRPr="00557D75">
        <w:rPr>
          <w:rFonts w:ascii="Times New Roman" w:hAnsi="Times New Roman" w:cs="Times New Roman"/>
          <w:color w:val="000000" w:themeColor="text1"/>
          <w:sz w:val="22"/>
        </w:rPr>
        <w:t xml:space="preserve">could </w:t>
      </w:r>
      <w:r>
        <w:rPr>
          <w:rFonts w:ascii="Times New Roman" w:hAnsi="Times New Roman" w:cs="Times New Roman"/>
          <w:color w:val="000000" w:themeColor="text1"/>
          <w:sz w:val="22"/>
        </w:rPr>
        <w:t xml:space="preserve">therefore </w:t>
      </w:r>
      <w:r w:rsidRPr="00557D75">
        <w:rPr>
          <w:rFonts w:ascii="Times New Roman" w:hAnsi="Times New Roman" w:cs="Times New Roman"/>
          <w:color w:val="000000" w:themeColor="text1"/>
          <w:sz w:val="22"/>
        </w:rPr>
        <w:t xml:space="preserve">be excluded from the inversion. When modeling the ERT </w:t>
      </w:r>
      <w:r>
        <w:rPr>
          <w:rFonts w:ascii="Times New Roman" w:hAnsi="Times New Roman" w:cs="Times New Roman"/>
          <w:color w:val="000000" w:themeColor="text1"/>
          <w:sz w:val="22"/>
        </w:rPr>
        <w:t>signals</w:t>
      </w:r>
      <w:r w:rsidRPr="00557D75" w:rsidDel="00F121EA">
        <w:rPr>
          <w:rFonts w:ascii="Times New Roman" w:hAnsi="Times New Roman" w:cs="Times New Roman"/>
          <w:color w:val="000000" w:themeColor="text1"/>
          <w:sz w:val="22"/>
        </w:rPr>
        <w:t xml:space="preserve"> </w:t>
      </w:r>
      <w:r w:rsidRPr="00557D75">
        <w:rPr>
          <w:rFonts w:ascii="Times New Roman" w:hAnsi="Times New Roman" w:cs="Times New Roman"/>
          <w:color w:val="000000" w:themeColor="text1"/>
          <w:sz w:val="22"/>
        </w:rPr>
        <w:t xml:space="preserve">in the presence of an air-filled </w:t>
      </w:r>
      <w:r w:rsidRPr="00557D75">
        <w:rPr>
          <w:rFonts w:ascii="Times New Roman" w:hAnsi="Times New Roman" w:cs="Times New Roman"/>
          <w:color w:val="000000" w:themeColor="text1"/>
          <w:sz w:val="22"/>
        </w:rPr>
        <w:lastRenderedPageBreak/>
        <w:t xml:space="preserve">excavation site (which distorts ERT responses), the excavation site is </w:t>
      </w:r>
      <w:r>
        <w:rPr>
          <w:rFonts w:ascii="Times New Roman" w:hAnsi="Times New Roman" w:cs="Times New Roman"/>
          <w:color w:val="000000" w:themeColor="text1"/>
          <w:sz w:val="22"/>
        </w:rPr>
        <w:t>assumed</w:t>
      </w:r>
      <w:r w:rsidRPr="00557D75">
        <w:rPr>
          <w:rFonts w:ascii="Times New Roman" w:hAnsi="Times New Roman" w:cs="Times New Roman"/>
          <w:color w:val="000000" w:themeColor="text1"/>
          <w:sz w:val="22"/>
        </w:rPr>
        <w:t xml:space="preserve"> to </w:t>
      </w:r>
      <w:r>
        <w:rPr>
          <w:rFonts w:ascii="Times New Roman" w:hAnsi="Times New Roman" w:cs="Times New Roman"/>
          <w:color w:val="000000" w:themeColor="text1"/>
          <w:sz w:val="22"/>
        </w:rPr>
        <w:t xml:space="preserve">be </w:t>
      </w:r>
      <w:r w:rsidRPr="00557D75">
        <w:rPr>
          <w:rFonts w:ascii="Times New Roman" w:hAnsi="Times New Roman" w:cs="Times New Roman"/>
          <w:color w:val="000000" w:themeColor="text1"/>
          <w:sz w:val="22"/>
        </w:rPr>
        <w:t xml:space="preserve">a highly resistive body because the half-space condition deals with geometry only. The surface of the earth is usually considered to be a half-space. The resistive body of the excavation </w:t>
      </w:r>
      <w:r>
        <w:rPr>
          <w:rFonts w:ascii="Times New Roman" w:hAnsi="Times New Roman" w:cs="Times New Roman"/>
          <w:color w:val="000000" w:themeColor="text1"/>
          <w:sz w:val="22"/>
        </w:rPr>
        <w:t>had</w:t>
      </w:r>
      <w:r w:rsidRPr="00557D75">
        <w:rPr>
          <w:rFonts w:ascii="Times New Roman" w:hAnsi="Times New Roman" w:cs="Times New Roman"/>
          <w:color w:val="000000" w:themeColor="text1"/>
          <w:sz w:val="22"/>
        </w:rPr>
        <w:t xml:space="preserve"> the </w:t>
      </w:r>
      <w:r>
        <w:rPr>
          <w:rFonts w:ascii="Times New Roman" w:hAnsi="Times New Roman" w:cs="Times New Roman"/>
          <w:color w:val="000000" w:themeColor="text1"/>
          <w:sz w:val="22"/>
        </w:rPr>
        <w:t xml:space="preserve">same </w:t>
      </w:r>
      <w:r w:rsidRPr="00557D75">
        <w:rPr>
          <w:rFonts w:ascii="Times New Roman" w:hAnsi="Times New Roman" w:cs="Times New Roman"/>
          <w:color w:val="000000" w:themeColor="text1"/>
          <w:sz w:val="22"/>
        </w:rPr>
        <w:t xml:space="preserve">resistivity </w:t>
      </w:r>
      <w:r>
        <w:rPr>
          <w:rFonts w:ascii="Times New Roman" w:hAnsi="Times New Roman" w:cs="Times New Roman"/>
          <w:color w:val="000000" w:themeColor="text1"/>
          <w:sz w:val="22"/>
        </w:rPr>
        <w:t xml:space="preserve">as </w:t>
      </w:r>
      <w:r w:rsidRPr="00557D75">
        <w:rPr>
          <w:rFonts w:ascii="Times New Roman" w:hAnsi="Times New Roman" w:cs="Times New Roman"/>
          <w:color w:val="000000" w:themeColor="text1"/>
          <w:sz w:val="22"/>
        </w:rPr>
        <w:t>air, i.e., 10</w:t>
      </w:r>
      <w:r w:rsidRPr="00557D75">
        <w:rPr>
          <w:rFonts w:ascii="Times New Roman" w:hAnsi="Times New Roman" w:cs="Times New Roman"/>
          <w:color w:val="000000" w:themeColor="text1"/>
          <w:sz w:val="22"/>
          <w:vertAlign w:val="superscript"/>
        </w:rPr>
        <w:t>8</w:t>
      </w:r>
      <w:r w:rsidRPr="00557D75">
        <w:rPr>
          <w:rFonts w:ascii="Times New Roman" w:hAnsi="Times New Roman" w:cs="Times New Roman"/>
          <w:color w:val="000000" w:themeColor="text1"/>
          <w:sz w:val="22"/>
        </w:rPr>
        <w:t xml:space="preserve"> ohm-m. Given the exclusion of the excavation site from the inversion, there was no need to add smoothing constraints to Eq. (A2) or (A3) when considering the inversion blocks between the excavation site and inversion domain during computation of the roughness matrix.</w:t>
      </w:r>
    </w:p>
    <w:p w14:paraId="2238FD88" w14:textId="77777777" w:rsidR="002F0F5E" w:rsidRDefault="00346530"/>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F624F"/>
    <w:multiLevelType w:val="hybridMultilevel"/>
    <w:tmpl w:val="2AF09692"/>
    <w:lvl w:ilvl="0" w:tplc="4F50016E">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0"/>
    <w:rsid w:val="0021090F"/>
    <w:rsid w:val="00346530"/>
    <w:rsid w:val="003A76D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C043"/>
  <w15:chartTrackingRefBased/>
  <w15:docId w15:val="{206018CE-EDE3-48C8-A0A5-2F396BE0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30"/>
    <w:pPr>
      <w:widowControl w:val="0"/>
      <w:wordWrap w:val="0"/>
      <w:autoSpaceDE w:val="0"/>
      <w:autoSpaceDN w:val="0"/>
      <w:jc w:val="both"/>
    </w:pPr>
    <w:rPr>
      <w:rFonts w:eastAsiaTheme="minorEastAsia"/>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530"/>
    <w:pPr>
      <w:ind w:leftChars="400" w:left="800"/>
    </w:pPr>
  </w:style>
  <w:style w:type="table" w:styleId="TableGrid">
    <w:name w:val="Table Grid"/>
    <w:basedOn w:val="TableNormal"/>
    <w:uiPriority w:val="39"/>
    <w:rsid w:val="00346530"/>
    <w:pPr>
      <w:spacing w:after="0" w:line="240" w:lineRule="auto"/>
      <w:jc w:val="both"/>
    </w:pPr>
    <w:rPr>
      <w:rFonts w:eastAsiaTheme="minorEastAsia"/>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2052</Characters>
  <Application>Microsoft Office Word</Application>
  <DocSecurity>0</DocSecurity>
  <Lines>17</Lines>
  <Paragraphs>4</Paragraphs>
  <ScaleCrop>false</ScaleCrop>
  <Company>Springer Nature</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dc:creator>
  <cp:keywords/>
  <dc:description/>
  <cp:lastModifiedBy>Poonam</cp:lastModifiedBy>
  <cp:revision>1</cp:revision>
  <dcterms:created xsi:type="dcterms:W3CDTF">2023-02-06T07:13:00Z</dcterms:created>
  <dcterms:modified xsi:type="dcterms:W3CDTF">2023-02-06T07:14:00Z</dcterms:modified>
</cp:coreProperties>
</file>