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AB81A8" w14:textId="77777777" w:rsidR="00685D34" w:rsidRDefault="00000000">
      <w:pPr>
        <w:spacing w:before="240" w:after="240" w:line="276" w:lineRule="auto"/>
        <w:jc w:val="center"/>
        <w:rPr>
          <w:rFonts w:ascii="Times New Roman" w:eastAsia="Times New Roman" w:hAnsi="Times New Roman" w:cs="Times New Roman"/>
          <w:b/>
          <w:sz w:val="32"/>
          <w:szCs w:val="32"/>
          <w:u w:val="single"/>
        </w:rPr>
      </w:pPr>
      <w:r>
        <w:rPr>
          <w:rFonts w:ascii="Times New Roman" w:eastAsia="Times New Roman" w:hAnsi="Times New Roman" w:cs="Times New Roman"/>
          <w:b/>
          <w:sz w:val="32"/>
          <w:szCs w:val="32"/>
          <w:u w:val="single"/>
        </w:rPr>
        <w:t xml:space="preserve">Supplementary Information     </w:t>
      </w:r>
    </w:p>
    <w:p w14:paraId="69ABCE43" w14:textId="77777777" w:rsidR="0085017F" w:rsidRDefault="00000000" w:rsidP="006C1364">
      <w:pPr>
        <w:spacing w:line="360" w:lineRule="auto"/>
        <w:jc w:val="center"/>
        <w:rPr>
          <w:rFonts w:ascii="Times New Roman" w:eastAsia="Times New Roman" w:hAnsi="Times New Roman" w:cs="Times New Roman"/>
          <w:b/>
          <w:sz w:val="32"/>
          <w:szCs w:val="32"/>
        </w:rPr>
      </w:pPr>
      <w:bookmarkStart w:id="0" w:name="_heading=h.1fob9te" w:colFirst="0" w:colLast="0"/>
      <w:bookmarkEnd w:id="0"/>
      <w:r>
        <w:rPr>
          <w:rFonts w:ascii="Times New Roman" w:eastAsia="Times New Roman" w:hAnsi="Times New Roman" w:cs="Times New Roman"/>
          <w:b/>
          <w:sz w:val="32"/>
          <w:szCs w:val="32"/>
        </w:rPr>
        <w:t xml:space="preserve">  </w:t>
      </w:r>
      <w:r w:rsidR="0085017F">
        <w:rPr>
          <w:rFonts w:ascii="Times New Roman" w:eastAsia="Times New Roman" w:hAnsi="Times New Roman" w:cs="Times New Roman"/>
          <w:b/>
          <w:sz w:val="32"/>
          <w:szCs w:val="32"/>
        </w:rPr>
        <w:t xml:space="preserve">    Spatial variations in PΜ</w:t>
      </w:r>
      <w:r w:rsidR="0085017F">
        <w:rPr>
          <w:rFonts w:ascii="Times New Roman" w:eastAsia="Times New Roman" w:hAnsi="Times New Roman" w:cs="Times New Roman"/>
          <w:b/>
          <w:sz w:val="32"/>
          <w:szCs w:val="32"/>
          <w:vertAlign w:val="subscript"/>
        </w:rPr>
        <w:t xml:space="preserve">2.5 </w:t>
      </w:r>
      <w:proofErr w:type="spellStart"/>
      <w:r w:rsidR="0085017F">
        <w:rPr>
          <w:rFonts w:ascii="Times New Roman" w:eastAsia="Times New Roman" w:hAnsi="Times New Roman" w:cs="Times New Roman"/>
          <w:b/>
          <w:sz w:val="32"/>
          <w:szCs w:val="32"/>
        </w:rPr>
        <w:t>physico</w:t>
      </w:r>
      <w:proofErr w:type="spellEnd"/>
      <w:r w:rsidR="0085017F">
        <w:rPr>
          <w:rFonts w:ascii="Times New Roman" w:eastAsia="Times New Roman" w:hAnsi="Times New Roman" w:cs="Times New Roman"/>
          <w:b/>
          <w:sz w:val="32"/>
          <w:szCs w:val="32"/>
        </w:rPr>
        <w:t>-chemical characteristics and associated health risk in an urban coastal city</w:t>
      </w:r>
    </w:p>
    <w:p w14:paraId="51ABFA09" w14:textId="7F14C4F7" w:rsidR="00685D34" w:rsidRDefault="00000000" w:rsidP="0085017F">
      <w:pPr>
        <w:spacing w:line="276" w:lineRule="auto"/>
        <w:jc w:val="center"/>
        <w:rPr>
          <w:rFonts w:ascii="Times New Roman" w:eastAsia="Times New Roman" w:hAnsi="Times New Roman" w:cs="Times New Roman"/>
          <w:b/>
          <w:sz w:val="24"/>
          <w:szCs w:val="24"/>
          <w:vertAlign w:val="superscript"/>
        </w:rPr>
      </w:pPr>
      <w:r>
        <w:rPr>
          <w:rFonts w:ascii="Times New Roman" w:eastAsia="Times New Roman" w:hAnsi="Times New Roman" w:cs="Times New Roman"/>
          <w:b/>
          <w:sz w:val="24"/>
          <w:szCs w:val="24"/>
        </w:rPr>
        <w:t>Shruti Tripathi</w:t>
      </w:r>
      <w:r>
        <w:rPr>
          <w:rFonts w:ascii="Times New Roman" w:eastAsia="Times New Roman" w:hAnsi="Times New Roman" w:cs="Times New Roman"/>
          <w:b/>
          <w:sz w:val="24"/>
          <w:szCs w:val="24"/>
          <w:vertAlign w:val="superscript"/>
        </w:rPr>
        <w:t>1</w:t>
      </w:r>
      <w:r>
        <w:rPr>
          <w:rFonts w:ascii="Times New Roman" w:eastAsia="Times New Roman" w:hAnsi="Times New Roman" w:cs="Times New Roman"/>
          <w:b/>
          <w:sz w:val="24"/>
          <w:szCs w:val="24"/>
        </w:rPr>
        <w:t>, Abhishek Chakraborty</w:t>
      </w:r>
      <w:r>
        <w:rPr>
          <w:rFonts w:ascii="Times New Roman" w:eastAsia="Times New Roman" w:hAnsi="Times New Roman" w:cs="Times New Roman"/>
          <w:b/>
          <w:sz w:val="24"/>
          <w:szCs w:val="24"/>
          <w:vertAlign w:val="superscript"/>
        </w:rPr>
        <w:t xml:space="preserve">1* </w:t>
      </w:r>
      <w:r>
        <w:rPr>
          <w:rFonts w:ascii="Times New Roman" w:eastAsia="Times New Roman" w:hAnsi="Times New Roman" w:cs="Times New Roman"/>
          <w:b/>
          <w:sz w:val="24"/>
          <w:szCs w:val="24"/>
        </w:rPr>
        <w:t xml:space="preserve">and </w:t>
      </w:r>
      <w:proofErr w:type="spellStart"/>
      <w:r>
        <w:rPr>
          <w:rFonts w:ascii="Times New Roman" w:eastAsia="Times New Roman" w:hAnsi="Times New Roman" w:cs="Times New Roman"/>
          <w:b/>
          <w:sz w:val="24"/>
          <w:szCs w:val="24"/>
        </w:rPr>
        <w:t>Debayan</w:t>
      </w:r>
      <w:proofErr w:type="spellEnd"/>
      <w:r>
        <w:rPr>
          <w:rFonts w:ascii="Times New Roman" w:eastAsia="Times New Roman" w:hAnsi="Times New Roman" w:cs="Times New Roman"/>
          <w:b/>
          <w:sz w:val="24"/>
          <w:szCs w:val="24"/>
        </w:rPr>
        <w:t xml:space="preserve"> Mandal</w:t>
      </w:r>
      <w:r>
        <w:rPr>
          <w:rFonts w:ascii="Times New Roman" w:eastAsia="Times New Roman" w:hAnsi="Times New Roman" w:cs="Times New Roman"/>
          <w:b/>
          <w:sz w:val="24"/>
          <w:szCs w:val="24"/>
          <w:vertAlign w:val="superscript"/>
        </w:rPr>
        <w:t>1</w:t>
      </w:r>
      <w:r>
        <w:rPr>
          <w:rFonts w:ascii="Times New Roman" w:eastAsia="Times New Roman" w:hAnsi="Times New Roman" w:cs="Times New Roman"/>
          <w:b/>
          <w:sz w:val="24"/>
          <w:szCs w:val="24"/>
        </w:rPr>
        <w:t xml:space="preserve"> </w:t>
      </w:r>
    </w:p>
    <w:p w14:paraId="4DA41571" w14:textId="77777777" w:rsidR="00685D34" w:rsidRDefault="00000000">
      <w:pPr>
        <w:spacing w:after="0" w:line="276" w:lineRule="auto"/>
        <w:ind w:left="72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Environmental Science and Engineering Department, Indian Institute of Technology Bombay, Mumbai, Maharashtra, 400076</w:t>
      </w:r>
    </w:p>
    <w:p w14:paraId="2AD778A7" w14:textId="77777777" w:rsidR="00685D34" w:rsidRDefault="00000000">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Corresponding Author</w:t>
      </w:r>
    </w:p>
    <w:p w14:paraId="54B642E0" w14:textId="3AAF9FBA" w:rsidR="00583308" w:rsidRPr="000D4BCB" w:rsidRDefault="00583308" w:rsidP="00583308">
      <w:pPr>
        <w:pBdr>
          <w:top w:val="nil"/>
          <w:left w:val="nil"/>
          <w:bottom w:val="nil"/>
          <w:right w:val="nil"/>
          <w:between w:val="nil"/>
        </w:pBdr>
        <w:spacing w:after="0" w:line="480" w:lineRule="auto"/>
        <w:jc w:val="both"/>
        <w:rPr>
          <w:rFonts w:ascii="Times New Roman" w:eastAsia="Times New Roman" w:hAnsi="Times New Roman" w:cs="Times New Roman"/>
          <w:b/>
          <w:color w:val="000000"/>
          <w:sz w:val="24"/>
          <w:szCs w:val="24"/>
        </w:rPr>
      </w:pPr>
    </w:p>
    <w:p w14:paraId="4A224DBD" w14:textId="6FD2FC8E" w:rsidR="0014506D" w:rsidRPr="003B19D4" w:rsidRDefault="0014506D" w:rsidP="003B19D4">
      <w:pPr>
        <w:pStyle w:val="Caption"/>
        <w:keepNext/>
        <w:jc w:val="center"/>
        <w:rPr>
          <w:rFonts w:ascii="Times New Roman" w:hAnsi="Times New Roman" w:cs="Times New Roman"/>
          <w:i w:val="0"/>
          <w:iCs w:val="0"/>
          <w:color w:val="000000" w:themeColor="text1"/>
          <w:sz w:val="24"/>
          <w:szCs w:val="24"/>
        </w:rPr>
      </w:pPr>
      <w:r w:rsidRPr="003B19D4">
        <w:rPr>
          <w:rFonts w:ascii="Times New Roman" w:hAnsi="Times New Roman" w:cs="Times New Roman"/>
          <w:i w:val="0"/>
          <w:iCs w:val="0"/>
          <w:color w:val="000000" w:themeColor="text1"/>
          <w:sz w:val="24"/>
          <w:szCs w:val="24"/>
        </w:rPr>
        <w:t xml:space="preserve">Table </w:t>
      </w:r>
      <w:r w:rsidR="00FF2DAC">
        <w:rPr>
          <w:rFonts w:ascii="Times New Roman" w:hAnsi="Times New Roman" w:cs="Times New Roman"/>
          <w:i w:val="0"/>
          <w:iCs w:val="0"/>
          <w:color w:val="000000" w:themeColor="text1"/>
          <w:sz w:val="24"/>
          <w:szCs w:val="24"/>
        </w:rPr>
        <w:t xml:space="preserve">SI </w:t>
      </w:r>
      <w:r w:rsidRPr="003B19D4">
        <w:rPr>
          <w:rFonts w:ascii="Times New Roman" w:hAnsi="Times New Roman" w:cs="Times New Roman"/>
          <w:i w:val="0"/>
          <w:iCs w:val="0"/>
          <w:color w:val="000000" w:themeColor="text1"/>
          <w:sz w:val="24"/>
          <w:szCs w:val="24"/>
        </w:rPr>
        <w:fldChar w:fldCharType="begin"/>
      </w:r>
      <w:r w:rsidRPr="003B19D4">
        <w:rPr>
          <w:rFonts w:ascii="Times New Roman" w:hAnsi="Times New Roman" w:cs="Times New Roman"/>
          <w:i w:val="0"/>
          <w:iCs w:val="0"/>
          <w:color w:val="000000" w:themeColor="text1"/>
          <w:sz w:val="24"/>
          <w:szCs w:val="24"/>
        </w:rPr>
        <w:instrText xml:space="preserve"> SEQ Table \* ARABIC </w:instrText>
      </w:r>
      <w:r w:rsidRPr="003B19D4">
        <w:rPr>
          <w:rFonts w:ascii="Times New Roman" w:hAnsi="Times New Roman" w:cs="Times New Roman"/>
          <w:i w:val="0"/>
          <w:iCs w:val="0"/>
          <w:color w:val="000000" w:themeColor="text1"/>
          <w:sz w:val="24"/>
          <w:szCs w:val="24"/>
        </w:rPr>
        <w:fldChar w:fldCharType="separate"/>
      </w:r>
      <w:r w:rsidRPr="003B19D4">
        <w:rPr>
          <w:rFonts w:ascii="Times New Roman" w:hAnsi="Times New Roman" w:cs="Times New Roman"/>
          <w:i w:val="0"/>
          <w:iCs w:val="0"/>
          <w:noProof/>
          <w:color w:val="000000" w:themeColor="text1"/>
          <w:sz w:val="24"/>
          <w:szCs w:val="24"/>
        </w:rPr>
        <w:t>1</w:t>
      </w:r>
      <w:r w:rsidRPr="003B19D4">
        <w:rPr>
          <w:rFonts w:ascii="Times New Roman" w:hAnsi="Times New Roman" w:cs="Times New Roman"/>
          <w:i w:val="0"/>
          <w:iCs w:val="0"/>
          <w:noProof/>
          <w:color w:val="000000" w:themeColor="text1"/>
          <w:sz w:val="24"/>
          <w:szCs w:val="24"/>
        </w:rPr>
        <w:fldChar w:fldCharType="end"/>
      </w:r>
      <w:r w:rsidR="003B19D4" w:rsidRPr="003B19D4">
        <w:rPr>
          <w:rFonts w:ascii="Times New Roman" w:hAnsi="Times New Roman" w:cs="Times New Roman"/>
          <w:i w:val="0"/>
          <w:iCs w:val="0"/>
          <w:noProof/>
          <w:color w:val="000000" w:themeColor="text1"/>
          <w:sz w:val="24"/>
          <w:szCs w:val="24"/>
        </w:rPr>
        <w:t xml:space="preserve"> Parameters used in exposure risk assessment</w:t>
      </w:r>
      <w:r w:rsidR="00130F3A">
        <w:rPr>
          <w:rFonts w:ascii="Times New Roman" w:hAnsi="Times New Roman" w:cs="Times New Roman"/>
          <w:i w:val="0"/>
          <w:iCs w:val="0"/>
          <w:noProof/>
          <w:color w:val="000000" w:themeColor="text1"/>
          <w:sz w:val="24"/>
          <w:szCs w:val="24"/>
        </w:rPr>
        <w:t xml:space="preserve"> analysis</w:t>
      </w:r>
    </w:p>
    <w:tbl>
      <w:tblPr>
        <w:tblStyle w:val="TableGrid"/>
        <w:tblW w:w="0" w:type="auto"/>
        <w:tblLook w:val="04A0" w:firstRow="1" w:lastRow="0" w:firstColumn="1" w:lastColumn="0" w:noHBand="0" w:noVBand="1"/>
      </w:tblPr>
      <w:tblGrid>
        <w:gridCol w:w="988"/>
        <w:gridCol w:w="2693"/>
        <w:gridCol w:w="5335"/>
      </w:tblGrid>
      <w:tr w:rsidR="0014506D" w14:paraId="6BEAFFFA" w14:textId="77777777" w:rsidTr="0014506D">
        <w:trPr>
          <w:trHeight w:val="329"/>
        </w:trPr>
        <w:tc>
          <w:tcPr>
            <w:tcW w:w="988" w:type="dxa"/>
          </w:tcPr>
          <w:p w14:paraId="129D028A" w14:textId="00604F9A" w:rsidR="0014506D" w:rsidRDefault="0014506D" w:rsidP="0014506D">
            <w:pPr>
              <w:spacing w:line="360" w:lineRule="auto"/>
              <w:jc w:val="both"/>
              <w:rPr>
                <w:rFonts w:ascii="Times New Roman" w:eastAsia="Times New Roman" w:hAnsi="Times New Roman" w:cs="Times New Roman"/>
                <w:color w:val="000000"/>
                <w:sz w:val="24"/>
                <w:szCs w:val="24"/>
              </w:rPr>
            </w:pPr>
            <w:bookmarkStart w:id="1" w:name="_Hlk119502772"/>
            <w:r>
              <w:rPr>
                <w:rFonts w:ascii="Times New Roman" w:eastAsia="Times New Roman" w:hAnsi="Times New Roman" w:cs="Times New Roman"/>
                <w:color w:val="000000"/>
                <w:sz w:val="24"/>
                <w:szCs w:val="24"/>
              </w:rPr>
              <w:t>S. No.</w:t>
            </w:r>
          </w:p>
        </w:tc>
        <w:tc>
          <w:tcPr>
            <w:tcW w:w="2693" w:type="dxa"/>
          </w:tcPr>
          <w:p w14:paraId="2C771504" w14:textId="25903EC6" w:rsidR="0014506D" w:rsidRDefault="0014506D" w:rsidP="0014506D">
            <w:pPr>
              <w:spacing w:line="360" w:lineRule="auto"/>
              <w:jc w:val="both"/>
              <w:rPr>
                <w:rFonts w:ascii="Times New Roman" w:eastAsia="Times New Roman" w:hAnsi="Times New Roman" w:cs="Times New Roman"/>
                <w:color w:val="000000"/>
                <w:sz w:val="24"/>
                <w:szCs w:val="24"/>
              </w:rPr>
            </w:pPr>
          </w:p>
        </w:tc>
        <w:tc>
          <w:tcPr>
            <w:tcW w:w="5335" w:type="dxa"/>
          </w:tcPr>
          <w:p w14:paraId="6F6E0CB9" w14:textId="05E9A6EC"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Values</w:t>
            </w:r>
          </w:p>
        </w:tc>
      </w:tr>
      <w:tr w:rsidR="0014506D" w14:paraId="146026FC" w14:textId="77777777" w:rsidTr="0014506D">
        <w:tc>
          <w:tcPr>
            <w:tcW w:w="988" w:type="dxa"/>
          </w:tcPr>
          <w:p w14:paraId="316B13E1" w14:textId="042B5543"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693" w:type="dxa"/>
          </w:tcPr>
          <w:p w14:paraId="73E67487" w14:textId="6C9FBB57"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Exposure Frequency</w:t>
            </w:r>
          </w:p>
        </w:tc>
        <w:tc>
          <w:tcPr>
            <w:tcW w:w="5335" w:type="dxa"/>
          </w:tcPr>
          <w:p w14:paraId="6B115E6B" w14:textId="4F63F3B6" w:rsidR="0014506D" w:rsidRDefault="0014506D" w:rsidP="0014506D">
            <w:pPr>
              <w:spacing w:line="360" w:lineRule="auto"/>
              <w:jc w:val="both"/>
              <w:rPr>
                <w:rFonts w:ascii="Times New Roman" w:eastAsia="Times New Roman" w:hAnsi="Times New Roman" w:cs="Times New Roman"/>
                <w:color w:val="000000"/>
                <w:sz w:val="24"/>
                <w:szCs w:val="24"/>
              </w:rPr>
            </w:pPr>
            <w:r w:rsidRPr="000D4BCB">
              <w:rPr>
                <w:rFonts w:ascii="Times New Roman" w:eastAsia="Times New Roman" w:hAnsi="Times New Roman" w:cs="Times New Roman"/>
                <w:color w:val="000000"/>
                <w:sz w:val="24"/>
                <w:szCs w:val="24"/>
              </w:rPr>
              <w:t>180 days </w:t>
            </w:r>
          </w:p>
        </w:tc>
      </w:tr>
      <w:tr w:rsidR="0014506D" w14:paraId="611CD68F" w14:textId="77777777" w:rsidTr="0014506D">
        <w:tc>
          <w:tcPr>
            <w:tcW w:w="988" w:type="dxa"/>
          </w:tcPr>
          <w:p w14:paraId="47C44B9E" w14:textId="0D7295D4"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2693" w:type="dxa"/>
          </w:tcPr>
          <w:p w14:paraId="5095BD78" w14:textId="53F1EDEC"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Body weight</w:t>
            </w:r>
            <w:r w:rsidR="003B19D4">
              <w:rPr>
                <w:rFonts w:ascii="Times New Roman" w:eastAsia="Times New Roman" w:hAnsi="Times New Roman" w:cs="Times New Roman"/>
                <w:color w:val="000000"/>
                <w:sz w:val="24"/>
                <w:szCs w:val="24"/>
              </w:rPr>
              <w:t xml:space="preserve"> (Kg)</w:t>
            </w:r>
          </w:p>
        </w:tc>
        <w:tc>
          <w:tcPr>
            <w:tcW w:w="5335" w:type="dxa"/>
          </w:tcPr>
          <w:p w14:paraId="1B9292F7" w14:textId="0D7ECEB2" w:rsidR="0014506D" w:rsidRDefault="0014506D" w:rsidP="0014506D">
            <w:pPr>
              <w:spacing w:line="360" w:lineRule="auto"/>
              <w:jc w:val="both"/>
              <w:rPr>
                <w:rFonts w:ascii="Times New Roman" w:eastAsia="Times New Roman" w:hAnsi="Times New Roman" w:cs="Times New Roman"/>
                <w:color w:val="000000"/>
                <w:sz w:val="24"/>
                <w:szCs w:val="24"/>
              </w:rPr>
            </w:pPr>
            <w:r w:rsidRPr="000D4BCB">
              <w:rPr>
                <w:rFonts w:ascii="Times New Roman" w:eastAsia="Times New Roman" w:hAnsi="Times New Roman" w:cs="Times New Roman"/>
                <w:color w:val="000000"/>
                <w:sz w:val="24"/>
                <w:szCs w:val="24"/>
              </w:rPr>
              <w:t>70 for adults and 40 for children</w:t>
            </w:r>
          </w:p>
        </w:tc>
      </w:tr>
      <w:tr w:rsidR="0014506D" w14:paraId="14BA2222" w14:textId="77777777" w:rsidTr="0014506D">
        <w:tc>
          <w:tcPr>
            <w:tcW w:w="988" w:type="dxa"/>
          </w:tcPr>
          <w:p w14:paraId="2A601B12" w14:textId="7FEA991D"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2693" w:type="dxa"/>
          </w:tcPr>
          <w:p w14:paraId="43FB4354" w14:textId="241DF163"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Averaging Time</w:t>
            </w:r>
          </w:p>
        </w:tc>
        <w:tc>
          <w:tcPr>
            <w:tcW w:w="5335" w:type="dxa"/>
          </w:tcPr>
          <w:p w14:paraId="1952B36D" w14:textId="034153B9" w:rsidR="0014506D" w:rsidRDefault="0014506D" w:rsidP="0014506D">
            <w:pPr>
              <w:spacing w:line="360" w:lineRule="auto"/>
              <w:jc w:val="both"/>
              <w:rPr>
                <w:rFonts w:ascii="Times New Roman" w:eastAsia="Times New Roman" w:hAnsi="Times New Roman" w:cs="Times New Roman"/>
                <w:color w:val="000000"/>
                <w:sz w:val="24"/>
                <w:szCs w:val="24"/>
              </w:rPr>
            </w:pPr>
            <w:r w:rsidRPr="000D4BCB">
              <w:rPr>
                <w:rFonts w:ascii="Times New Roman" w:eastAsia="Times New Roman" w:hAnsi="Times New Roman" w:cs="Times New Roman"/>
                <w:color w:val="000000"/>
                <w:sz w:val="24"/>
                <w:szCs w:val="24"/>
              </w:rPr>
              <w:t>365 to ED for non-carcinogen risk and carcinogen risk</w:t>
            </w:r>
            <w:r w:rsidR="003B19D4">
              <w:rPr>
                <w:rFonts w:ascii="Times New Roman" w:eastAsia="Times New Roman" w:hAnsi="Times New Roman" w:cs="Times New Roman"/>
                <w:color w:val="000000"/>
                <w:sz w:val="24"/>
                <w:szCs w:val="24"/>
              </w:rPr>
              <w:t>,</w:t>
            </w:r>
            <w:r w:rsidRPr="000D4BCB">
              <w:rPr>
                <w:rFonts w:ascii="Times New Roman" w:eastAsia="Times New Roman" w:hAnsi="Times New Roman" w:cs="Times New Roman"/>
                <w:color w:val="000000"/>
                <w:sz w:val="24"/>
                <w:szCs w:val="24"/>
              </w:rPr>
              <w:t xml:space="preserve"> its value is 25550</w:t>
            </w:r>
          </w:p>
        </w:tc>
      </w:tr>
      <w:tr w:rsidR="0014506D" w14:paraId="79FDD322" w14:textId="77777777" w:rsidTr="0014506D">
        <w:tc>
          <w:tcPr>
            <w:tcW w:w="988" w:type="dxa"/>
          </w:tcPr>
          <w:p w14:paraId="43BC3B68" w14:textId="6600E917"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2693" w:type="dxa"/>
          </w:tcPr>
          <w:p w14:paraId="273FE272" w14:textId="3C8BCA56"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Conversion Fraction</w:t>
            </w:r>
          </w:p>
        </w:tc>
        <w:tc>
          <w:tcPr>
            <w:tcW w:w="5335" w:type="dxa"/>
          </w:tcPr>
          <w:p w14:paraId="58DEE4D6" w14:textId="6EAE8D99" w:rsidR="0014506D" w:rsidRDefault="0014506D" w:rsidP="0014506D">
            <w:pPr>
              <w:spacing w:line="360" w:lineRule="auto"/>
              <w:jc w:val="both"/>
              <w:rPr>
                <w:rFonts w:ascii="Times New Roman" w:eastAsia="Times New Roman" w:hAnsi="Times New Roman" w:cs="Times New Roman"/>
                <w:color w:val="000000"/>
                <w:sz w:val="24"/>
                <w:szCs w:val="24"/>
              </w:rPr>
            </w:pPr>
            <w:r w:rsidRPr="000D4BCB">
              <w:rPr>
                <w:rFonts w:ascii="Times New Roman" w:eastAsia="Times New Roman" w:hAnsi="Times New Roman" w:cs="Times New Roman"/>
                <w:color w:val="000000"/>
                <w:sz w:val="24"/>
                <w:szCs w:val="24"/>
              </w:rPr>
              <w:t>10</w:t>
            </w:r>
            <w:r w:rsidRPr="000D4BCB">
              <w:rPr>
                <w:rFonts w:ascii="Gungsuh" w:eastAsia="Gungsuh" w:hAnsi="Gungsuh" w:cs="Gungsuh"/>
                <w:color w:val="000000"/>
                <w:sz w:val="24"/>
                <w:szCs w:val="24"/>
                <w:vertAlign w:val="superscript"/>
              </w:rPr>
              <w:t>−6</w:t>
            </w:r>
            <w:r w:rsidRPr="000D4BCB">
              <w:rPr>
                <w:rFonts w:ascii="Times New Roman" w:eastAsia="Times New Roman" w:hAnsi="Times New Roman" w:cs="Times New Roman"/>
                <w:color w:val="000000"/>
                <w:sz w:val="24"/>
                <w:szCs w:val="24"/>
              </w:rPr>
              <w:t> kg mg</w:t>
            </w:r>
            <w:r w:rsidRPr="000D4BCB">
              <w:rPr>
                <w:rFonts w:ascii="Gungsuh" w:eastAsia="Gungsuh" w:hAnsi="Gungsuh" w:cs="Gungsuh"/>
                <w:color w:val="000000"/>
                <w:sz w:val="24"/>
                <w:szCs w:val="24"/>
                <w:vertAlign w:val="superscript"/>
              </w:rPr>
              <w:t>−1</w:t>
            </w:r>
          </w:p>
        </w:tc>
      </w:tr>
      <w:tr w:rsidR="0014506D" w14:paraId="35F4A78B" w14:textId="77777777" w:rsidTr="0014506D">
        <w:tc>
          <w:tcPr>
            <w:tcW w:w="988" w:type="dxa"/>
          </w:tcPr>
          <w:p w14:paraId="1999C70D" w14:textId="4BFB056D"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2693" w:type="dxa"/>
          </w:tcPr>
          <w:p w14:paraId="3B75EF67" w14:textId="2CEBD806" w:rsidR="0014506D" w:rsidRDefault="0014506D" w:rsidP="0014506D">
            <w:pPr>
              <w:spacing w:line="36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Absorption factor dermal</w:t>
            </w:r>
          </w:p>
        </w:tc>
        <w:tc>
          <w:tcPr>
            <w:tcW w:w="5335" w:type="dxa"/>
          </w:tcPr>
          <w:p w14:paraId="366E064E" w14:textId="3F18550F" w:rsidR="0014506D" w:rsidRDefault="0014506D" w:rsidP="0014506D">
            <w:pPr>
              <w:spacing w:line="360" w:lineRule="auto"/>
              <w:jc w:val="both"/>
              <w:rPr>
                <w:rFonts w:ascii="Times New Roman" w:eastAsia="Times New Roman" w:hAnsi="Times New Roman" w:cs="Times New Roman"/>
                <w:color w:val="000000"/>
                <w:sz w:val="24"/>
                <w:szCs w:val="24"/>
              </w:rPr>
            </w:pPr>
            <w:r w:rsidRPr="000D4BCB">
              <w:rPr>
                <w:rFonts w:ascii="Times New Roman" w:eastAsia="Times New Roman" w:hAnsi="Times New Roman" w:cs="Times New Roman"/>
                <w:color w:val="000000"/>
                <w:sz w:val="24"/>
                <w:szCs w:val="24"/>
              </w:rPr>
              <w:t>0.03 for As and 0.001 for Cd; for the other metals 0.01 value was taken</w:t>
            </w:r>
          </w:p>
        </w:tc>
      </w:tr>
      <w:bookmarkEnd w:id="1"/>
    </w:tbl>
    <w:p w14:paraId="154FA90A" w14:textId="77777777" w:rsidR="005D1144" w:rsidRDefault="005D1144" w:rsidP="005D1144">
      <w:pPr>
        <w:spacing w:line="276" w:lineRule="auto"/>
        <w:rPr>
          <w:rFonts w:ascii="Times New Roman" w:eastAsia="Times New Roman" w:hAnsi="Times New Roman" w:cs="Times New Roman"/>
          <w:b/>
          <w:sz w:val="32"/>
          <w:szCs w:val="32"/>
        </w:rPr>
      </w:pPr>
    </w:p>
    <w:p w14:paraId="2C14AAC4" w14:textId="77777777" w:rsidR="005D1144" w:rsidRDefault="005D1144" w:rsidP="005D1144">
      <w:pPr>
        <w:keepNext/>
        <w:jc w:val="center"/>
      </w:pPr>
      <w:r>
        <w:rPr>
          <w:rFonts w:ascii="Times New Roman" w:eastAsia="Times New Roman" w:hAnsi="Times New Roman" w:cs="Times New Roman"/>
          <w:noProof/>
        </w:rPr>
        <w:drawing>
          <wp:inline distT="0" distB="0" distL="0" distR="0" wp14:anchorId="71ADA5A1" wp14:editId="2DB816A3">
            <wp:extent cx="3566234" cy="2724062"/>
            <wp:effectExtent l="19050" t="19050" r="19050" b="19050"/>
            <wp:docPr id="11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3566234" cy="2724062"/>
                    </a:xfrm>
                    <a:prstGeom prst="rect">
                      <a:avLst/>
                    </a:prstGeom>
                    <a:ln w="19050">
                      <a:solidFill>
                        <a:srgbClr val="000000"/>
                      </a:solidFill>
                      <a:prstDash val="solid"/>
                    </a:ln>
                  </pic:spPr>
                </pic:pic>
              </a:graphicData>
            </a:graphic>
          </wp:inline>
        </w:drawing>
      </w:r>
      <w:r>
        <w:rPr>
          <w:noProof/>
        </w:rPr>
        <mc:AlternateContent>
          <mc:Choice Requires="wps">
            <w:drawing>
              <wp:anchor distT="0" distB="0" distL="114300" distR="114300" simplePos="0" relativeHeight="251663360" behindDoc="0" locked="0" layoutInCell="1" hidden="0" allowOverlap="1" wp14:anchorId="0A493C84" wp14:editId="36A34A80">
                <wp:simplePos x="0" y="0"/>
                <wp:positionH relativeFrom="column">
                  <wp:posOffset>3829050</wp:posOffset>
                </wp:positionH>
                <wp:positionV relativeFrom="paragraph">
                  <wp:posOffset>2381250</wp:posOffset>
                </wp:positionV>
                <wp:extent cx="770193" cy="290728"/>
                <wp:effectExtent l="0" t="0" r="0" b="0"/>
                <wp:wrapNone/>
                <wp:docPr id="105" name="Rectangle 105"/>
                <wp:cNvGraphicFramePr/>
                <a:graphic xmlns:a="http://schemas.openxmlformats.org/drawingml/2006/main">
                  <a:graphicData uri="http://schemas.microsoft.com/office/word/2010/wordprocessingShape">
                    <wps:wsp>
                      <wps:cNvSpPr/>
                      <wps:spPr>
                        <a:xfrm>
                          <a:off x="4973604" y="3647336"/>
                          <a:ext cx="744793" cy="265328"/>
                        </a:xfrm>
                        <a:prstGeom prst="rect">
                          <a:avLst/>
                        </a:prstGeom>
                        <a:solidFill>
                          <a:srgbClr val="D0CECE"/>
                        </a:solidFill>
                        <a:ln w="12700" cap="flat" cmpd="sng">
                          <a:solidFill>
                            <a:srgbClr val="31538F"/>
                          </a:solidFill>
                          <a:prstDash val="solid"/>
                          <a:miter lim="800000"/>
                          <a:headEnd type="none" w="sm" len="sm"/>
                          <a:tailEnd type="none" w="sm" len="sm"/>
                        </a:ln>
                      </wps:spPr>
                      <wps:txbx>
                        <w:txbxContent>
                          <w:p w14:paraId="376B59F8" w14:textId="77777777" w:rsidR="005D1144" w:rsidRDefault="005D1144" w:rsidP="005D1144">
                            <w:pPr>
                              <w:spacing w:line="258" w:lineRule="auto"/>
                              <w:jc w:val="center"/>
                              <w:textDirection w:val="btLr"/>
                            </w:pPr>
                            <w:r>
                              <w:rPr>
                                <w:rFonts w:ascii="Times New Roman" w:eastAsia="Times New Roman" w:hAnsi="Times New Roman" w:cs="Times New Roman"/>
                                <w:color w:val="000000"/>
                              </w:rPr>
                              <w:t xml:space="preserve">YP-gate </w:t>
                            </w:r>
                          </w:p>
                        </w:txbxContent>
                      </wps:txbx>
                      <wps:bodyPr spcFirstLastPara="1" wrap="square" lIns="91425" tIns="45700" rIns="91425" bIns="45700" anchor="ctr" anchorCtr="0">
                        <a:noAutofit/>
                      </wps:bodyPr>
                    </wps:wsp>
                  </a:graphicData>
                </a:graphic>
              </wp:anchor>
            </w:drawing>
          </mc:Choice>
          <mc:Fallback>
            <w:pict>
              <v:rect w14:anchorId="0A493C84" id="Rectangle 105" o:spid="_x0000_s1026" style="position:absolute;left:0;text-align:left;margin-left:301.5pt;margin-top:187.5pt;width:60.65pt;height:22.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kZAJwIAAE0EAAAOAAAAZHJzL2Uyb0RvYy54bWysVNuK2zAQfS/0H4TeGzu2cyXOUnIphaUb&#10;2PYDFFmKBbpV0sbO33ckp5tsWyiU+kGesSZnzsycyeqhVxKdmfPC6BqPRzlGTFPTCH2q8bev+w9z&#10;jHwguiHSaFbjC/P4Yf3+3aqzS1aY1siGOQQg2i87W+M2BLvMMk9bpogfGcs0XHLjFAngulPWONIB&#10;upJZkefTrDOusc5Q5j183Q6XeJ3wOWc0PHHuWUCyxsAtpNOl8xjPbL0iy5MjthX0SoP8AwtFhIak&#10;r1BbEgh6ceI3KCWoM97wMKJGZYZzQVmqAaoZ579U89wSy1It0BxvX9vk/x8s/XJ+tgcHbeisX3ow&#10;YxU9dyq+gR/qa1wtZuU0rzC61LicVrOynA6NY31AFAJmVTVblBhRCCimk7KYx/vsBmSdD5+YUSga&#10;NXYwl9Qucn70YQj9GRLzeiNFsxdSJsedjhvp0JnADLf5ZrfZXdHfhEmNOlBgMcthzpSAlrgkAUxl&#10;mxp7fUoJ3/zE3yOX40k53/8JOTLbEt8ODBLCUL4SAcQrharxPI/P8LllpNnpBoWLBcVr0D2O1LzC&#10;SDLYEjCS7AIR8u9x0EWpoZm3+UQr9Mf+OrSjaS4Hh7ylewFMH4kPB+JAxWNIC8qGhN9fiAMS8rMG&#10;6SzGVTGBVUhONUn9cvc3x/sbomlrYGFocBgNziakBYqz0ebjSzBcpBlGXgOZK13QbFLBdb/iUtz7&#10;Ker2L7D+AQAA//8DAFBLAwQUAAYACAAAACEABK7aeOAAAAALAQAADwAAAGRycy9kb3ducmV2Lnht&#10;bEyPS0/DMBCE70j8B2uRuFGbpDRRyKZCPI6gvi7c3HhJIuJ1FDtt+PeYU7nNakaz35Tr2fbiRKPv&#10;HCPcLxQI4tqZjhuEw/7tLgfhg2aje8eE8EMe1tX1VakL4868pdMuNCKWsC80QhvCUEjp65as9gs3&#10;EEfvy41Wh3iOjTSjPsdy28tEqZW0uuP4odUDPbdUf+8mi5Bs8vmw7brhdZN5/nypP9L3/YR4ezM/&#10;PYIINIdLGP7wIzpUkenoJjZe9AgrlcYtASHNHqKIiSxZpiCOCMtE5SCrUv7fUP0CAAD//wMAUEsB&#10;Ai0AFAAGAAgAAAAhALaDOJL+AAAA4QEAABMAAAAAAAAAAAAAAAAAAAAAAFtDb250ZW50X1R5cGVz&#10;XS54bWxQSwECLQAUAAYACAAAACEAOP0h/9YAAACUAQAACwAAAAAAAAAAAAAAAAAvAQAAX3JlbHMv&#10;LnJlbHNQSwECLQAUAAYACAAAACEAIs5GQCcCAABNBAAADgAAAAAAAAAAAAAAAAAuAgAAZHJzL2Uy&#10;b0RvYy54bWxQSwECLQAUAAYACAAAACEABK7aeOAAAAALAQAADwAAAAAAAAAAAAAAAACBBAAAZHJz&#10;L2Rvd25yZXYueG1sUEsFBgAAAAAEAAQA8wAAAI4FAAAAAA==&#10;" fillcolor="#d0cece" strokecolor="#31538f" strokeweight="1pt">
                <v:stroke startarrowwidth="narrow" startarrowlength="short" endarrowwidth="narrow" endarrowlength="short"/>
                <v:textbox inset="2.53958mm,1.2694mm,2.53958mm,1.2694mm">
                  <w:txbxContent>
                    <w:p w14:paraId="376B59F8" w14:textId="77777777" w:rsidR="005D1144" w:rsidRDefault="005D1144" w:rsidP="005D1144">
                      <w:pPr>
                        <w:spacing w:line="258" w:lineRule="auto"/>
                        <w:jc w:val="center"/>
                        <w:textDirection w:val="btLr"/>
                      </w:pPr>
                      <w:r>
                        <w:rPr>
                          <w:rFonts w:ascii="Times New Roman" w:eastAsia="Times New Roman" w:hAnsi="Times New Roman" w:cs="Times New Roman"/>
                          <w:color w:val="000000"/>
                        </w:rPr>
                        <w:t xml:space="preserve">YP-gate </w:t>
                      </w:r>
                    </w:p>
                  </w:txbxContent>
                </v:textbox>
              </v:rect>
            </w:pict>
          </mc:Fallback>
        </mc:AlternateContent>
      </w:r>
      <w:r>
        <w:rPr>
          <w:noProof/>
        </w:rPr>
        <mc:AlternateContent>
          <mc:Choice Requires="wps">
            <w:drawing>
              <wp:anchor distT="0" distB="0" distL="114300" distR="114300" simplePos="0" relativeHeight="251664384" behindDoc="0" locked="0" layoutInCell="1" hidden="0" allowOverlap="1" wp14:anchorId="316DF355" wp14:editId="621CCDC2">
                <wp:simplePos x="0" y="0"/>
                <wp:positionH relativeFrom="column">
                  <wp:posOffset>1628775</wp:posOffset>
                </wp:positionH>
                <wp:positionV relativeFrom="paragraph">
                  <wp:posOffset>38100</wp:posOffset>
                </wp:positionV>
                <wp:extent cx="419100" cy="295275"/>
                <wp:effectExtent l="0" t="0" r="0" b="0"/>
                <wp:wrapNone/>
                <wp:docPr id="106" name="Rectangle 106"/>
                <wp:cNvGraphicFramePr/>
                <a:graphic xmlns:a="http://schemas.openxmlformats.org/drawingml/2006/main">
                  <a:graphicData uri="http://schemas.microsoft.com/office/word/2010/wordprocessingShape">
                    <wps:wsp>
                      <wps:cNvSpPr/>
                      <wps:spPr>
                        <a:xfrm>
                          <a:off x="5150584" y="3628942"/>
                          <a:ext cx="390832" cy="302117"/>
                        </a:xfrm>
                        <a:prstGeom prst="rect">
                          <a:avLst/>
                        </a:prstGeom>
                        <a:solidFill>
                          <a:srgbClr val="D0CECE"/>
                        </a:solidFill>
                        <a:ln w="12700" cap="flat" cmpd="sng">
                          <a:solidFill>
                            <a:srgbClr val="31538F"/>
                          </a:solidFill>
                          <a:prstDash val="solid"/>
                          <a:miter lim="800000"/>
                          <a:headEnd type="none" w="sm" len="sm"/>
                          <a:tailEnd type="none" w="sm" len="sm"/>
                        </a:ln>
                      </wps:spPr>
                      <wps:txbx>
                        <w:txbxContent>
                          <w:p w14:paraId="2C67630D" w14:textId="77777777" w:rsidR="005D1144" w:rsidRDefault="005D1144" w:rsidP="005D1144">
                            <w:pPr>
                              <w:spacing w:line="258" w:lineRule="auto"/>
                              <w:jc w:val="center"/>
                              <w:textDirection w:val="btLr"/>
                            </w:pPr>
                            <w:r>
                              <w:rPr>
                                <w:rFonts w:ascii="Times New Roman" w:eastAsia="Times New Roman" w:hAnsi="Times New Roman" w:cs="Times New Roman"/>
                                <w:color w:val="000000"/>
                              </w:rPr>
                              <w:t>HP</w:t>
                            </w:r>
                          </w:p>
                        </w:txbxContent>
                      </wps:txbx>
                      <wps:bodyPr spcFirstLastPara="1" wrap="square" lIns="91425" tIns="45700" rIns="91425" bIns="45700" anchor="ctr" anchorCtr="0">
                        <a:noAutofit/>
                      </wps:bodyPr>
                    </wps:wsp>
                  </a:graphicData>
                </a:graphic>
              </wp:anchor>
            </w:drawing>
          </mc:Choice>
          <mc:Fallback>
            <w:pict>
              <v:rect w14:anchorId="316DF355" id="Rectangle 106" o:spid="_x0000_s1027" style="position:absolute;left:0;text-align:left;margin-left:128.25pt;margin-top:3pt;width:33pt;height:23.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gltKgIAAFQEAAAOAAAAZHJzL2Uyb0RvYy54bWysVNuO2jAQfa/Uf7D8XnKB7AZEWFVcqkqr&#10;LtK2H2Acm1jyrbaXhL/v2KEL21aqVJUHM2MPZ87MnGH5MCiJTsx5YXSDi0mOEdPUtEIfG/zt6+5D&#10;jZEPRLdEGs0afGYeP6zev1v2dsFK0xnZMocARPtFbxvchWAXWeZpxxTxE2OZhkdunCIBXHfMWkd6&#10;QFcyK/P8LuuNa60zlHkPt5vxEa8SPueMhifOPQtINhi4hXS6dB7ima2WZHF0xHaCXmiQf2ChiNCQ&#10;9BVqQwJBL078BqUEdcYbHibUqMxwLihLNUA1Rf5LNc8dsSzVAs3x9rVN/v/B0i+nZ7t30Ibe+oUH&#10;M1YxcKfiN/BDQ4OrosqreobRucHTu7Kez8qxcWwIiELAdJ7X0xIjGgPysiju43t2BbLOh0/MKBSN&#10;BjuYS2oXOT36MIb+DIl5vZGi3Qkpk+OOh7V06ERghpt8vV1vL+hvwqRGPSiwvM9hzpSAlrgkAUxl&#10;2wZ7fUwJ3/zE3yJPi2pa7/6EHJltiO9GBglhLF+JAOKVQjW4zuNnvO4Yabe6ReFsQfEadI8jNa8w&#10;kgy2BIwku0CE/HscdFFqaOZ1PtEKw2FAAgorIla8OZj2vHfIW7oTQPiR+LAnDsRcQHYQOOT9/kIc&#10;cJGfNShoXszKCjYiObMqtc3dvhxuX4imnYG9ocFhNDrrkPYojkibjy/BcJFGeSVzYQ3STWK4rFnc&#10;jVs/RV3/DFY/AAAA//8DAFBLAwQUAAYACAAAACEAP08m4dwAAAAIAQAADwAAAGRycy9kb3ducmV2&#10;LnhtbEyPS0/DMBCE70j8B2uRuFGHVEmrEKdCPI5UfV16c+MlsYjXUey04d93OdHTajSj2W/K1eQ6&#10;ccYhWE8KnmcJCKTaG0uNgsP+82kJIkRNRneeUMEvBlhV93elLoy/0BbPu9gILqFQaAVtjH0hZahb&#10;dDrMfI/E3rcfnI4sh0aaQV+43HUyTZJcOm2JP7S6x7cW65/d6BSkm+V02Frbf2wWgY7v9Xr+tR+V&#10;enyYXl9ARJzifxj+8BkdKmY6+ZFMEB13ZHnGUQU5T2J/nqasTwoyvrIq5e2A6goAAP//AwBQSwEC&#10;LQAUAAYACAAAACEAtoM4kv4AAADhAQAAEwAAAAAAAAAAAAAAAAAAAAAAW0NvbnRlbnRfVHlwZXNd&#10;LnhtbFBLAQItABQABgAIAAAAIQA4/SH/1gAAAJQBAAALAAAAAAAAAAAAAAAAAC8BAABfcmVscy8u&#10;cmVsc1BLAQItABQABgAIAAAAIQB77gltKgIAAFQEAAAOAAAAAAAAAAAAAAAAAC4CAABkcnMvZTJv&#10;RG9jLnhtbFBLAQItABQABgAIAAAAIQA/Tybh3AAAAAgBAAAPAAAAAAAAAAAAAAAAAIQEAABkcnMv&#10;ZG93bnJldi54bWxQSwUGAAAAAAQABADzAAAAjQUAAAAA&#10;" fillcolor="#d0cece" strokecolor="#31538f" strokeweight="1pt">
                <v:stroke startarrowwidth="narrow" startarrowlength="short" endarrowwidth="narrow" endarrowlength="short"/>
                <v:textbox inset="2.53958mm,1.2694mm,2.53958mm,1.2694mm">
                  <w:txbxContent>
                    <w:p w14:paraId="2C67630D" w14:textId="77777777" w:rsidR="005D1144" w:rsidRDefault="005D1144" w:rsidP="005D1144">
                      <w:pPr>
                        <w:spacing w:line="258" w:lineRule="auto"/>
                        <w:jc w:val="center"/>
                        <w:textDirection w:val="btLr"/>
                      </w:pPr>
                      <w:r>
                        <w:rPr>
                          <w:rFonts w:ascii="Times New Roman" w:eastAsia="Times New Roman" w:hAnsi="Times New Roman" w:cs="Times New Roman"/>
                          <w:color w:val="000000"/>
                        </w:rPr>
                        <w:t>HP</w:t>
                      </w:r>
                    </w:p>
                  </w:txbxContent>
                </v:textbox>
              </v:rect>
            </w:pict>
          </mc:Fallback>
        </mc:AlternateContent>
      </w:r>
    </w:p>
    <w:p w14:paraId="2FE7FBA5" w14:textId="7B17A26A" w:rsidR="005D1144" w:rsidRDefault="005D1144" w:rsidP="005D1144">
      <w:pPr>
        <w:spacing w:after="20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Fig</w:t>
      </w:r>
      <w:r w:rsidR="006C136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SI 1 Wind rose diagram to show the wind pattern for HP and YP-gate sampling sites</w:t>
      </w:r>
    </w:p>
    <w:p w14:paraId="3F1C2E89" w14:textId="77777777" w:rsidR="005D1144" w:rsidRDefault="005D1144" w:rsidP="0014506D">
      <w:pPr>
        <w:spacing w:before="240" w:after="200" w:line="240" w:lineRule="auto"/>
        <w:jc w:val="center"/>
      </w:pPr>
    </w:p>
    <w:p w14:paraId="2D327C72" w14:textId="477DC5DB" w:rsidR="0014506D" w:rsidRDefault="0014506D" w:rsidP="0014506D">
      <w:pPr>
        <w:spacing w:before="240" w:after="200" w:line="240" w:lineRule="auto"/>
        <w:jc w:val="center"/>
      </w:pPr>
      <w:r>
        <w:rPr>
          <w:noProof/>
        </w:rPr>
        <mc:AlternateContent>
          <mc:Choice Requires="wps">
            <w:drawing>
              <wp:anchor distT="0" distB="0" distL="114300" distR="114300" simplePos="0" relativeHeight="251659264" behindDoc="0" locked="0" layoutInCell="1" hidden="0" allowOverlap="1" wp14:anchorId="6E11BF50" wp14:editId="42AA095B">
                <wp:simplePos x="0" y="0"/>
                <wp:positionH relativeFrom="column">
                  <wp:posOffset>4120515</wp:posOffset>
                </wp:positionH>
                <wp:positionV relativeFrom="paragraph">
                  <wp:posOffset>109220</wp:posOffset>
                </wp:positionV>
                <wp:extent cx="421005" cy="352425"/>
                <wp:effectExtent l="0" t="0" r="0" b="0"/>
                <wp:wrapNone/>
                <wp:docPr id="107" name="Rectangle 107"/>
                <wp:cNvGraphicFramePr/>
                <a:graphic xmlns:a="http://schemas.openxmlformats.org/drawingml/2006/main">
                  <a:graphicData uri="http://schemas.microsoft.com/office/word/2010/wordprocessingShape">
                    <wps:wsp>
                      <wps:cNvSpPr/>
                      <wps:spPr>
                        <a:xfrm>
                          <a:off x="0" y="0"/>
                          <a:ext cx="421005" cy="352425"/>
                        </a:xfrm>
                        <a:prstGeom prst="rect">
                          <a:avLst/>
                        </a:prstGeom>
                        <a:noFill/>
                        <a:ln>
                          <a:noFill/>
                        </a:ln>
                      </wps:spPr>
                      <wps:txbx>
                        <w:txbxContent>
                          <w:p w14:paraId="3023DFD7" w14:textId="77777777" w:rsidR="0014506D" w:rsidRDefault="0014506D" w:rsidP="0014506D">
                            <w:pPr>
                              <w:spacing w:line="258" w:lineRule="auto"/>
                              <w:jc w:val="center"/>
                              <w:textDirection w:val="btLr"/>
                            </w:pPr>
                            <w:r>
                              <w:rPr>
                                <w:rFonts w:ascii="Times New Roman" w:eastAsia="Times New Roman" w:hAnsi="Times New Roman" w:cs="Times New Roman"/>
                                <w:color w:val="000000"/>
                              </w:rPr>
                              <w:t>a</w:t>
                            </w:r>
                          </w:p>
                        </w:txbxContent>
                      </wps:txbx>
                      <wps:bodyPr spcFirstLastPara="1" wrap="square" lIns="91425" tIns="45700" rIns="91425" bIns="45700" anchor="ctr" anchorCtr="0">
                        <a:noAutofit/>
                      </wps:bodyPr>
                    </wps:wsp>
                  </a:graphicData>
                </a:graphic>
              </wp:anchor>
            </w:drawing>
          </mc:Choice>
          <mc:Fallback>
            <w:pict>
              <v:rect w14:anchorId="6E11BF50" id="Rectangle 107" o:spid="_x0000_s1028" style="position:absolute;left:0;text-align:left;margin-left:324.45pt;margin-top:8.6pt;width:33.1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GGsQEAAFYDAAAOAAAAZHJzL2Uyb0RvYy54bWysU9tu2zAMfR/QfxD03viyZBcjTjG0yDCg&#10;2AJ0+wBFlmIBsqSSSuz8/SglS7LtbdgLLZLy4eEhtXyYBssOCtB41/JqVnKmnPSdcbuW//i+vv/A&#10;GUbhOmG9Uy0/KuQPq7s3yzE0qva9t50CRiAOmzG0vI8xNEWBsleDwJkPylFSexhEJBd2RQdiJPTB&#10;FnVZvitGD10ALxUiRZ9OSb7K+ForGb9pjSoy23LiFrOFbLfJFqulaHYgQm/kmYb4BxaDMI6KXqCe&#10;RBRsD+YvqMFI8Oh1nEk/FF5rI1Xugbqpyj+6eelFULkXEgfDRSb8f7Dy6+ElbIBkGAM2SMfUxaRh&#10;SF/ix6Ys1vEilpoikxSc11VZLjiTlHq7qOf1IolZXH8OgPGz8gNLh5YDzSJLJA7PGE9Xf11JtZxf&#10;G2vzPKz7LUCYKVJcGaZTnLYTM13L61Q3Rba+O26AYZBrQyWfBcaNABpnxdlII245vu4FKM7sF0ca&#10;fqwSaRazM1+8L2lB4Dazvc0IJ3tPmyMjcHZyHmPepBPZT/votcmNXcmcWdPwsjTnRUvbcevnW9fn&#10;sPoJAAD//wMAUEsDBBQABgAIAAAAIQD8nlcz3gAAAAkBAAAPAAAAZHJzL2Rvd25yZXYueG1sTI9B&#10;T4NAEIXvJv6HzTTxYuwC1lKQpVETL95sSXrdslMgZWcJu7T47x1P9vYm78ub94rtbHtxwdF3jhTE&#10;ywgEUu1MR42Cav/5tAHhgyaje0eo4Ac9bMv7u0Lnxl3pGy+70AgOIZ9rBW0IQy6lr1u02i/dgMTe&#10;yY1WBz7HRppRXznc9jKJorW0uiP+0OoBP1qsz7vJKnCH7rDyfXbKnuNqL98fp+irQqUeFvPbK4iA&#10;c/iH4a8+V4eSOx3dRMaLXsF6tckYZSNNQDCQxi8sjiySFGRZyNsF5S8AAAD//wMAUEsBAi0AFAAG&#10;AAgAAAAhALaDOJL+AAAA4QEAABMAAAAAAAAAAAAAAAAAAAAAAFtDb250ZW50X1R5cGVzXS54bWxQ&#10;SwECLQAUAAYACAAAACEAOP0h/9YAAACUAQAACwAAAAAAAAAAAAAAAAAvAQAAX3JlbHMvLnJlbHNQ&#10;SwECLQAUAAYACAAAACEAmfrhhrEBAABWAwAADgAAAAAAAAAAAAAAAAAuAgAAZHJzL2Uyb0RvYy54&#10;bWxQSwECLQAUAAYACAAAACEA/J5XM94AAAAJAQAADwAAAAAAAAAAAAAAAAALBAAAZHJzL2Rvd25y&#10;ZXYueG1sUEsFBgAAAAAEAAQA8wAAABYFAAAAAA==&#10;" filled="f" stroked="f">
                <v:textbox inset="2.53958mm,1.2694mm,2.53958mm,1.2694mm">
                  <w:txbxContent>
                    <w:p w14:paraId="3023DFD7" w14:textId="77777777" w:rsidR="0014506D" w:rsidRDefault="0014506D" w:rsidP="0014506D">
                      <w:pPr>
                        <w:spacing w:line="258" w:lineRule="auto"/>
                        <w:jc w:val="center"/>
                        <w:textDirection w:val="btLr"/>
                      </w:pPr>
                      <w:r>
                        <w:rPr>
                          <w:rFonts w:ascii="Times New Roman" w:eastAsia="Times New Roman" w:hAnsi="Times New Roman" w:cs="Times New Roman"/>
                          <w:color w:val="000000"/>
                        </w:rPr>
                        <w:t>a</w:t>
                      </w:r>
                    </w:p>
                  </w:txbxContent>
                </v:textbox>
              </v:rect>
            </w:pict>
          </mc:Fallback>
        </mc:AlternateContent>
      </w:r>
      <w:r>
        <w:rPr>
          <w:noProof/>
        </w:rPr>
        <w:drawing>
          <wp:inline distT="114300" distB="114300" distL="114300" distR="114300" wp14:anchorId="6DF69BCA" wp14:editId="01B420E4">
            <wp:extent cx="3352800" cy="3566160"/>
            <wp:effectExtent l="0" t="0" r="0" b="0"/>
            <wp:docPr id="11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l="-1712" t="8941" r="-1354"/>
                    <a:stretch>
                      <a:fillRect/>
                    </a:stretch>
                  </pic:blipFill>
                  <pic:spPr>
                    <a:xfrm>
                      <a:off x="0" y="0"/>
                      <a:ext cx="3353227" cy="3566614"/>
                    </a:xfrm>
                    <a:prstGeom prst="rect">
                      <a:avLst/>
                    </a:prstGeom>
                    <a:ln/>
                  </pic:spPr>
                </pic:pic>
              </a:graphicData>
            </a:graphic>
          </wp:inline>
        </w:drawing>
      </w:r>
    </w:p>
    <w:p w14:paraId="04DCF63D" w14:textId="77777777" w:rsidR="0014506D" w:rsidRDefault="0014506D" w:rsidP="0014506D">
      <w:pPr>
        <w:spacing w:after="200" w:line="240" w:lineRule="auto"/>
        <w:jc w:val="center"/>
      </w:pPr>
      <w:r>
        <w:rPr>
          <w:noProof/>
        </w:rPr>
        <w:drawing>
          <wp:inline distT="114300" distB="114300" distL="114300" distR="114300" wp14:anchorId="2B7AB2C4" wp14:editId="19D13C60">
            <wp:extent cx="3177540" cy="3246120"/>
            <wp:effectExtent l="0" t="0" r="3810" b="0"/>
            <wp:docPr id="11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l="-1020" t="8904"/>
                    <a:stretch>
                      <a:fillRect/>
                    </a:stretch>
                  </pic:blipFill>
                  <pic:spPr>
                    <a:xfrm>
                      <a:off x="0" y="0"/>
                      <a:ext cx="3177968" cy="3246557"/>
                    </a:xfrm>
                    <a:prstGeom prst="rect">
                      <a:avLst/>
                    </a:prstGeom>
                    <a:ln/>
                  </pic:spPr>
                </pic:pic>
              </a:graphicData>
            </a:graphic>
          </wp:inline>
        </w:drawing>
      </w:r>
      <w:r>
        <w:rPr>
          <w:noProof/>
        </w:rPr>
        <mc:AlternateContent>
          <mc:Choice Requires="wps">
            <w:drawing>
              <wp:anchor distT="0" distB="0" distL="114300" distR="114300" simplePos="0" relativeHeight="251660288" behindDoc="0" locked="0" layoutInCell="1" hidden="0" allowOverlap="1" wp14:anchorId="41453514" wp14:editId="171215FD">
                <wp:simplePos x="0" y="0"/>
                <wp:positionH relativeFrom="column">
                  <wp:posOffset>4152900</wp:posOffset>
                </wp:positionH>
                <wp:positionV relativeFrom="paragraph">
                  <wp:posOffset>63500</wp:posOffset>
                </wp:positionV>
                <wp:extent cx="421005" cy="352425"/>
                <wp:effectExtent l="0" t="0" r="0" b="0"/>
                <wp:wrapNone/>
                <wp:docPr id="109" name="Rectangle 109"/>
                <wp:cNvGraphicFramePr/>
                <a:graphic xmlns:a="http://schemas.openxmlformats.org/drawingml/2006/main">
                  <a:graphicData uri="http://schemas.microsoft.com/office/word/2010/wordprocessingShape">
                    <wps:wsp>
                      <wps:cNvSpPr/>
                      <wps:spPr>
                        <a:xfrm>
                          <a:off x="5140260" y="3608550"/>
                          <a:ext cx="411480" cy="342900"/>
                        </a:xfrm>
                        <a:prstGeom prst="rect">
                          <a:avLst/>
                        </a:prstGeom>
                        <a:noFill/>
                        <a:ln>
                          <a:noFill/>
                        </a:ln>
                      </wps:spPr>
                      <wps:txbx>
                        <w:txbxContent>
                          <w:p w14:paraId="6B4F0356" w14:textId="77777777" w:rsidR="0014506D" w:rsidRDefault="0014506D" w:rsidP="0014506D">
                            <w:pPr>
                              <w:spacing w:line="258" w:lineRule="auto"/>
                              <w:jc w:val="center"/>
                              <w:textDirection w:val="btLr"/>
                            </w:pPr>
                            <w:r>
                              <w:rPr>
                                <w:rFonts w:ascii="Times New Roman" w:eastAsia="Times New Roman" w:hAnsi="Times New Roman" w:cs="Times New Roman"/>
                                <w:color w:val="000000"/>
                              </w:rPr>
                              <w:t>b</w:t>
                            </w:r>
                          </w:p>
                        </w:txbxContent>
                      </wps:txbx>
                      <wps:bodyPr spcFirstLastPara="1" wrap="square" lIns="91425" tIns="45700" rIns="91425" bIns="45700" anchor="ctr" anchorCtr="0">
                        <a:noAutofit/>
                      </wps:bodyPr>
                    </wps:wsp>
                  </a:graphicData>
                </a:graphic>
              </wp:anchor>
            </w:drawing>
          </mc:Choice>
          <mc:Fallback>
            <w:pict>
              <v:rect w14:anchorId="41453514" id="Rectangle 109" o:spid="_x0000_s1029" style="position:absolute;left:0;text-align:left;margin-left:327pt;margin-top:5pt;width:33.15pt;height:27.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XuNvQEAAGIDAAAOAAAAZHJzL2Uyb0RvYy54bWysU9uO0zAQfUfiHyy/01xISzdqukKsipBW&#10;UGnhA1zHbiwltplxm/TvGbvdbYG31b44c9OZc2Ymq/tp6NlRARpnG17Mcs6Ula41dt/wXz83H5ac&#10;YRC2Fb2zquEnhfx+/f7davS1Kl3n+lYBIxCL9egb3oXg6yxD2alB4Mx5ZSmpHQwikAv7rAUxEvrQ&#10;Z2WeL7LRQevBSYVI0Ydzkq8TvtZKhh9aowqsbzhxC+mF9O7im61Xot6D8J2RFxriFSwGYSw1fYF6&#10;EEGwA5j/oAYjwaHTYSbdkDmtjVRJA6kp8n/UPHXCq6SFhoP+ZUz4drDy+/HJb4HGMHqskcyoYtIw&#10;xC/xY1PD50WVlwsa36nhHxf5cj6/DE5NgUkqqIqiWlJexoKqvMtTPrsCecDwVbmBRaPhQHtJ4xLH&#10;RwzUnEqfS2Jf6zam79NuevtXgApjJLuyjVaYdhMzLTWPC42RnWtPW2Do5cZQy0eBYSuAVltwNtK6&#10;G46/DwIUZ/03S/O8K6pyTveRnGr+iRQwuM3sbjPCys7RFckAnJ2dLyFd1Zns50Nw2iRhVzIX1rTI&#10;pPdydPFSbv1Udf011n8AAAD//wMAUEsDBBQABgAIAAAAIQAEnsUQ3QAAAAkBAAAPAAAAZHJzL2Rv&#10;d25yZXYueG1sTI/NTsMwEITvSLyDtUhcELX7S5vGqQCJCzfaSL268TaJsNdR7LTh7dme4LQafaPZ&#10;mXw3eicu2Mc2kIbpRIFAqoJtqdZQHj6e1yBiMmSNC4QafjDCrri/y01mw5W+8LJPteAQipnR0KTU&#10;ZVLGqkFv4iR0SMzOofcmsexraXtz5XDv5EyplfSmJf7QmA7fG6y+94PXEI7tcRHd5ryZT8uDfHsa&#10;1GeJWj8+jK9bEAnH9GeGW32uDgV3OoWBbBROw2q54C2JgeLLhpeZmoM43cgSZJHL/wuKXwAAAP//&#10;AwBQSwECLQAUAAYACAAAACEAtoM4kv4AAADhAQAAEwAAAAAAAAAAAAAAAAAAAAAAW0NvbnRlbnRf&#10;VHlwZXNdLnhtbFBLAQItABQABgAIAAAAIQA4/SH/1gAAAJQBAAALAAAAAAAAAAAAAAAAAC8BAABf&#10;cmVscy8ucmVsc1BLAQItABQABgAIAAAAIQDIjXuNvQEAAGIDAAAOAAAAAAAAAAAAAAAAAC4CAABk&#10;cnMvZTJvRG9jLnhtbFBLAQItABQABgAIAAAAIQAEnsUQ3QAAAAkBAAAPAAAAAAAAAAAAAAAAABcE&#10;AABkcnMvZG93bnJldi54bWxQSwUGAAAAAAQABADzAAAAIQUAAAAA&#10;" filled="f" stroked="f">
                <v:textbox inset="2.53958mm,1.2694mm,2.53958mm,1.2694mm">
                  <w:txbxContent>
                    <w:p w14:paraId="6B4F0356" w14:textId="77777777" w:rsidR="0014506D" w:rsidRDefault="0014506D" w:rsidP="0014506D">
                      <w:pPr>
                        <w:spacing w:line="258" w:lineRule="auto"/>
                        <w:jc w:val="center"/>
                        <w:textDirection w:val="btLr"/>
                      </w:pPr>
                      <w:r>
                        <w:rPr>
                          <w:rFonts w:ascii="Times New Roman" w:eastAsia="Times New Roman" w:hAnsi="Times New Roman" w:cs="Times New Roman"/>
                          <w:color w:val="000000"/>
                        </w:rPr>
                        <w:t>b</w:t>
                      </w:r>
                    </w:p>
                  </w:txbxContent>
                </v:textbox>
              </v:rect>
            </w:pict>
          </mc:Fallback>
        </mc:AlternateContent>
      </w:r>
    </w:p>
    <w:p w14:paraId="2BDF26F4" w14:textId="77777777" w:rsidR="0014506D" w:rsidRDefault="0014506D" w:rsidP="0014506D">
      <w:pPr>
        <w:spacing w:after="0" w:line="240" w:lineRule="auto"/>
        <w:jc w:val="center"/>
      </w:pPr>
      <w:r>
        <w:rPr>
          <w:noProof/>
        </w:rPr>
        <w:lastRenderedPageBreak/>
        <w:drawing>
          <wp:inline distT="114300" distB="114300" distL="114300" distR="114300" wp14:anchorId="2BE23698" wp14:editId="55B01C1A">
            <wp:extent cx="3246120" cy="3268980"/>
            <wp:effectExtent l="0" t="0" r="0" b="7620"/>
            <wp:docPr id="1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l="-1346" t="8904"/>
                    <a:stretch>
                      <a:fillRect/>
                    </a:stretch>
                  </pic:blipFill>
                  <pic:spPr>
                    <a:xfrm>
                      <a:off x="0" y="0"/>
                      <a:ext cx="3246685" cy="3269549"/>
                    </a:xfrm>
                    <a:prstGeom prst="rect">
                      <a:avLst/>
                    </a:prstGeom>
                    <a:ln/>
                  </pic:spPr>
                </pic:pic>
              </a:graphicData>
            </a:graphic>
          </wp:inline>
        </w:drawing>
      </w:r>
      <w:r>
        <w:rPr>
          <w:noProof/>
        </w:rPr>
        <mc:AlternateContent>
          <mc:Choice Requires="wps">
            <w:drawing>
              <wp:anchor distT="0" distB="0" distL="114300" distR="114300" simplePos="0" relativeHeight="251661312" behindDoc="0" locked="0" layoutInCell="1" hidden="0" allowOverlap="1" wp14:anchorId="00C89AFB" wp14:editId="2AEE3673">
                <wp:simplePos x="0" y="0"/>
                <wp:positionH relativeFrom="column">
                  <wp:posOffset>4191000</wp:posOffset>
                </wp:positionH>
                <wp:positionV relativeFrom="paragraph">
                  <wp:posOffset>76200</wp:posOffset>
                </wp:positionV>
                <wp:extent cx="421005" cy="352425"/>
                <wp:effectExtent l="0" t="0" r="0" b="0"/>
                <wp:wrapNone/>
                <wp:docPr id="108" name="Rectangle 108"/>
                <wp:cNvGraphicFramePr/>
                <a:graphic xmlns:a="http://schemas.openxmlformats.org/drawingml/2006/main">
                  <a:graphicData uri="http://schemas.microsoft.com/office/word/2010/wordprocessingShape">
                    <wps:wsp>
                      <wps:cNvSpPr/>
                      <wps:spPr>
                        <a:xfrm>
                          <a:off x="5140260" y="3608550"/>
                          <a:ext cx="411480" cy="342900"/>
                        </a:xfrm>
                        <a:prstGeom prst="rect">
                          <a:avLst/>
                        </a:prstGeom>
                        <a:noFill/>
                        <a:ln>
                          <a:noFill/>
                        </a:ln>
                      </wps:spPr>
                      <wps:txbx>
                        <w:txbxContent>
                          <w:p w14:paraId="513FD7FA" w14:textId="77777777" w:rsidR="0014506D" w:rsidRDefault="0014506D" w:rsidP="0014506D">
                            <w:pPr>
                              <w:spacing w:line="258" w:lineRule="auto"/>
                              <w:jc w:val="center"/>
                              <w:textDirection w:val="btLr"/>
                            </w:pPr>
                            <w:r>
                              <w:rPr>
                                <w:rFonts w:ascii="Times New Roman" w:eastAsia="Times New Roman" w:hAnsi="Times New Roman" w:cs="Times New Roman"/>
                                <w:color w:val="000000"/>
                              </w:rPr>
                              <w:t>c</w:t>
                            </w:r>
                          </w:p>
                        </w:txbxContent>
                      </wps:txbx>
                      <wps:bodyPr spcFirstLastPara="1" wrap="square" lIns="91425" tIns="45700" rIns="91425" bIns="45700" anchor="ctr" anchorCtr="0">
                        <a:noAutofit/>
                      </wps:bodyPr>
                    </wps:wsp>
                  </a:graphicData>
                </a:graphic>
              </wp:anchor>
            </w:drawing>
          </mc:Choice>
          <mc:Fallback>
            <w:pict>
              <v:rect w14:anchorId="00C89AFB" id="Rectangle 108" o:spid="_x0000_s1030" style="position:absolute;left:0;text-align:left;margin-left:330pt;margin-top:6pt;width:33.15pt;height:27.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ROVvQEAAGIDAAAOAAAAZHJzL2Uyb0RvYy54bWysU9uO0zAQfUfiHyy/01xISzdqukKsipBW&#10;UGnhA1zHbiwltplxm/TvGbvdbYG31b44c9OZc2Ymq/tp6NlRARpnG17Mcs6Ula41dt/wXz83H5ac&#10;YRC2Fb2zquEnhfx+/f7davS1Kl3n+lYBIxCL9egb3oXg6yxD2alB4Mx5ZSmpHQwikAv7rAUxEvrQ&#10;Z2WeL7LRQevBSYVI0Ydzkq8TvtZKhh9aowqsbzhxC+mF9O7im61Xot6D8J2RFxriFSwGYSw1fYF6&#10;EEGwA5j/oAYjwaHTYSbdkDmtjVRJA6kp8n/UPHXCq6SFhoP+ZUz4drDy+/HJb4HGMHqskcyoYtIw&#10;xC/xY1PD50WVlwsa36nhHxf5cj6/DE5NgUkqqIqiWlJexoKqvMtTPrsCecDwVbmBRaPhQHtJ4xLH&#10;RwzUnEqfS2Jf6zam79NuevtXgApjJLuyjVaYdhMzLRGJC42RnWtPW2Do5cZQy0eBYSuAVltwNtK6&#10;G46/DwIUZ/03S/O8K6pyTveRnGr+iRQwuM3sbjPCys7RFckAnJ2dLyFd1Zns50Nw2iRhVzIX1rTI&#10;pPdydPFSbv1Udf011n8AAAD//wMAUEsDBBQABgAIAAAAIQD/ybdm3QAAAAkBAAAPAAAAZHJzL2Rv&#10;d25yZXYueG1sTI/BTsMwEETvSPyDtUhcELWbQkpDnAqQuHCjjdSrG2+TCHsdxU4b/p7lBKfV6I1m&#10;Z8rt7J044xj7QBqWCwUCqQm2p1ZDvX+/fwIRkyFrXCDU8I0RttX1VWkKGy70ieddagWHUCyMhi6l&#10;oZAyNh16ExdhQGJ2CqM3ieXYSjuaC4d7JzOlculNT/yhMwO+ddh87SavIRz6w0N0m9Nmtaz38vVu&#10;Uh81an17M788g0g4pz8z/Nbn6lBxp2OYyEbhNOS54i2JQcaXDessX4E4Mlk/gqxK+X9B9QMAAP//&#10;AwBQSwECLQAUAAYACAAAACEAtoM4kv4AAADhAQAAEwAAAAAAAAAAAAAAAAAAAAAAW0NvbnRlbnRf&#10;VHlwZXNdLnhtbFBLAQItABQABgAIAAAAIQA4/SH/1gAAAJQBAAALAAAAAAAAAAAAAAAAAC8BAABf&#10;cmVscy8ucmVsc1BLAQItABQABgAIAAAAIQDyaROVvQEAAGIDAAAOAAAAAAAAAAAAAAAAAC4CAABk&#10;cnMvZTJvRG9jLnhtbFBLAQItABQABgAIAAAAIQD/ybdm3QAAAAkBAAAPAAAAAAAAAAAAAAAAABcE&#10;AABkcnMvZG93bnJldi54bWxQSwUGAAAAAAQABADzAAAAIQUAAAAA&#10;" filled="f" stroked="f">
                <v:textbox inset="2.53958mm,1.2694mm,2.53958mm,1.2694mm">
                  <w:txbxContent>
                    <w:p w14:paraId="513FD7FA" w14:textId="77777777" w:rsidR="0014506D" w:rsidRDefault="0014506D" w:rsidP="0014506D">
                      <w:pPr>
                        <w:spacing w:line="258" w:lineRule="auto"/>
                        <w:jc w:val="center"/>
                        <w:textDirection w:val="btLr"/>
                      </w:pPr>
                      <w:r>
                        <w:rPr>
                          <w:rFonts w:ascii="Times New Roman" w:eastAsia="Times New Roman" w:hAnsi="Times New Roman" w:cs="Times New Roman"/>
                          <w:color w:val="000000"/>
                        </w:rPr>
                        <w:t>c</w:t>
                      </w:r>
                    </w:p>
                  </w:txbxContent>
                </v:textbox>
              </v:rect>
            </w:pict>
          </mc:Fallback>
        </mc:AlternateContent>
      </w:r>
    </w:p>
    <w:p w14:paraId="2AE6193C" w14:textId="77777777" w:rsidR="0014506D" w:rsidRDefault="0014506D" w:rsidP="0014506D">
      <w:pPr>
        <w:spacing w:after="0" w:line="240" w:lineRule="auto"/>
        <w:jc w:val="center"/>
        <w:rPr>
          <w:rFonts w:ascii="Times New Roman" w:eastAsia="Times New Roman" w:hAnsi="Times New Roman" w:cs="Times New Roman"/>
          <w:sz w:val="24"/>
          <w:szCs w:val="24"/>
        </w:rPr>
      </w:pPr>
    </w:p>
    <w:p w14:paraId="5862EE48" w14:textId="2DB1BFBC" w:rsidR="0014506D" w:rsidRDefault="0014506D" w:rsidP="005D1144">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Fig</w:t>
      </w:r>
      <w:r w:rsidR="006C136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SI </w:t>
      </w:r>
      <w:r w:rsidR="005D1144">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NOAA HYSPLIT MODEL seven days Backward trajectory GDAS Meteorological Data for Mumbai a). 5-11-2021, b). 15.11.2021 and c). 29.11.2021</w:t>
      </w:r>
    </w:p>
    <w:p w14:paraId="665C380A" w14:textId="77777777" w:rsidR="0014506D" w:rsidRDefault="0014506D" w:rsidP="0014506D">
      <w:r>
        <w:rPr>
          <w:noProof/>
        </w:rPr>
        <w:drawing>
          <wp:inline distT="0" distB="0" distL="0" distR="0" wp14:anchorId="0FAB9427" wp14:editId="445F47E4">
            <wp:extent cx="2767013" cy="2001472"/>
            <wp:effectExtent l="0" t="0" r="0" b="0"/>
            <wp:docPr id="11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2"/>
                    <a:srcRect l="969" t="7052" r="4316"/>
                    <a:stretch>
                      <a:fillRect/>
                    </a:stretch>
                  </pic:blipFill>
                  <pic:spPr>
                    <a:xfrm>
                      <a:off x="0" y="0"/>
                      <a:ext cx="2767013" cy="2001472"/>
                    </a:xfrm>
                    <a:prstGeom prst="rect">
                      <a:avLst/>
                    </a:prstGeom>
                    <a:ln/>
                  </pic:spPr>
                </pic:pic>
              </a:graphicData>
            </a:graphic>
          </wp:inline>
        </w:drawing>
      </w:r>
      <w:r>
        <w:rPr>
          <w:noProof/>
        </w:rPr>
        <w:drawing>
          <wp:inline distT="0" distB="0" distL="0" distR="0" wp14:anchorId="1655BC00" wp14:editId="721A16C7">
            <wp:extent cx="2824163" cy="2041226"/>
            <wp:effectExtent l="0" t="0" r="0" b="0"/>
            <wp:docPr id="11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3"/>
                    <a:srcRect l="723" t="7732" r="5242"/>
                    <a:stretch>
                      <a:fillRect/>
                    </a:stretch>
                  </pic:blipFill>
                  <pic:spPr>
                    <a:xfrm>
                      <a:off x="0" y="0"/>
                      <a:ext cx="2824163" cy="2041226"/>
                    </a:xfrm>
                    <a:prstGeom prst="rect">
                      <a:avLst/>
                    </a:prstGeom>
                    <a:ln/>
                  </pic:spPr>
                </pic:pic>
              </a:graphicData>
            </a:graphic>
          </wp:inline>
        </w:drawing>
      </w:r>
    </w:p>
    <w:p w14:paraId="7ADEC972" w14:textId="77777777" w:rsidR="0014506D" w:rsidRDefault="0014506D" w:rsidP="0014506D">
      <w:pPr>
        <w:keepNext/>
        <w:jc w:val="center"/>
      </w:pPr>
      <w:r>
        <w:rPr>
          <w:noProof/>
        </w:rPr>
        <w:drawing>
          <wp:inline distT="0" distB="0" distL="0" distR="0" wp14:anchorId="6DE8B4C5" wp14:editId="136BD9BD">
            <wp:extent cx="2850689" cy="2066935"/>
            <wp:effectExtent l="0" t="0" r="0" b="0"/>
            <wp:docPr id="11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4"/>
                    <a:srcRect l="900" t="8196" r="5689"/>
                    <a:stretch>
                      <a:fillRect/>
                    </a:stretch>
                  </pic:blipFill>
                  <pic:spPr>
                    <a:xfrm>
                      <a:off x="0" y="0"/>
                      <a:ext cx="2850689" cy="2066935"/>
                    </a:xfrm>
                    <a:prstGeom prst="rect">
                      <a:avLst/>
                    </a:prstGeom>
                    <a:ln/>
                  </pic:spPr>
                </pic:pic>
              </a:graphicData>
            </a:graphic>
          </wp:inline>
        </w:drawing>
      </w:r>
    </w:p>
    <w:p w14:paraId="4FE3173E" w14:textId="3405F39B" w:rsidR="0014506D" w:rsidRDefault="0014506D" w:rsidP="0014506D">
      <w:pPr>
        <w:pBdr>
          <w:top w:val="nil"/>
          <w:left w:val="nil"/>
          <w:bottom w:val="nil"/>
          <w:right w:val="nil"/>
          <w:between w:val="nil"/>
        </w:pBdr>
        <w:spacing w:after="20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Fig</w:t>
      </w:r>
      <w:r w:rsidR="006C136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S</w:t>
      </w:r>
      <w:r w:rsidR="006C1364">
        <w:rPr>
          <w:rFonts w:ascii="Times New Roman" w:eastAsia="Times New Roman" w:hAnsi="Times New Roman" w:cs="Times New Roman"/>
          <w:color w:val="000000"/>
          <w:sz w:val="24"/>
          <w:szCs w:val="24"/>
        </w:rPr>
        <w:t>I</w:t>
      </w:r>
      <w:r>
        <w:rPr>
          <w:rFonts w:ascii="Times New Roman" w:eastAsia="Times New Roman" w:hAnsi="Times New Roman" w:cs="Times New Roman"/>
          <w:color w:val="000000"/>
          <w:sz w:val="24"/>
          <w:szCs w:val="24"/>
        </w:rPr>
        <w:t xml:space="preserve"> </w:t>
      </w:r>
      <w:r w:rsidR="005D1144">
        <w:rPr>
          <w:rFonts w:ascii="Times New Roman" w:eastAsia="Times New Roman" w:hAnsi="Times New Roman" w:cs="Times New Roman"/>
          <w:sz w:val="24"/>
          <w:szCs w:val="24"/>
        </w:rPr>
        <w:t>3</w:t>
      </w:r>
      <w:r>
        <w:rPr>
          <w:rFonts w:ascii="Times New Roman" w:eastAsia="Times New Roman" w:hAnsi="Times New Roman" w:cs="Times New Roman"/>
          <w:color w:val="000000"/>
          <w:sz w:val="24"/>
          <w:szCs w:val="24"/>
        </w:rPr>
        <w:t xml:space="preserve"> The log-normal distribution of particle number concentration at different sampling locations</w:t>
      </w:r>
    </w:p>
    <w:p w14:paraId="28DDC08A" w14:textId="5A306980" w:rsidR="0014506D" w:rsidRDefault="0014506D" w:rsidP="0014506D">
      <w:pPr>
        <w:keepNext/>
        <w:spacing w:after="200" w:line="276" w:lineRule="auto"/>
        <w:jc w:val="center"/>
        <w:rPr>
          <w:rFonts w:ascii="Times New Roman" w:eastAsia="Times New Roman" w:hAnsi="Times New Roman" w:cs="Times New Roman"/>
          <w:sz w:val="24"/>
          <w:szCs w:val="24"/>
        </w:rPr>
      </w:pPr>
      <w:bookmarkStart w:id="2" w:name="_heading=h.gjdgxs" w:colFirst="0" w:colLast="0"/>
      <w:bookmarkEnd w:id="2"/>
      <w:r>
        <w:rPr>
          <w:rFonts w:ascii="Times New Roman" w:eastAsia="Times New Roman" w:hAnsi="Times New Roman" w:cs="Times New Roman"/>
          <w:sz w:val="24"/>
          <w:szCs w:val="24"/>
        </w:rPr>
        <w:lastRenderedPageBreak/>
        <w:t xml:space="preserve">Table SI </w:t>
      </w:r>
      <w:r w:rsidR="003A15B8">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PM</w:t>
      </w:r>
      <w:r>
        <w:rPr>
          <w:rFonts w:ascii="Times New Roman" w:eastAsia="Times New Roman" w:hAnsi="Times New Roman" w:cs="Times New Roman"/>
          <w:sz w:val="24"/>
          <w:szCs w:val="24"/>
          <w:vertAlign w:val="subscript"/>
        </w:rPr>
        <w:t>10</w:t>
      </w:r>
      <w:r>
        <w:rPr>
          <w:rFonts w:ascii="Times New Roman" w:eastAsia="Times New Roman" w:hAnsi="Times New Roman" w:cs="Times New Roman"/>
          <w:sz w:val="24"/>
          <w:szCs w:val="24"/>
        </w:rPr>
        <w:t>, PM</w:t>
      </w:r>
      <w:r>
        <w:rPr>
          <w:rFonts w:ascii="Times New Roman" w:eastAsia="Times New Roman" w:hAnsi="Times New Roman" w:cs="Times New Roman"/>
          <w:sz w:val="24"/>
          <w:szCs w:val="24"/>
          <w:vertAlign w:val="subscript"/>
        </w:rPr>
        <w:t xml:space="preserve">2.5, </w:t>
      </w:r>
      <w:r>
        <w:rPr>
          <w:rFonts w:ascii="Times New Roman" w:eastAsia="Times New Roman" w:hAnsi="Times New Roman" w:cs="Times New Roman"/>
          <w:sz w:val="24"/>
          <w:szCs w:val="24"/>
        </w:rPr>
        <w:t>and PM</w:t>
      </w:r>
      <w:r>
        <w:rPr>
          <w:rFonts w:ascii="Times New Roman" w:eastAsia="Times New Roman" w:hAnsi="Times New Roman" w:cs="Times New Roman"/>
          <w:sz w:val="24"/>
          <w:szCs w:val="24"/>
          <w:vertAlign w:val="subscript"/>
        </w:rPr>
        <w:t>1</w:t>
      </w:r>
      <w:r>
        <w:rPr>
          <w:rFonts w:ascii="Times New Roman" w:eastAsia="Times New Roman" w:hAnsi="Times New Roman" w:cs="Times New Roman"/>
          <w:sz w:val="24"/>
          <w:szCs w:val="24"/>
        </w:rPr>
        <w:t xml:space="preserve"> concentration</w:t>
      </w:r>
      <w:r w:rsidR="003B19D4">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at different locations</w:t>
      </w:r>
    </w:p>
    <w:tbl>
      <w:tblPr>
        <w:tblStyle w:val="a2"/>
        <w:tblW w:w="103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559"/>
        <w:gridCol w:w="1276"/>
        <w:gridCol w:w="992"/>
        <w:gridCol w:w="1134"/>
        <w:gridCol w:w="2844"/>
      </w:tblGrid>
      <w:tr w:rsidR="0014506D" w14:paraId="18F4EB49" w14:textId="77777777" w:rsidTr="00FF2DAC">
        <w:trPr>
          <w:trHeight w:val="706"/>
          <w:jc w:val="center"/>
        </w:trPr>
        <w:tc>
          <w:tcPr>
            <w:tcW w:w="2547" w:type="dxa"/>
            <w:vAlign w:val="center"/>
          </w:tcPr>
          <w:p w14:paraId="5E303922"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Location</w:t>
            </w:r>
          </w:p>
        </w:tc>
        <w:tc>
          <w:tcPr>
            <w:tcW w:w="1559" w:type="dxa"/>
          </w:tcPr>
          <w:p w14:paraId="7B0CC6BB"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Location Type</w:t>
            </w:r>
          </w:p>
        </w:tc>
        <w:tc>
          <w:tcPr>
            <w:tcW w:w="1276" w:type="dxa"/>
            <w:vAlign w:val="center"/>
          </w:tcPr>
          <w:p w14:paraId="3430FE07" w14:textId="77777777" w:rsidR="0014506D" w:rsidRDefault="0014506D" w:rsidP="005F3A66">
            <w:pPr>
              <w:spacing w:line="276" w:lineRule="auto"/>
              <w:jc w:val="center"/>
              <w:rPr>
                <w:rFonts w:ascii="Times New Roman" w:eastAsia="Times New Roman" w:hAnsi="Times New Roman" w:cs="Times New Roman"/>
                <w:b/>
                <w:sz w:val="24"/>
                <w:szCs w:val="24"/>
                <w:vertAlign w:val="subscript"/>
              </w:rPr>
            </w:pPr>
            <w:r>
              <w:rPr>
                <w:rFonts w:ascii="Times New Roman" w:eastAsia="Times New Roman" w:hAnsi="Times New Roman" w:cs="Times New Roman"/>
                <w:b/>
                <w:sz w:val="24"/>
                <w:szCs w:val="24"/>
              </w:rPr>
              <w:t>PM</w:t>
            </w:r>
            <w:r>
              <w:rPr>
                <w:rFonts w:ascii="Times New Roman" w:eastAsia="Times New Roman" w:hAnsi="Times New Roman" w:cs="Times New Roman"/>
                <w:b/>
                <w:sz w:val="24"/>
                <w:szCs w:val="24"/>
                <w:vertAlign w:val="subscript"/>
              </w:rPr>
              <w:t>10</w:t>
            </w:r>
          </w:p>
          <w:p w14:paraId="568E2364"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roofErr w:type="spellStart"/>
            <w:r>
              <w:rPr>
                <w:rFonts w:ascii="Noto Sans" w:eastAsia="Noto Sans" w:hAnsi="Noto Sans" w:cs="Noto Sans"/>
                <w:b/>
                <w:sz w:val="24"/>
                <w:szCs w:val="24"/>
              </w:rPr>
              <w:t>μ</w:t>
            </w:r>
            <w:r>
              <w:rPr>
                <w:rFonts w:ascii="Times New Roman" w:eastAsia="Times New Roman" w:hAnsi="Times New Roman" w:cs="Times New Roman"/>
                <w:b/>
                <w:sz w:val="24"/>
                <w:szCs w:val="24"/>
              </w:rPr>
              <w:t>g</w:t>
            </w:r>
            <w:proofErr w:type="spellEnd"/>
            <w:r>
              <w:rPr>
                <w:rFonts w:ascii="Times New Roman" w:eastAsia="Times New Roman" w:hAnsi="Times New Roman" w:cs="Times New Roman"/>
                <w:b/>
                <w:sz w:val="24"/>
                <w:szCs w:val="24"/>
              </w:rPr>
              <w:t>/m</w:t>
            </w:r>
            <w:r>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w:t>
            </w:r>
          </w:p>
        </w:tc>
        <w:tc>
          <w:tcPr>
            <w:tcW w:w="992" w:type="dxa"/>
            <w:vAlign w:val="center"/>
          </w:tcPr>
          <w:p w14:paraId="25F08CCB" w14:textId="77777777" w:rsidR="0014506D" w:rsidRDefault="0014506D" w:rsidP="005F3A66">
            <w:pPr>
              <w:spacing w:line="276" w:lineRule="auto"/>
              <w:jc w:val="center"/>
              <w:rPr>
                <w:rFonts w:ascii="Times New Roman" w:eastAsia="Times New Roman" w:hAnsi="Times New Roman" w:cs="Times New Roman"/>
                <w:b/>
                <w:sz w:val="24"/>
                <w:szCs w:val="24"/>
                <w:vertAlign w:val="subscript"/>
              </w:rPr>
            </w:pPr>
            <w:r>
              <w:rPr>
                <w:rFonts w:ascii="Times New Roman" w:eastAsia="Times New Roman" w:hAnsi="Times New Roman" w:cs="Times New Roman"/>
                <w:b/>
                <w:sz w:val="24"/>
                <w:szCs w:val="24"/>
              </w:rPr>
              <w:t>PM</w:t>
            </w:r>
            <w:r>
              <w:rPr>
                <w:rFonts w:ascii="Times New Roman" w:eastAsia="Times New Roman" w:hAnsi="Times New Roman" w:cs="Times New Roman"/>
                <w:b/>
                <w:sz w:val="24"/>
                <w:szCs w:val="24"/>
                <w:vertAlign w:val="subscript"/>
              </w:rPr>
              <w:t>2.5</w:t>
            </w:r>
          </w:p>
          <w:p w14:paraId="18561CF1"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roofErr w:type="spellStart"/>
            <w:r>
              <w:rPr>
                <w:rFonts w:ascii="Noto Sans" w:eastAsia="Noto Sans" w:hAnsi="Noto Sans" w:cs="Noto Sans"/>
                <w:b/>
                <w:sz w:val="24"/>
                <w:szCs w:val="24"/>
              </w:rPr>
              <w:t>μ</w:t>
            </w:r>
            <w:r>
              <w:rPr>
                <w:rFonts w:ascii="Times New Roman" w:eastAsia="Times New Roman" w:hAnsi="Times New Roman" w:cs="Times New Roman"/>
                <w:b/>
                <w:sz w:val="24"/>
                <w:szCs w:val="24"/>
              </w:rPr>
              <w:t>g</w:t>
            </w:r>
            <w:proofErr w:type="spellEnd"/>
            <w:r>
              <w:rPr>
                <w:rFonts w:ascii="Times New Roman" w:eastAsia="Times New Roman" w:hAnsi="Times New Roman" w:cs="Times New Roman"/>
                <w:b/>
                <w:sz w:val="24"/>
                <w:szCs w:val="24"/>
              </w:rPr>
              <w:t>/m</w:t>
            </w:r>
            <w:r>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w:t>
            </w:r>
          </w:p>
        </w:tc>
        <w:tc>
          <w:tcPr>
            <w:tcW w:w="1134" w:type="dxa"/>
            <w:vAlign w:val="center"/>
          </w:tcPr>
          <w:p w14:paraId="3AA1112F" w14:textId="77777777" w:rsidR="0014506D" w:rsidRDefault="0014506D" w:rsidP="005F3A66">
            <w:pPr>
              <w:spacing w:line="276" w:lineRule="auto"/>
              <w:jc w:val="center"/>
              <w:rPr>
                <w:rFonts w:ascii="Times New Roman" w:eastAsia="Times New Roman" w:hAnsi="Times New Roman" w:cs="Times New Roman"/>
                <w:b/>
                <w:sz w:val="24"/>
                <w:szCs w:val="24"/>
                <w:vertAlign w:val="subscript"/>
              </w:rPr>
            </w:pPr>
            <w:r>
              <w:rPr>
                <w:rFonts w:ascii="Times New Roman" w:eastAsia="Times New Roman" w:hAnsi="Times New Roman" w:cs="Times New Roman"/>
                <w:b/>
                <w:sz w:val="24"/>
                <w:szCs w:val="24"/>
              </w:rPr>
              <w:t>PM</w:t>
            </w:r>
            <w:r>
              <w:rPr>
                <w:rFonts w:ascii="Times New Roman" w:eastAsia="Times New Roman" w:hAnsi="Times New Roman" w:cs="Times New Roman"/>
                <w:b/>
                <w:sz w:val="24"/>
                <w:szCs w:val="24"/>
                <w:vertAlign w:val="subscript"/>
              </w:rPr>
              <w:t>1</w:t>
            </w:r>
          </w:p>
          <w:p w14:paraId="501D046D"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roofErr w:type="spellStart"/>
            <w:r>
              <w:rPr>
                <w:rFonts w:ascii="Noto Sans" w:eastAsia="Noto Sans" w:hAnsi="Noto Sans" w:cs="Noto Sans"/>
                <w:b/>
                <w:sz w:val="24"/>
                <w:szCs w:val="24"/>
              </w:rPr>
              <w:t>μ</w:t>
            </w:r>
            <w:r>
              <w:rPr>
                <w:rFonts w:ascii="Times New Roman" w:eastAsia="Times New Roman" w:hAnsi="Times New Roman" w:cs="Times New Roman"/>
                <w:b/>
                <w:sz w:val="24"/>
                <w:szCs w:val="24"/>
              </w:rPr>
              <w:t>g</w:t>
            </w:r>
            <w:proofErr w:type="spellEnd"/>
            <w:r>
              <w:rPr>
                <w:rFonts w:ascii="Times New Roman" w:eastAsia="Times New Roman" w:hAnsi="Times New Roman" w:cs="Times New Roman"/>
                <w:b/>
                <w:sz w:val="24"/>
                <w:szCs w:val="24"/>
              </w:rPr>
              <w:t>/m</w:t>
            </w:r>
            <w:r>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w:t>
            </w:r>
          </w:p>
        </w:tc>
        <w:tc>
          <w:tcPr>
            <w:tcW w:w="2844" w:type="dxa"/>
            <w:vAlign w:val="center"/>
          </w:tcPr>
          <w:p w14:paraId="043FA6F6"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References</w:t>
            </w:r>
          </w:p>
        </w:tc>
      </w:tr>
      <w:tr w:rsidR="0014506D" w14:paraId="26F53E5D" w14:textId="77777777" w:rsidTr="00FF2DAC">
        <w:trPr>
          <w:jc w:val="center"/>
        </w:trPr>
        <w:tc>
          <w:tcPr>
            <w:tcW w:w="2547" w:type="dxa"/>
            <w:vAlign w:val="center"/>
          </w:tcPr>
          <w:p w14:paraId="06F300AD"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Hostel Premise (Mumbai, India)</w:t>
            </w:r>
          </w:p>
        </w:tc>
        <w:tc>
          <w:tcPr>
            <w:tcW w:w="1559" w:type="dxa"/>
          </w:tcPr>
          <w:p w14:paraId="336DA652"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Residential</w:t>
            </w:r>
          </w:p>
        </w:tc>
        <w:tc>
          <w:tcPr>
            <w:tcW w:w="1276" w:type="dxa"/>
            <w:vAlign w:val="center"/>
          </w:tcPr>
          <w:p w14:paraId="1092577B"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161</w:t>
            </w:r>
          </w:p>
        </w:tc>
        <w:tc>
          <w:tcPr>
            <w:tcW w:w="992" w:type="dxa"/>
            <w:vAlign w:val="center"/>
          </w:tcPr>
          <w:p w14:paraId="5932CC4B"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126</w:t>
            </w:r>
          </w:p>
        </w:tc>
        <w:tc>
          <w:tcPr>
            <w:tcW w:w="1134" w:type="dxa"/>
            <w:vAlign w:val="center"/>
          </w:tcPr>
          <w:p w14:paraId="0CD44572"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c>
          <w:tcPr>
            <w:tcW w:w="2844" w:type="dxa"/>
            <w:vAlign w:val="center"/>
          </w:tcPr>
          <w:p w14:paraId="4678E4FB"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This study</w:t>
            </w:r>
          </w:p>
        </w:tc>
      </w:tr>
      <w:tr w:rsidR="0014506D" w14:paraId="29DD06E5" w14:textId="77777777" w:rsidTr="00FF2DAC">
        <w:trPr>
          <w:jc w:val="center"/>
        </w:trPr>
        <w:tc>
          <w:tcPr>
            <w:tcW w:w="2547" w:type="dxa"/>
            <w:vAlign w:val="center"/>
          </w:tcPr>
          <w:p w14:paraId="29662CB6"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YP-Gate (Mumbai, India)</w:t>
            </w:r>
          </w:p>
        </w:tc>
        <w:tc>
          <w:tcPr>
            <w:tcW w:w="1559" w:type="dxa"/>
          </w:tcPr>
          <w:p w14:paraId="4FCDFB10"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Traffic</w:t>
            </w:r>
          </w:p>
        </w:tc>
        <w:tc>
          <w:tcPr>
            <w:tcW w:w="1276" w:type="dxa"/>
            <w:vAlign w:val="center"/>
          </w:tcPr>
          <w:p w14:paraId="2C257074"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w:t>
            </w:r>
          </w:p>
        </w:tc>
        <w:tc>
          <w:tcPr>
            <w:tcW w:w="992" w:type="dxa"/>
            <w:vAlign w:val="center"/>
          </w:tcPr>
          <w:p w14:paraId="3357CB3D"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180</w:t>
            </w:r>
          </w:p>
        </w:tc>
        <w:tc>
          <w:tcPr>
            <w:tcW w:w="1134" w:type="dxa"/>
            <w:vAlign w:val="center"/>
          </w:tcPr>
          <w:p w14:paraId="4A1CA65F"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112</w:t>
            </w:r>
          </w:p>
        </w:tc>
        <w:tc>
          <w:tcPr>
            <w:tcW w:w="2844" w:type="dxa"/>
            <w:vAlign w:val="center"/>
          </w:tcPr>
          <w:p w14:paraId="482761BA"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This study</w:t>
            </w:r>
          </w:p>
        </w:tc>
      </w:tr>
      <w:tr w:rsidR="0014506D" w14:paraId="6622AE33" w14:textId="77777777" w:rsidTr="00FF2DAC">
        <w:trPr>
          <w:trHeight w:val="230"/>
          <w:jc w:val="center"/>
        </w:trPr>
        <w:tc>
          <w:tcPr>
            <w:tcW w:w="2547" w:type="dxa"/>
            <w:vAlign w:val="center"/>
          </w:tcPr>
          <w:p w14:paraId="1F5E4F5E" w14:textId="77777777" w:rsidR="0014506D" w:rsidRDefault="0014506D" w:rsidP="005F3A66">
            <w:pPr>
              <w:spacing w:line="276"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Sakinaka</w:t>
            </w:r>
            <w:proofErr w:type="spellEnd"/>
            <w:r>
              <w:rPr>
                <w:rFonts w:ascii="Times New Roman" w:eastAsia="Times New Roman" w:hAnsi="Times New Roman" w:cs="Times New Roman"/>
                <w:b/>
                <w:sz w:val="24"/>
                <w:szCs w:val="24"/>
              </w:rPr>
              <w:t xml:space="preserve"> (Mumbai, India)</w:t>
            </w:r>
          </w:p>
        </w:tc>
        <w:tc>
          <w:tcPr>
            <w:tcW w:w="1559" w:type="dxa"/>
          </w:tcPr>
          <w:p w14:paraId="00178A44"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Traffic</w:t>
            </w:r>
          </w:p>
        </w:tc>
        <w:tc>
          <w:tcPr>
            <w:tcW w:w="1276" w:type="dxa"/>
            <w:vAlign w:val="center"/>
          </w:tcPr>
          <w:p w14:paraId="22200043"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424</w:t>
            </w:r>
          </w:p>
        </w:tc>
        <w:tc>
          <w:tcPr>
            <w:tcW w:w="992" w:type="dxa"/>
            <w:vAlign w:val="center"/>
          </w:tcPr>
          <w:p w14:paraId="40B6CE9A"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w:t>
            </w:r>
          </w:p>
        </w:tc>
        <w:tc>
          <w:tcPr>
            <w:tcW w:w="1134" w:type="dxa"/>
            <w:vAlign w:val="center"/>
          </w:tcPr>
          <w:p w14:paraId="4020BD44"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c>
          <w:tcPr>
            <w:tcW w:w="2844" w:type="dxa"/>
            <w:vAlign w:val="center"/>
          </w:tcPr>
          <w:p w14:paraId="4309B2F1"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This study</w:t>
            </w:r>
          </w:p>
        </w:tc>
      </w:tr>
      <w:tr w:rsidR="0014506D" w14:paraId="440DC876" w14:textId="77777777" w:rsidTr="00FF2DAC">
        <w:trPr>
          <w:trHeight w:val="230"/>
          <w:jc w:val="center"/>
        </w:trPr>
        <w:tc>
          <w:tcPr>
            <w:tcW w:w="2547" w:type="dxa"/>
            <w:vAlign w:val="center"/>
          </w:tcPr>
          <w:p w14:paraId="5B81D4E2" w14:textId="77777777" w:rsidR="0014506D" w:rsidRPr="00AC646E" w:rsidRDefault="0014506D" w:rsidP="005F3A66">
            <w:pPr>
              <w:spacing w:line="276" w:lineRule="auto"/>
              <w:jc w:val="center"/>
              <w:rPr>
                <w:rFonts w:ascii="Times New Roman" w:eastAsia="Times New Roman" w:hAnsi="Times New Roman" w:cs="Times New Roman"/>
                <w:b/>
                <w:sz w:val="24"/>
                <w:szCs w:val="24"/>
              </w:rPr>
            </w:pPr>
            <w:r w:rsidRPr="00AC646E">
              <w:rPr>
                <w:rFonts w:ascii="Times New Roman" w:eastAsia="Times New Roman" w:hAnsi="Times New Roman" w:cs="Times New Roman"/>
                <w:b/>
                <w:sz w:val="24"/>
                <w:szCs w:val="24"/>
              </w:rPr>
              <w:t>Delhi, India</w:t>
            </w:r>
          </w:p>
        </w:tc>
        <w:tc>
          <w:tcPr>
            <w:tcW w:w="1559" w:type="dxa"/>
          </w:tcPr>
          <w:p w14:paraId="1ED0D3B2" w14:textId="77777777" w:rsidR="0014506D" w:rsidRPr="00AC646E" w:rsidRDefault="0014506D" w:rsidP="005F3A66">
            <w:pPr>
              <w:spacing w:line="276" w:lineRule="auto"/>
              <w:jc w:val="center"/>
              <w:rPr>
                <w:rFonts w:ascii="Times New Roman" w:eastAsia="Times New Roman" w:hAnsi="Times New Roman" w:cs="Times New Roman"/>
                <w:sz w:val="24"/>
                <w:szCs w:val="24"/>
              </w:rPr>
            </w:pPr>
            <w:r w:rsidRPr="00AC646E">
              <w:rPr>
                <w:rFonts w:ascii="Times New Roman" w:eastAsia="Times New Roman" w:hAnsi="Times New Roman" w:cs="Times New Roman"/>
                <w:sz w:val="24"/>
                <w:szCs w:val="24"/>
              </w:rPr>
              <w:t>Traffic</w:t>
            </w:r>
          </w:p>
        </w:tc>
        <w:tc>
          <w:tcPr>
            <w:tcW w:w="1276" w:type="dxa"/>
            <w:vAlign w:val="center"/>
          </w:tcPr>
          <w:p w14:paraId="4C56153A" w14:textId="77777777" w:rsidR="0014506D" w:rsidRPr="00AC646E" w:rsidRDefault="0014506D" w:rsidP="005F3A66">
            <w:pPr>
              <w:spacing w:line="276" w:lineRule="auto"/>
              <w:jc w:val="center"/>
              <w:rPr>
                <w:rFonts w:ascii="Times New Roman" w:eastAsia="Times New Roman" w:hAnsi="Times New Roman" w:cs="Times New Roman"/>
                <w:sz w:val="24"/>
                <w:szCs w:val="24"/>
              </w:rPr>
            </w:pPr>
            <w:r w:rsidRPr="00AC646E">
              <w:rPr>
                <w:rFonts w:ascii="Times New Roman" w:hAnsi="Times New Roman" w:cs="Times New Roman"/>
                <w:color w:val="333333"/>
                <w:sz w:val="24"/>
                <w:szCs w:val="24"/>
                <w:shd w:val="clear" w:color="auto" w:fill="FCFCFC"/>
              </w:rPr>
              <w:t>568</w:t>
            </w:r>
          </w:p>
        </w:tc>
        <w:tc>
          <w:tcPr>
            <w:tcW w:w="992" w:type="dxa"/>
            <w:vAlign w:val="center"/>
          </w:tcPr>
          <w:p w14:paraId="1D792970" w14:textId="77777777" w:rsidR="0014506D" w:rsidRPr="00AC646E" w:rsidRDefault="0014506D" w:rsidP="005F3A66">
            <w:pPr>
              <w:spacing w:line="276" w:lineRule="auto"/>
              <w:jc w:val="center"/>
              <w:rPr>
                <w:rFonts w:ascii="Times New Roman" w:eastAsia="Times New Roman" w:hAnsi="Times New Roman" w:cs="Times New Roman"/>
                <w:sz w:val="24"/>
                <w:szCs w:val="24"/>
              </w:rPr>
            </w:pPr>
            <w:r w:rsidRPr="00AC646E">
              <w:rPr>
                <w:rFonts w:ascii="Times New Roman" w:hAnsi="Times New Roman" w:cs="Times New Roman"/>
                <w:color w:val="333333"/>
                <w:sz w:val="24"/>
                <w:szCs w:val="24"/>
                <w:shd w:val="clear" w:color="auto" w:fill="FCFCFC"/>
              </w:rPr>
              <w:t>289</w:t>
            </w:r>
          </w:p>
        </w:tc>
        <w:tc>
          <w:tcPr>
            <w:tcW w:w="1134" w:type="dxa"/>
            <w:vAlign w:val="center"/>
          </w:tcPr>
          <w:p w14:paraId="4C377F95" w14:textId="77777777" w:rsidR="0014506D" w:rsidRPr="00AC646E" w:rsidRDefault="0014506D" w:rsidP="005F3A66">
            <w:pPr>
              <w:spacing w:line="276" w:lineRule="auto"/>
              <w:jc w:val="center"/>
              <w:rPr>
                <w:rFonts w:ascii="Times New Roman" w:eastAsia="Times New Roman" w:hAnsi="Times New Roman" w:cs="Times New Roman"/>
                <w:sz w:val="24"/>
                <w:szCs w:val="24"/>
              </w:rPr>
            </w:pPr>
            <w:r w:rsidRPr="00AC646E">
              <w:rPr>
                <w:rFonts w:ascii="Times New Roman" w:hAnsi="Times New Roman" w:cs="Times New Roman"/>
                <w:color w:val="333333"/>
                <w:sz w:val="24"/>
                <w:szCs w:val="24"/>
                <w:shd w:val="clear" w:color="auto" w:fill="FCFCFC"/>
              </w:rPr>
              <w:t>204</w:t>
            </w:r>
          </w:p>
        </w:tc>
        <w:tc>
          <w:tcPr>
            <w:tcW w:w="2844" w:type="dxa"/>
            <w:vAlign w:val="center"/>
          </w:tcPr>
          <w:p w14:paraId="0826656D" w14:textId="77777777" w:rsidR="0014506D" w:rsidRPr="00AC646E" w:rsidRDefault="0014506D" w:rsidP="005F3A66">
            <w:pPr>
              <w:spacing w:line="276" w:lineRule="auto"/>
              <w:jc w:val="center"/>
              <w:rPr>
                <w:rFonts w:ascii="Times New Roman" w:eastAsia="Times New Roman" w:hAnsi="Times New Roman" w:cs="Times New Roman"/>
                <w:sz w:val="24"/>
                <w:szCs w:val="24"/>
              </w:rPr>
            </w:pPr>
            <w:r w:rsidRPr="00AC646E">
              <w:rPr>
                <w:rFonts w:ascii="Times New Roman" w:eastAsia="Times New Roman" w:hAnsi="Times New Roman" w:cs="Times New Roman"/>
                <w:sz w:val="24"/>
                <w:szCs w:val="24"/>
              </w:rPr>
              <w:fldChar w:fldCharType="begin" w:fldLock="1"/>
            </w:r>
            <w:r w:rsidRPr="00AC646E">
              <w:rPr>
                <w:rFonts w:ascii="Times New Roman" w:eastAsia="Times New Roman" w:hAnsi="Times New Roman" w:cs="Times New Roman"/>
                <w:sz w:val="24"/>
                <w:szCs w:val="24"/>
              </w:rPr>
              <w:instrText>ADDIN CSL_CITATION {"citationItems":[{"id":"ITEM-1","itemData":{"DOI":"10.1007/s12403-021-00422-8","ISBN":"0123456789","ISSN":"2451-9685","author":[{"dropping-particle":"","family":"Garg","given":"Anchal","non-dropping-particle":"","parse-names":false,"suffix":""},{"dropping-particle":"","family":"Arvind","given":"N C Gupta","non-dropping-particle":"","parse-names":false,"suffix":""}],"container-title":"Exposure and Health","id":"ITEM-1","issue":"1","issued":{"date-parts":[["2022"]]},"page":"111-127","publisher":"Springer Netherlands","title":"Spatio ‑ Temporal Variability and Health Risk Assessment of Benzo [ a ] pyrene in Different Population Through Ambient Air Exposure in Delhi ,","type":"article-journal","volume":"14"},"uris":["http://www.mendeley.com/documents/?uuid=61b07ad5-e618-4047-8a45-b7e50560c26e"]}],"mendeley":{"formattedCitation":"(Garg &amp; Arvind, 2022)","manualFormatting":"Garg &amp; Arvind, 2022","plainTextFormattedCitation":"(Garg &amp; Arvind, 2022)","previouslyFormattedCitation":"(Garg &amp; Arvind, 2022)"},"properties":{"noteIndex":0},"schema":"https://github.com/citation-style-language/schema/raw/master/csl-citation.json"}</w:instrText>
            </w:r>
            <w:r w:rsidRPr="00AC646E">
              <w:rPr>
                <w:rFonts w:ascii="Times New Roman" w:eastAsia="Times New Roman" w:hAnsi="Times New Roman" w:cs="Times New Roman"/>
                <w:sz w:val="24"/>
                <w:szCs w:val="24"/>
              </w:rPr>
              <w:fldChar w:fldCharType="separate"/>
            </w:r>
            <w:r w:rsidRPr="00AC646E">
              <w:rPr>
                <w:rFonts w:ascii="Times New Roman" w:eastAsia="Times New Roman" w:hAnsi="Times New Roman" w:cs="Times New Roman"/>
                <w:noProof/>
                <w:sz w:val="24"/>
                <w:szCs w:val="24"/>
              </w:rPr>
              <w:t>Garg &amp; Arvind, 2022</w:t>
            </w:r>
            <w:r w:rsidRPr="00AC646E">
              <w:rPr>
                <w:rFonts w:ascii="Times New Roman" w:eastAsia="Times New Roman" w:hAnsi="Times New Roman" w:cs="Times New Roman"/>
                <w:sz w:val="24"/>
                <w:szCs w:val="24"/>
              </w:rPr>
              <w:fldChar w:fldCharType="end"/>
            </w:r>
          </w:p>
        </w:tc>
      </w:tr>
      <w:tr w:rsidR="0014506D" w14:paraId="0BBDFF34" w14:textId="77777777" w:rsidTr="00FF2DAC">
        <w:trPr>
          <w:trHeight w:val="230"/>
          <w:jc w:val="center"/>
        </w:trPr>
        <w:tc>
          <w:tcPr>
            <w:tcW w:w="2547" w:type="dxa"/>
            <w:vAlign w:val="center"/>
          </w:tcPr>
          <w:p w14:paraId="5FD023BE"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Agra, India</w:t>
            </w:r>
          </w:p>
        </w:tc>
        <w:tc>
          <w:tcPr>
            <w:tcW w:w="1559" w:type="dxa"/>
          </w:tcPr>
          <w:p w14:paraId="4EF817CC"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Residential near Traffic Location</w:t>
            </w:r>
          </w:p>
        </w:tc>
        <w:tc>
          <w:tcPr>
            <w:tcW w:w="1276" w:type="dxa"/>
            <w:vAlign w:val="center"/>
          </w:tcPr>
          <w:p w14:paraId="1EB5DCE8"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301</w:t>
            </w:r>
          </w:p>
        </w:tc>
        <w:tc>
          <w:tcPr>
            <w:tcW w:w="992" w:type="dxa"/>
            <w:vAlign w:val="center"/>
          </w:tcPr>
          <w:p w14:paraId="41E8640F"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212</w:t>
            </w:r>
          </w:p>
        </w:tc>
        <w:tc>
          <w:tcPr>
            <w:tcW w:w="1134" w:type="dxa"/>
            <w:vAlign w:val="center"/>
          </w:tcPr>
          <w:p w14:paraId="0B535AA2"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143</w:t>
            </w:r>
          </w:p>
        </w:tc>
        <w:tc>
          <w:tcPr>
            <w:tcW w:w="2844" w:type="dxa"/>
            <w:vAlign w:val="center"/>
          </w:tcPr>
          <w:p w14:paraId="17C8C1C2"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DOI":"10.1016/j.buildenv.2011.07.018","ISBN":"9897476288","ISSN":"0360-1323","author":[{"dropping-particle":"","family":"Massey","given":"D","non-dropping-particle":"","parse-names":false,"suffix":""},{"dropping-particle":"","family":"Kulshrestha","given":"A","non-dropping-particle":"","parse-names":false,"suffix":""},{"dropping-particle":"","family":"Masih","given":"J","non-dropping-particle":"","parse-names":false,"suffix":""},{"dropping-particle":"","family":"Taneja","given":"A","non-dropping-particle":"","parse-names":false,"suffix":""}],"container-title":"Building and Environment","id":"ITEM-1","issued":{"date-parts":[["2012"]]},"page":"223-231","publisher":"Elsevier Ltd","title":"of residential homes located in North-Central India","type":"article-journal","volume":"47"},"uris":["http://www.mendeley.com/documents/?uuid=fa24aa7d-c857-445b-8c28-9ca817b7386c"]}],"mendeley":{"formattedCitation":"(Massey et al., 2012)","manualFormatting":"Massey et al., 2012","plainTextFormattedCitation":"(Massey et al., 2012)","previouslyFormattedCitation":"(Massey et al., 2012)"},"properties":{"noteIndex":0},"schema":"https://github.com/citation-style-language/schema/raw/master/csl-citation.json"}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Pr="00151BD7">
              <w:rPr>
                <w:rFonts w:ascii="Times New Roman" w:eastAsia="Times New Roman" w:hAnsi="Times New Roman" w:cs="Times New Roman"/>
                <w:noProof/>
                <w:sz w:val="24"/>
                <w:szCs w:val="24"/>
              </w:rPr>
              <w:t>Massey et al., 2012</w:t>
            </w: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w:t>
            </w:r>
          </w:p>
        </w:tc>
      </w:tr>
      <w:tr w:rsidR="0014506D" w14:paraId="01A2BF70" w14:textId="77777777" w:rsidTr="00FF2DAC">
        <w:trPr>
          <w:trHeight w:val="230"/>
          <w:jc w:val="center"/>
        </w:trPr>
        <w:tc>
          <w:tcPr>
            <w:tcW w:w="2547" w:type="dxa"/>
            <w:vAlign w:val="center"/>
          </w:tcPr>
          <w:p w14:paraId="12F42B8F"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Chennai, India</w:t>
            </w:r>
          </w:p>
        </w:tc>
        <w:tc>
          <w:tcPr>
            <w:tcW w:w="1559" w:type="dxa"/>
          </w:tcPr>
          <w:p w14:paraId="3C37D33C"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Traffic</w:t>
            </w:r>
          </w:p>
        </w:tc>
        <w:tc>
          <w:tcPr>
            <w:tcW w:w="1276" w:type="dxa"/>
            <w:vAlign w:val="center"/>
          </w:tcPr>
          <w:p w14:paraId="44AF66CF"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162</w:t>
            </w:r>
          </w:p>
        </w:tc>
        <w:tc>
          <w:tcPr>
            <w:tcW w:w="992" w:type="dxa"/>
            <w:vAlign w:val="center"/>
          </w:tcPr>
          <w:p w14:paraId="1807EE04"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87</w:t>
            </w:r>
          </w:p>
        </w:tc>
        <w:tc>
          <w:tcPr>
            <w:tcW w:w="1134" w:type="dxa"/>
            <w:vAlign w:val="center"/>
          </w:tcPr>
          <w:p w14:paraId="0342C8A1"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w:t>
            </w:r>
          </w:p>
        </w:tc>
        <w:tc>
          <w:tcPr>
            <w:tcW w:w="2844" w:type="dxa"/>
            <w:vAlign w:val="center"/>
          </w:tcPr>
          <w:p w14:paraId="34176C4E"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{"citationItems":[{"id":"ITEM-1","itemData":{"DOI":"10.1016/J.SCITOTENV.2011.04.042","ISSN":"0048-9697","PMID":"21632094","abstract":"In this paper, the chemical characterization of PM10 and PM2.5 mass concentrations emitted by heterogeneous traffic in Chennai city during monsoon, winter and summer seasons were analysed. The 24-h averages of PM10 and PM2.5 mass concentrations, showed higher concentrations during the winter season (PM10=98μg/m3; PM2.5=74μg/m3) followed by the monsoon (PM10=87μg/m3; PM2.5=56μg/m3) and summer (PM10=77μg/m3; PM2.5=67μg/m3) seasons. The assessment of 24-h average PM10 and PM2.5 concentrations was indicated as violation of the world health organization (WHO standard for PM10=50μg/m3 and PM2.5=25μg/m3) and Indian national ambient air quality standards (NAAQS for PM10=100μg/m3 and PM2.5=60μg/m3).The chemicals characterization of PM10 and PM2.5 samples (22 samples) for each season were made for water soluble ions using Ion Chromatography (IC) and trace metals by Inductively Coupled Plasma Optical Emission Spectroscopy (ICP-OES) instrument. Results showed the dominance of crustal elements (Ca, Mg, Al, Fe and K), followed by marine aerosols (Na and K) and trace elements (Zn, Ba, Be, Ca, Cd, Co, Cr, Cu, Mn, Ni, Pb, Se, Sr and Te) emitted from road traffic in both PM10 and PM2.5 mass. The ionic species concentration in PM10 and PM2.5 mass consists of 47-65% of anions and 35-53% of cations with dominance of SO42- ions. Comparison of the metallic and ionic species in PM10 and PM2.5 mass indicated the contributions from sea and crustal soil emissions to the coarse particles and traffic emissions to fine particles. © 2011 Elsevier B.V.","author":[{"dropping-particle":"","family":"Srimuruganandam","given":"B.","non-dropping-particle":"","parse-names":false,"suffix":""},{"dropping-particle":"","family":"Shiva Nagendra","given":"S. M.","non-dropping-particle":"","parse-names":false,"suffix":""}],"container-title":"Science of The Total Environment","id":"ITEM-1","issue":"17","issued":{"date-parts":[["2011","8","1"]]},"page":"3144-3157","publisher":"Elsevier","title":"Chemical characterization of PM10 and PM2.5 mass concentrations emitted by heterogeneous traffic","type":"article-journal","volume":"409"},"uris":["http://www.mendeley.com/documents/?uuid=e2d6d8d3-2ce0-3dfb-bba6-574375e3b038"]}],"mendeley":{"formattedCitation":"(Srimuruganandam &amp; Shiva Nagendra, 2011)","manualFormatting":"Srimuruganandam &amp; Shiva Nagendra, 2011","plainTextFormattedCitation":"(Srimuruganandam &amp; Shiva Nagendra, 2011)","previouslyFormattedCitation":"(Srimuruganandam &amp; Shiva Nagendra, 2011)"},"properties":{"noteIndex":0},"schema":"https://github.com/citation-style-language/schema/raw/master/csl-citation.json"}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Pr="00151BD7">
              <w:rPr>
                <w:rFonts w:ascii="Times New Roman" w:eastAsia="Times New Roman" w:hAnsi="Times New Roman" w:cs="Times New Roman"/>
                <w:noProof/>
                <w:sz w:val="24"/>
                <w:szCs w:val="24"/>
              </w:rPr>
              <w:t>Srimuruganandam &amp; Shiva Nagendra, 2011</w:t>
            </w:r>
            <w:r>
              <w:rPr>
                <w:rFonts w:ascii="Times New Roman" w:eastAsia="Times New Roman" w:hAnsi="Times New Roman" w:cs="Times New Roman"/>
                <w:sz w:val="24"/>
                <w:szCs w:val="24"/>
              </w:rPr>
              <w:fldChar w:fldCharType="end"/>
            </w:r>
          </w:p>
        </w:tc>
      </w:tr>
      <w:tr w:rsidR="0014506D" w14:paraId="2F72ADF8" w14:textId="77777777" w:rsidTr="00FF2DAC">
        <w:trPr>
          <w:trHeight w:val="230"/>
          <w:jc w:val="center"/>
        </w:trPr>
        <w:tc>
          <w:tcPr>
            <w:tcW w:w="2547" w:type="dxa"/>
            <w:vAlign w:val="center"/>
          </w:tcPr>
          <w:p w14:paraId="5B96E0A9"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Xinxiang, China</w:t>
            </w:r>
          </w:p>
        </w:tc>
        <w:tc>
          <w:tcPr>
            <w:tcW w:w="1559" w:type="dxa"/>
          </w:tcPr>
          <w:p w14:paraId="46359D58"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Residential</w:t>
            </w:r>
          </w:p>
        </w:tc>
        <w:tc>
          <w:tcPr>
            <w:tcW w:w="1276" w:type="dxa"/>
            <w:vAlign w:val="center"/>
          </w:tcPr>
          <w:p w14:paraId="11E21821"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155</w:t>
            </w:r>
          </w:p>
        </w:tc>
        <w:tc>
          <w:tcPr>
            <w:tcW w:w="992" w:type="dxa"/>
            <w:vAlign w:val="center"/>
          </w:tcPr>
          <w:p w14:paraId="29C477B1"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c>
          <w:tcPr>
            <w:tcW w:w="1134" w:type="dxa"/>
            <w:vAlign w:val="center"/>
          </w:tcPr>
          <w:p w14:paraId="713082A3"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85.6</w:t>
            </w:r>
          </w:p>
        </w:tc>
        <w:tc>
          <w:tcPr>
            <w:tcW w:w="2844" w:type="dxa"/>
            <w:vAlign w:val="center"/>
          </w:tcPr>
          <w:p w14:paraId="6D109009"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{"citationItems":[{"id":"ITEM-1","itemData":{"DOI":"10.3390/atmos13091400","ISSN":"20734433","abstract":"The pollution characteristics of multi-size atmospheric particulates in Xinxiang, which was one of the most polluted cities across China, are still unclear even through air quality in Xinxiang has been improved in recent years. PM10, PM2.5, and PM1 samples were synchronously collected from 21 December 2019 to 17 January 2020 to explore pollution levels and reveal sources of PM in Xinxiang. The average mass concentrations of PM10, PM2.5, and PM1 were as high as 155.53 μg m−3, 120.07 μg m−3, and 85.64 μg m−3 during the observation period, respectively. Almost all of the chemical compositions in PM10, PM2.5 and PM1 increased continuously and obviously with the aggravation of the pollution level. Compared with the clean period, the enhancement of sulfate (23–27%) in PM was obvious higher than nitrate (19–22%) during the pollution period, which demonstrated that sulfate was the main contributor to the high concentration of PM in this study. Similar source distributions for PM10, PM2.5, and PM1 were also found, including traffic source, combustion source, secondary aerosols, industrial source, and fugitive dust, by using the positive matrix factorization (PMF) model. Furthermore, the contributions of the combustion source and secondary aerosol were found to be higher in smaller particles (PM2.5 and PM1), while the contribution of fugitive dust was higher in PM10. Moreover, dust and sand were entrained by air masses from the northwest that increased the contribution of dust in PM at the observation site. The potential source contribution function (PSCF) analysis illustrated that regional emission sources in northern and eastern Xinxiang might be important potential contributors to PM pollution in Xinxiang.","author":[{"dropping-particle":"","family":"Liu","given":"Huanjia","non-dropping-particle":"","parse-names":false,"suffix":""},{"dropping-particle":"","family":"Jia","given":"Mengke","non-dropping-particle":"","parse-names":false,"suffix":""},{"dropping-particle":"","family":"You","given":"Ke","non-dropping-particle":"","parse-names":false,"suffix":""},{"dropping-particle":"","family":"Wang","given":"Jingjing","non-dropping-particle":"","parse-names":false,"suffix":""},{"dropping-particle":"","family":"Tao","given":"Jie","non-dropping-particle":"","parse-names":false,"suffix":""},{"dropping-particle":"","family":"Liu","given":"Hengzhi","non-dropping-particle":"","parse-names":false,"suffix":""},{"dropping-particle":"","family":"Zhang","given":"Ruiqin","non-dropping-particle":"","parse-names":false,"suffix":""},{"dropping-particle":"","family":"Li","given":"Lanqing","non-dropping-particle":"","parse-names":false,"suffix":""},{"dropping-particle":"","family":"Xu","given":"Mengyuan","non-dropping-particle":"","parse-names":false,"suffix":""},{"dropping-particle":"","family":"Ren","given":"Yan","non-dropping-particle":"","parse-names":false,"suffix":""},{"dropping-particle":"","family":"Zhao","given":"Yijie","non-dropping-particle":"","parse-names":false,"suffix":""},{"dropping-particle":"","family":"Liu","given":"Yongli","non-dropping-particle":"","parse-names":false,"suffix":""},{"dropping-particle":"","family":"Cheng","given":"Ke","non-dropping-particle":"","parse-names":false,"suffix":""},{"dropping-particle":"","family":"Fan","given":"Yujuan","non-dropping-particle":"","parse-names":false,"suffix":""},{"dropping-particle":"","family":"Li","given":"Juexiu","non-dropping-particle":"","parse-names":false,"suffix":""}],"container-title":"Atmosphere","id":"ITEM-1","issue":"9","issued":{"date-parts":[["2022"]]},"title":"Elucidating the Chemical Compositions and Source Apportionment of Multi-Size Atmospheric Particulate (PM10, PM2.5 and PM1) in 2019–2020 Winter in Xinxiang, North China","type":"article-journal","volume":"13"},"uris":["http://www.mendeley.com/documents/?uuid=6cc72d90-5206-4a62-ad12-65ffaa2b9f6b"]}],"mendeley":{"formattedCitation":"(Liu et al., 2022)","manualFormatting":"Liu et al., 2022","plainTextFormattedCitation":"(Liu et al., 2022)","previouslyFormattedCitation":"(Liu et al., 2022)"},"properties":{"noteIndex":0},"schema":"https://github.com/citation-style-language/schema/raw/master/csl-citation.json"}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Pr="00151BD7">
              <w:rPr>
                <w:rFonts w:ascii="Times New Roman" w:eastAsia="Times New Roman" w:hAnsi="Times New Roman" w:cs="Times New Roman"/>
                <w:noProof/>
                <w:sz w:val="24"/>
                <w:szCs w:val="24"/>
              </w:rPr>
              <w:t>Liu et al., 2022</w:t>
            </w:r>
            <w:r>
              <w:rPr>
                <w:rFonts w:ascii="Times New Roman" w:eastAsia="Times New Roman" w:hAnsi="Times New Roman" w:cs="Times New Roman"/>
                <w:sz w:val="24"/>
                <w:szCs w:val="24"/>
              </w:rPr>
              <w:fldChar w:fldCharType="end"/>
            </w:r>
          </w:p>
        </w:tc>
      </w:tr>
      <w:tr w:rsidR="0014506D" w14:paraId="50E5B2DF" w14:textId="77777777" w:rsidTr="00FF2DAC">
        <w:trPr>
          <w:trHeight w:val="230"/>
          <w:jc w:val="center"/>
        </w:trPr>
        <w:tc>
          <w:tcPr>
            <w:tcW w:w="2547" w:type="dxa"/>
            <w:vAlign w:val="center"/>
          </w:tcPr>
          <w:p w14:paraId="5D88D0F1"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Lahore, Pakistan</w:t>
            </w:r>
          </w:p>
        </w:tc>
        <w:tc>
          <w:tcPr>
            <w:tcW w:w="1559" w:type="dxa"/>
          </w:tcPr>
          <w:p w14:paraId="64C4A330"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Traffic</w:t>
            </w:r>
          </w:p>
        </w:tc>
        <w:tc>
          <w:tcPr>
            <w:tcW w:w="1276" w:type="dxa"/>
            <w:vAlign w:val="center"/>
          </w:tcPr>
          <w:p w14:paraId="66B54905"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103</w:t>
            </w:r>
          </w:p>
        </w:tc>
        <w:tc>
          <w:tcPr>
            <w:tcW w:w="992" w:type="dxa"/>
            <w:vAlign w:val="center"/>
          </w:tcPr>
          <w:p w14:paraId="53BF23D3"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c>
          <w:tcPr>
            <w:tcW w:w="1134" w:type="dxa"/>
            <w:vAlign w:val="center"/>
          </w:tcPr>
          <w:p w14:paraId="66CE3BC7"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2844" w:type="dxa"/>
            <w:vAlign w:val="center"/>
          </w:tcPr>
          <w:p w14:paraId="10D8313D" w14:textId="77777777" w:rsidR="0014506D" w:rsidRDefault="0014506D" w:rsidP="005F3A66">
            <w:pPr>
              <w:spacing w:line="276" w:lineRule="auto"/>
              <w:jc w:val="center"/>
              <w:rPr>
                <w:rFonts w:ascii="Times New Roman" w:eastAsia="Times New Roman" w:hAnsi="Times New Roman" w:cs="Times New Roman"/>
                <w:sz w:val="24"/>
                <w:szCs w:val="24"/>
              </w:rPr>
            </w:pPr>
            <w:r>
              <w:rPr>
                <w:rStyle w:val="FootnoteReference"/>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{"citationItems":[{"id":"ITEM-1","itemData":{"ISBN":"4412068722","author":[{"dropping-particle":"","family":"Colbeck","given":"Ian","non-dropping-particle":"","parse-names":false,"suffix":""},{"dropping-particle":"","family":"Nasir","given":"Zaheer Ahmad","non-dropping-particle":"","parse-names":false,"suffix":""},{"dropping-particle":"","family":"Ahmad","given":"Shakil","non-dropping-particle":"","parse-names":false,"suffix":""},{"dropping-particle":"","family":"Ali","given":"Zulfiqar","non-dropping-particle":"","parse-names":false,"suffix":""}],"id":"ITEM-1","issued":{"date-parts":[["2011"]]},"page":"689-695","title":"Lahore , Pakistan","type":"article-journal","volume":"11"},"uris":["http://www.mendeley.com/documents/?uuid=022b6172-08a1-4877-a932-a12f8eb20242"]}],"mendeley":{"formattedCitation":"(Colbeck et al., 2011)","manualFormatting":"Colbeck et al., 2011","plainTextFormattedCitation":"(Colbeck et al., 2011)","previouslyFormattedCitation":"(Colbeck et al., 2011)"},"properties":{"noteIndex":0},"schema":"https://github.com/citation-style-language/schema/raw/master/csl-citation.json"}</w:instrText>
            </w:r>
            <w:r>
              <w:rPr>
                <w:rStyle w:val="FootnoteReference"/>
                <w:rFonts w:ascii="Times New Roman" w:eastAsia="Times New Roman" w:hAnsi="Times New Roman" w:cs="Times New Roman"/>
                <w:sz w:val="24"/>
                <w:szCs w:val="24"/>
              </w:rPr>
              <w:fldChar w:fldCharType="separate"/>
            </w:r>
            <w:r w:rsidRPr="0028707A">
              <w:rPr>
                <w:rFonts w:ascii="Times New Roman" w:eastAsia="Times New Roman" w:hAnsi="Times New Roman" w:cs="Times New Roman"/>
                <w:noProof/>
                <w:sz w:val="24"/>
                <w:szCs w:val="24"/>
              </w:rPr>
              <w:t>Colbeck et al., 2011</w:t>
            </w:r>
            <w:r>
              <w:rPr>
                <w:rStyle w:val="FootnoteReference"/>
                <w:rFonts w:ascii="Times New Roman" w:eastAsia="Times New Roman" w:hAnsi="Times New Roman" w:cs="Times New Roman"/>
                <w:sz w:val="24"/>
                <w:szCs w:val="24"/>
              </w:rPr>
              <w:fldChar w:fldCharType="end"/>
            </w:r>
          </w:p>
        </w:tc>
      </w:tr>
      <w:tr w:rsidR="0014506D" w14:paraId="7CB7533D" w14:textId="77777777" w:rsidTr="00FF2DAC">
        <w:trPr>
          <w:trHeight w:val="230"/>
          <w:jc w:val="center"/>
        </w:trPr>
        <w:tc>
          <w:tcPr>
            <w:tcW w:w="2547" w:type="dxa"/>
            <w:vAlign w:val="center"/>
          </w:tcPr>
          <w:p w14:paraId="170BFA51"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Bandar </w:t>
            </w:r>
            <w:proofErr w:type="spellStart"/>
            <w:r>
              <w:rPr>
                <w:rFonts w:ascii="Times New Roman" w:eastAsia="Times New Roman" w:hAnsi="Times New Roman" w:cs="Times New Roman"/>
                <w:b/>
                <w:sz w:val="24"/>
                <w:szCs w:val="24"/>
              </w:rPr>
              <w:t>Mahshahr</w:t>
            </w:r>
            <w:proofErr w:type="spellEnd"/>
            <w:r>
              <w:rPr>
                <w:rFonts w:ascii="Times New Roman" w:eastAsia="Times New Roman" w:hAnsi="Times New Roman" w:cs="Times New Roman"/>
                <w:b/>
                <w:sz w:val="24"/>
                <w:szCs w:val="24"/>
              </w:rPr>
              <w:t>, Iran</w:t>
            </w:r>
          </w:p>
        </w:tc>
        <w:tc>
          <w:tcPr>
            <w:tcW w:w="1559" w:type="dxa"/>
          </w:tcPr>
          <w:p w14:paraId="418EBF15"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Residential</w:t>
            </w:r>
          </w:p>
        </w:tc>
        <w:tc>
          <w:tcPr>
            <w:tcW w:w="1276" w:type="dxa"/>
            <w:vAlign w:val="center"/>
          </w:tcPr>
          <w:p w14:paraId="1C455150"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204</w:t>
            </w:r>
          </w:p>
        </w:tc>
        <w:tc>
          <w:tcPr>
            <w:tcW w:w="992" w:type="dxa"/>
            <w:vAlign w:val="center"/>
          </w:tcPr>
          <w:p w14:paraId="2A4D24E2"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w:t>
            </w:r>
          </w:p>
        </w:tc>
        <w:tc>
          <w:tcPr>
            <w:tcW w:w="1134" w:type="dxa"/>
            <w:vAlign w:val="center"/>
          </w:tcPr>
          <w:p w14:paraId="6C8CBC21"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69</w:t>
            </w:r>
          </w:p>
        </w:tc>
        <w:tc>
          <w:tcPr>
            <w:tcW w:w="2844" w:type="dxa"/>
            <w:vAlign w:val="center"/>
          </w:tcPr>
          <w:p w14:paraId="6E1A2982" w14:textId="77777777" w:rsidR="0014506D" w:rsidRDefault="0014506D" w:rsidP="005F3A66">
            <w:pPr>
              <w:spacing w:line="276" w:lineRule="auto"/>
              <w:jc w:val="center"/>
              <w:rPr>
                <w:rFonts w:ascii="Times New Roman" w:eastAsia="Times New Roman" w:hAnsi="Times New Roman" w:cs="Times New Roman"/>
                <w:sz w:val="24"/>
                <w:szCs w:val="24"/>
              </w:rPr>
            </w:pPr>
            <w:r>
              <w:rPr>
                <w:rStyle w:val="FootnoteReference"/>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{"citationItems":[{"id":"ITEM-1","itemData":{"author":[{"dropping-particle":"","family":"Jahedi","given":"Faezeh","non-dropping-particle":"","parse-names":false,"suffix":""},{"dropping-particle":"","family":"Rad","given":"Hassan Dehdari","non-dropping-particle":"","parse-names":false,"suffix":""},{"dropping-particle":"","family":"Goudarzi","given":"Gholamreza","non-dropping-particle":"","parse-names":false,"suffix":""},{"dropping-particle":"","family":"Babaei","given":"Ali Akbar","non-dropping-particle":"","parse-names":false,"suffix":""},{"dropping-particle":"","family":"Angali","given":"Kambiz Ahmadi","non-dropping-particle":"","parse-names":false,"suffix":""}],"id":"ITEM-1","issued":{"date-parts":[["2021"]]},"page":"851-866","publisher":"Journal of Environmental Health Science and Engineering","title":"Polycyclic aromatic hydrocarbons in PM 1 , PM 2 . 5 and PM 10 atmospheric particles : identification , sources , temporal and spatial variations","type":"article-journal"},"uris":["http://www.mendeley.com/documents/?uuid=72b8a4e3-ebe5-447e-8720-8d6466ff45e0"]}],"mendeley":{"formattedCitation":"(Jahedi et al., 2021)","manualFormatting":"Jahedi et al., 2021","plainTextFormattedCitation":"(Jahedi et al., 2021)","previouslyFormattedCitation":"(Jahedi et al., 2021)"},"properties":{"noteIndex":0},"schema":"https://github.com/citation-style-language/schema/raw/master/csl-citation.json"}</w:instrText>
            </w:r>
            <w:r>
              <w:rPr>
                <w:rStyle w:val="FootnoteReference"/>
                <w:rFonts w:ascii="Times New Roman" w:eastAsia="Times New Roman" w:hAnsi="Times New Roman" w:cs="Times New Roman"/>
                <w:sz w:val="24"/>
                <w:szCs w:val="24"/>
              </w:rPr>
              <w:fldChar w:fldCharType="separate"/>
            </w:r>
            <w:r w:rsidRPr="0028707A">
              <w:rPr>
                <w:rFonts w:ascii="Times New Roman" w:eastAsia="Times New Roman" w:hAnsi="Times New Roman" w:cs="Times New Roman"/>
                <w:noProof/>
                <w:sz w:val="24"/>
                <w:szCs w:val="24"/>
              </w:rPr>
              <w:t>Jahedi et al., 202</w:t>
            </w:r>
            <w:r>
              <w:rPr>
                <w:rFonts w:ascii="Times New Roman" w:eastAsia="Times New Roman" w:hAnsi="Times New Roman" w:cs="Times New Roman"/>
                <w:noProof/>
                <w:sz w:val="24"/>
                <w:szCs w:val="24"/>
              </w:rPr>
              <w:t>1</w:t>
            </w:r>
            <w:r>
              <w:rPr>
                <w:rStyle w:val="FootnoteReference"/>
                <w:rFonts w:ascii="Times New Roman" w:eastAsia="Times New Roman" w:hAnsi="Times New Roman" w:cs="Times New Roman"/>
                <w:sz w:val="24"/>
                <w:szCs w:val="24"/>
              </w:rPr>
              <w:fldChar w:fldCharType="end"/>
            </w:r>
          </w:p>
        </w:tc>
      </w:tr>
      <w:tr w:rsidR="0014506D" w14:paraId="3009C96E" w14:textId="77777777" w:rsidTr="00FF2DAC">
        <w:trPr>
          <w:trHeight w:val="230"/>
          <w:jc w:val="center"/>
        </w:trPr>
        <w:tc>
          <w:tcPr>
            <w:tcW w:w="2547" w:type="dxa"/>
            <w:vAlign w:val="center"/>
          </w:tcPr>
          <w:p w14:paraId="20014479"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Qom, Iran</w:t>
            </w:r>
          </w:p>
        </w:tc>
        <w:tc>
          <w:tcPr>
            <w:tcW w:w="1559" w:type="dxa"/>
          </w:tcPr>
          <w:p w14:paraId="6BAC8C6D"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Residential</w:t>
            </w:r>
          </w:p>
        </w:tc>
        <w:tc>
          <w:tcPr>
            <w:tcW w:w="1276" w:type="dxa"/>
            <w:vAlign w:val="center"/>
          </w:tcPr>
          <w:p w14:paraId="559433D2"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90</w:t>
            </w:r>
          </w:p>
        </w:tc>
        <w:tc>
          <w:tcPr>
            <w:tcW w:w="992" w:type="dxa"/>
            <w:vAlign w:val="center"/>
          </w:tcPr>
          <w:p w14:paraId="3194F3CE"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c>
          <w:tcPr>
            <w:tcW w:w="1134" w:type="dxa"/>
            <w:vAlign w:val="center"/>
          </w:tcPr>
          <w:p w14:paraId="3A59EA9F"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c>
          <w:tcPr>
            <w:tcW w:w="2844" w:type="dxa"/>
            <w:vAlign w:val="center"/>
          </w:tcPr>
          <w:p w14:paraId="268AA5DD" w14:textId="77777777" w:rsidR="0014506D" w:rsidRDefault="0014506D" w:rsidP="005F3A66">
            <w:pPr>
              <w:spacing w:line="276" w:lineRule="auto"/>
              <w:jc w:val="center"/>
              <w:rPr>
                <w:rFonts w:ascii="Times New Roman" w:eastAsia="Times New Roman" w:hAnsi="Times New Roman" w:cs="Times New Roman"/>
                <w:sz w:val="24"/>
                <w:szCs w:val="24"/>
              </w:rPr>
            </w:pPr>
            <w:r>
              <w:rPr>
                <w:rStyle w:val="FootnoteReference"/>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DOI":"10.1080/26395940.2020.1728198","author":[{"dropping-particle":"","family":"Nadali","given":"Azam","non-dropping-particle":"","parse-names":false,"suffix":""},{"dropping-particle":"","family":"Arfaeinia","given":"Hossein","non-dropping-particle":"","parse-names":false,"suffix":""},{"dropping-particle":"","family":"Asadgol","given":"Zahra","non-dropping-particle":"","parse-names":false,"suffix":""},{"dropping-particle":"","family":"Fahiminia","given":"Mohammad","non-dropping-particle":"","parse-names":false,"suffix":""}],"container-title":"Environmental Pollutants and Bioavailability","id":"ITEM-1","issue":"1","issued":{"date-parts":[["2020"]]},"page":"47-55","publisher":"Taylor &amp; Francis","title":"Indoor and outdoor concentration of PM 10 , PM 2 . 5 and PM 1 in residential building and evaluation of negative air ions ( NAIs ) in indoor PM removal","type":"article-journal","volume":"32"},"uris":["http://www.mendeley.com/documents/?uuid=89211000-02d6-44d6-91a9-8ff7ecf5f5e5"]}],"mendeley":{"formattedCitation":"(Nadali et al., 2020)","manualFormatting":"Nadali et al., 2020","plainTextFormattedCitation":"(Nadali et al., 2020)","previouslyFormattedCitation":"(Nadali et al., 2020)"},"properties":{"noteIndex":0},"schema":"https://github.com/citation-style-language/schema/raw/master/csl-citation.json"}</w:instrText>
            </w:r>
            <w:r>
              <w:rPr>
                <w:rStyle w:val="FootnoteReference"/>
                <w:rFonts w:ascii="Times New Roman" w:eastAsia="Times New Roman" w:hAnsi="Times New Roman" w:cs="Times New Roman"/>
                <w:sz w:val="24"/>
                <w:szCs w:val="24"/>
              </w:rPr>
              <w:fldChar w:fldCharType="separate"/>
            </w:r>
            <w:r w:rsidRPr="0028707A">
              <w:rPr>
                <w:rFonts w:ascii="Times New Roman" w:eastAsia="Times New Roman" w:hAnsi="Times New Roman" w:cs="Times New Roman"/>
                <w:bCs/>
                <w:noProof/>
                <w:sz w:val="24"/>
                <w:szCs w:val="24"/>
                <w:lang w:val="en-US"/>
              </w:rPr>
              <w:t>Nadali et al., 2020</w:t>
            </w:r>
            <w:r>
              <w:rPr>
                <w:rStyle w:val="FootnoteReference"/>
                <w:rFonts w:ascii="Times New Roman" w:eastAsia="Times New Roman" w:hAnsi="Times New Roman" w:cs="Times New Roman"/>
                <w:sz w:val="24"/>
                <w:szCs w:val="24"/>
              </w:rPr>
              <w:fldChar w:fldCharType="end"/>
            </w:r>
          </w:p>
        </w:tc>
      </w:tr>
      <w:tr w:rsidR="0014506D" w14:paraId="774EA0CE" w14:textId="77777777" w:rsidTr="00FF2DAC">
        <w:trPr>
          <w:trHeight w:val="230"/>
          <w:jc w:val="center"/>
        </w:trPr>
        <w:tc>
          <w:tcPr>
            <w:tcW w:w="2547" w:type="dxa"/>
            <w:vAlign w:val="center"/>
          </w:tcPr>
          <w:p w14:paraId="02815901" w14:textId="77777777" w:rsidR="0014506D" w:rsidRDefault="0014506D" w:rsidP="005F3A66">
            <w:pPr>
              <w:spacing w:line="276" w:lineRule="auto"/>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Tuoji</w:t>
            </w:r>
            <w:proofErr w:type="spellEnd"/>
            <w:r>
              <w:rPr>
                <w:rFonts w:ascii="Times New Roman" w:eastAsia="Times New Roman" w:hAnsi="Times New Roman" w:cs="Times New Roman"/>
                <w:b/>
                <w:sz w:val="24"/>
                <w:szCs w:val="24"/>
              </w:rPr>
              <w:t xml:space="preserve"> Island, China</w:t>
            </w:r>
          </w:p>
        </w:tc>
        <w:tc>
          <w:tcPr>
            <w:tcW w:w="1559" w:type="dxa"/>
          </w:tcPr>
          <w:p w14:paraId="37403F40"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Residential</w:t>
            </w:r>
          </w:p>
        </w:tc>
        <w:tc>
          <w:tcPr>
            <w:tcW w:w="1276" w:type="dxa"/>
            <w:vAlign w:val="center"/>
          </w:tcPr>
          <w:p w14:paraId="36C74375"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94</w:t>
            </w:r>
          </w:p>
        </w:tc>
        <w:tc>
          <w:tcPr>
            <w:tcW w:w="992" w:type="dxa"/>
            <w:vAlign w:val="center"/>
          </w:tcPr>
          <w:p w14:paraId="1573BBBE"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62</w:t>
            </w:r>
          </w:p>
        </w:tc>
        <w:tc>
          <w:tcPr>
            <w:tcW w:w="1134" w:type="dxa"/>
            <w:vAlign w:val="center"/>
          </w:tcPr>
          <w:p w14:paraId="13F63281"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2844" w:type="dxa"/>
            <w:vAlign w:val="center"/>
          </w:tcPr>
          <w:p w14:paraId="66FC4777" w14:textId="77777777" w:rsidR="0014506D" w:rsidRDefault="0014506D" w:rsidP="005F3A66">
            <w:pPr>
              <w:spacing w:line="276" w:lineRule="auto"/>
              <w:jc w:val="center"/>
              <w:rPr>
                <w:rFonts w:ascii="Times New Roman" w:eastAsia="Times New Roman" w:hAnsi="Times New Roman" w:cs="Times New Roman"/>
                <w:sz w:val="24"/>
                <w:szCs w:val="24"/>
              </w:rPr>
            </w:pPr>
            <w:r>
              <w:rPr>
                <w:rStyle w:val="FootnoteReference"/>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DOI":"10.1016/j.scitotenv.2016.08.146","author":[{"dropping-particle":"","family":"Zhang","given":"Junmei","non-dropping-particle":"","parse-names":false,"suffix":""},{"dropping-particle":"","family":"Yang","given":"Lingxiao","non-dropping-particle":"","parse-names":false,"suffix":""},{"dropping-particle":"","family":"Mellouki","given":"Abdelwahid","non-dropping-particle":"","parse-names":false,"suffix":""},{"dropping-particle":"","family":"Wen","given":"Liang","non-dropping-particle":"","parse-names":false,"suffix":""},{"dropping-particle":"","family":"Yang","given":"Yumeng","non-dropping-particle":"","parse-names":false,"suffix":""},{"dropping-particle":"","family":"Gao","given":"Ying","non-dropping-particle":"","parse-names":false,"suffix":""}],"id":"ITEM-1","issued":{"date-parts":[["2016"]]},"page":"699-706","title":"Science of the Total Environment Chemical characteristics and in fl uence of continental out fl ow on PM 1 . 0 , PM 2 . 5 and PM 10 measured at Tuoji island in the Bohai Sea","type":"article-journal","volume":"573"},"uris":["http://www.mendeley.com/documents/?uuid=fa50567e-5cf2-4410-b754-c62bdf2bccb1"]}],"mendeley":{"formattedCitation":"(Zhang et al., 2016)","manualFormatting":"Zhang et al., 2016","plainTextFormattedCitation":"(Zhang et al., 2016)","previouslyFormattedCitation":"(Zhang et al., 2016)"},"properties":{"noteIndex":0},"schema":"https://github.com/citation-style-language/schema/raw/master/csl-citation.json"}</w:instrText>
            </w:r>
            <w:r>
              <w:rPr>
                <w:rStyle w:val="FootnoteReference"/>
                <w:rFonts w:ascii="Times New Roman" w:eastAsia="Times New Roman" w:hAnsi="Times New Roman" w:cs="Times New Roman"/>
                <w:sz w:val="24"/>
                <w:szCs w:val="24"/>
              </w:rPr>
              <w:fldChar w:fldCharType="separate"/>
            </w:r>
            <w:r w:rsidRPr="0028707A">
              <w:rPr>
                <w:rFonts w:ascii="Times New Roman" w:eastAsia="Times New Roman" w:hAnsi="Times New Roman" w:cs="Times New Roman"/>
                <w:noProof/>
                <w:sz w:val="24"/>
                <w:szCs w:val="24"/>
              </w:rPr>
              <w:t>Zhang et al., 2016</w:t>
            </w:r>
            <w:r>
              <w:rPr>
                <w:rStyle w:val="FootnoteReference"/>
                <w:rFonts w:ascii="Times New Roman" w:eastAsia="Times New Roman" w:hAnsi="Times New Roman" w:cs="Times New Roman"/>
                <w:sz w:val="24"/>
                <w:szCs w:val="24"/>
              </w:rPr>
              <w:fldChar w:fldCharType="end"/>
            </w:r>
          </w:p>
        </w:tc>
      </w:tr>
      <w:tr w:rsidR="0014506D" w14:paraId="251A3B09" w14:textId="77777777" w:rsidTr="00FF2DAC">
        <w:trPr>
          <w:trHeight w:val="230"/>
          <w:jc w:val="center"/>
        </w:trPr>
        <w:tc>
          <w:tcPr>
            <w:tcW w:w="2547" w:type="dxa"/>
            <w:vAlign w:val="center"/>
          </w:tcPr>
          <w:p w14:paraId="1E7BF35A"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Algiers, Algeria</w:t>
            </w:r>
          </w:p>
        </w:tc>
        <w:tc>
          <w:tcPr>
            <w:tcW w:w="1559" w:type="dxa"/>
          </w:tcPr>
          <w:p w14:paraId="1433888F"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Traffic</w:t>
            </w:r>
          </w:p>
        </w:tc>
        <w:tc>
          <w:tcPr>
            <w:tcW w:w="1276" w:type="dxa"/>
            <w:vAlign w:val="center"/>
          </w:tcPr>
          <w:p w14:paraId="180A86A8"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77</w:t>
            </w:r>
          </w:p>
        </w:tc>
        <w:tc>
          <w:tcPr>
            <w:tcW w:w="992" w:type="dxa"/>
            <w:vAlign w:val="center"/>
          </w:tcPr>
          <w:p w14:paraId="66DC910D"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1134" w:type="dxa"/>
            <w:vAlign w:val="center"/>
          </w:tcPr>
          <w:p w14:paraId="36B59E81"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2844" w:type="dxa"/>
            <w:vAlign w:val="center"/>
          </w:tcPr>
          <w:p w14:paraId="708E7B39" w14:textId="77777777" w:rsidR="0014506D" w:rsidRDefault="0014506D" w:rsidP="005F3A66">
            <w:pPr>
              <w:spacing w:line="276" w:lineRule="auto"/>
              <w:jc w:val="center"/>
              <w:rPr>
                <w:rFonts w:ascii="Times New Roman" w:eastAsia="Times New Roman" w:hAnsi="Times New Roman" w:cs="Times New Roman"/>
                <w:sz w:val="24"/>
                <w:szCs w:val="24"/>
              </w:rPr>
            </w:pPr>
            <w:r>
              <w:rPr>
                <w:rStyle w:val="FootnoteReference"/>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DOI":"10.1016/j.envpol.2017.09.041","author":[{"dropping-particle":"","family":"Talbi","given":"Abdelhamid","non-dropping-particle":"","parse-names":false,"suffix":""},{"dropping-particle":"","family":"Kerchich","given":"Yacine","non-dropping-particle":"","parse-names":false,"suffix":""},{"dropping-particle":"","family":"Kerbachi","given":"Rabah","non-dropping-particle":"","parse-names":false,"suffix":""}],"id":"ITEM-1","issued":{"date-parts":[["2018"]]},"page":"252-263","title":"Assessment of annual air pollution levels with PM1 , PM2 . 5 , PM10 and associated heavy metals in Algiers , Algeria * nou e","type":"article-journal","volume":"232"},"uris":["http://www.mendeley.com/documents/?uuid=a54755cc-a109-4e01-82ca-5446726e739c"]}],"mendeley":{"formattedCitation":"(Talbi et al., 2018)","manualFormatting":"Talbi et al., 2018","plainTextFormattedCitation":"(Talbi et al., 2018)","previouslyFormattedCitation":"(Talbi et al., 2018)"},"properties":{"noteIndex":0},"schema":"https://github.com/citation-style-language/schema/raw/master/csl-citation.json"}</w:instrText>
            </w:r>
            <w:r>
              <w:rPr>
                <w:rStyle w:val="FootnoteReference"/>
                <w:rFonts w:ascii="Times New Roman" w:eastAsia="Times New Roman" w:hAnsi="Times New Roman" w:cs="Times New Roman"/>
                <w:sz w:val="24"/>
                <w:szCs w:val="24"/>
              </w:rPr>
              <w:fldChar w:fldCharType="separate"/>
            </w:r>
            <w:r w:rsidRPr="0028707A">
              <w:rPr>
                <w:rFonts w:ascii="Times New Roman" w:eastAsia="Times New Roman" w:hAnsi="Times New Roman" w:cs="Times New Roman"/>
                <w:noProof/>
                <w:sz w:val="24"/>
                <w:szCs w:val="24"/>
              </w:rPr>
              <w:t>Talbi et al., 2018</w:t>
            </w:r>
            <w:r>
              <w:rPr>
                <w:rStyle w:val="FootnoteReference"/>
                <w:rFonts w:ascii="Times New Roman" w:eastAsia="Times New Roman" w:hAnsi="Times New Roman" w:cs="Times New Roman"/>
                <w:sz w:val="24"/>
                <w:szCs w:val="24"/>
              </w:rPr>
              <w:fldChar w:fldCharType="end"/>
            </w:r>
          </w:p>
        </w:tc>
      </w:tr>
      <w:tr w:rsidR="0014506D" w14:paraId="2BCF0549" w14:textId="77777777" w:rsidTr="00FF2DAC">
        <w:trPr>
          <w:trHeight w:val="230"/>
          <w:jc w:val="center"/>
        </w:trPr>
        <w:tc>
          <w:tcPr>
            <w:tcW w:w="2547" w:type="dxa"/>
            <w:vAlign w:val="center"/>
          </w:tcPr>
          <w:p w14:paraId="7A578F86"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Nablus, Palestine</w:t>
            </w:r>
          </w:p>
        </w:tc>
        <w:tc>
          <w:tcPr>
            <w:tcW w:w="1559" w:type="dxa"/>
          </w:tcPr>
          <w:p w14:paraId="0C29FDEC"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Residential</w:t>
            </w:r>
          </w:p>
        </w:tc>
        <w:tc>
          <w:tcPr>
            <w:tcW w:w="1276" w:type="dxa"/>
            <w:vAlign w:val="center"/>
          </w:tcPr>
          <w:p w14:paraId="41FEEC20"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142</w:t>
            </w:r>
          </w:p>
        </w:tc>
        <w:tc>
          <w:tcPr>
            <w:tcW w:w="992" w:type="dxa"/>
            <w:vAlign w:val="center"/>
          </w:tcPr>
          <w:p w14:paraId="6BB5539A"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107</w:t>
            </w:r>
          </w:p>
        </w:tc>
        <w:tc>
          <w:tcPr>
            <w:tcW w:w="1134" w:type="dxa"/>
            <w:vAlign w:val="center"/>
          </w:tcPr>
          <w:p w14:paraId="26551BD4"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74</w:t>
            </w:r>
          </w:p>
        </w:tc>
        <w:tc>
          <w:tcPr>
            <w:tcW w:w="2844" w:type="dxa"/>
            <w:vAlign w:val="center"/>
          </w:tcPr>
          <w:p w14:paraId="2A19689D" w14:textId="77777777" w:rsidR="0014506D" w:rsidRDefault="0014506D" w:rsidP="005F3A66">
            <w:pPr>
              <w:spacing w:line="276" w:lineRule="auto"/>
              <w:jc w:val="center"/>
              <w:rPr>
                <w:rFonts w:ascii="Times New Roman" w:eastAsia="Times New Roman" w:hAnsi="Times New Roman" w:cs="Times New Roman"/>
                <w:sz w:val="24"/>
                <w:szCs w:val="24"/>
              </w:rPr>
            </w:pPr>
            <w:r>
              <w:rPr>
                <w:rStyle w:val="FootnoteReference"/>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{"citationItems":[{"id":"ITEM-1","itemData":{"ISBN":"1186901705","author":[{"dropping-particle":"","family":"Jodeh","given":"S","non-dropping-particle":"","parse-names":false,"suffix":""},{"dropping-particle":"","family":"Hasan","given":"A R","non-dropping-particle":"","parse-names":false,"suffix":""},{"dropping-particle":"","family":"Amarah","given":"J","non-dropping-particle":"","parse-names":false,"suffix":""},{"dropping-particle":"","family":"Judeh","given":"Father","non-dropping-particle":"","parse-names":false,"suffix":""},{"dropping-particle":"","family":"Salghi","given":"R","non-dropping-particle":"","parse-names":false,"suffix":""},{"dropping-particle":"","family":"Lgaz","given":"H","non-dropping-particle":"","parse-names":false,"suffix":""},{"dropping-particle":"","family":"Jodeh","given":"W","non-dropping-particle":"","parse-names":false,"suffix":""}],"id":"ITEM-1","issued":{"date-parts":[["2018"]]},"page":"229-237","publisher":"Air Quality, Atmosphere &amp; Health","title":"Indoor and outdoor air quality analysis for the city of Nablus of residential homes","type":"article-journal"},"uris":["http://www.mendeley.com/documents/?uuid=f52ff113-68ae-46b7-a855-38e3c40c4364"]}],"mendeley":{"formattedCitation":"(Jodeh et al., 2018)","manualFormatting":"Jodeh et al., 2018","plainTextFormattedCitation":"(Jodeh et al., 2018)","previouslyFormattedCitation":"(Jodeh et al., 2018)"},"properties":{"noteIndex":0},"schema":"https://github.com/citation-style-language/schema/raw/master/csl-citation.json"}</w:instrText>
            </w:r>
            <w:r>
              <w:rPr>
                <w:rStyle w:val="FootnoteReference"/>
                <w:rFonts w:ascii="Times New Roman" w:eastAsia="Times New Roman" w:hAnsi="Times New Roman" w:cs="Times New Roman"/>
                <w:sz w:val="24"/>
                <w:szCs w:val="24"/>
              </w:rPr>
              <w:fldChar w:fldCharType="separate"/>
            </w:r>
            <w:r w:rsidRPr="0028707A">
              <w:rPr>
                <w:rFonts w:ascii="Times New Roman" w:eastAsia="Times New Roman" w:hAnsi="Times New Roman" w:cs="Times New Roman"/>
                <w:noProof/>
                <w:sz w:val="24"/>
                <w:szCs w:val="24"/>
              </w:rPr>
              <w:t>Jodeh et al., 2018</w:t>
            </w:r>
            <w:r>
              <w:rPr>
                <w:rStyle w:val="FootnoteReference"/>
                <w:rFonts w:ascii="Times New Roman" w:eastAsia="Times New Roman" w:hAnsi="Times New Roman" w:cs="Times New Roman"/>
                <w:sz w:val="24"/>
                <w:szCs w:val="24"/>
              </w:rPr>
              <w:fldChar w:fldCharType="end"/>
            </w:r>
          </w:p>
        </w:tc>
      </w:tr>
      <w:tr w:rsidR="0014506D" w14:paraId="6CC21D82" w14:textId="77777777" w:rsidTr="00FF2DAC">
        <w:trPr>
          <w:trHeight w:val="230"/>
          <w:jc w:val="center"/>
        </w:trPr>
        <w:tc>
          <w:tcPr>
            <w:tcW w:w="2547" w:type="dxa"/>
            <w:vAlign w:val="center"/>
          </w:tcPr>
          <w:p w14:paraId="400A887A"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Zagreb, Croatia</w:t>
            </w:r>
          </w:p>
        </w:tc>
        <w:tc>
          <w:tcPr>
            <w:tcW w:w="1559" w:type="dxa"/>
          </w:tcPr>
          <w:p w14:paraId="6F228AAE"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Residential</w:t>
            </w:r>
          </w:p>
        </w:tc>
        <w:tc>
          <w:tcPr>
            <w:tcW w:w="1276" w:type="dxa"/>
            <w:vAlign w:val="center"/>
          </w:tcPr>
          <w:p w14:paraId="1B2F37AA"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992" w:type="dxa"/>
            <w:vAlign w:val="center"/>
          </w:tcPr>
          <w:p w14:paraId="7D77315F"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1134" w:type="dxa"/>
            <w:vAlign w:val="center"/>
          </w:tcPr>
          <w:p w14:paraId="60AE07B0"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2844" w:type="dxa"/>
            <w:vAlign w:val="center"/>
          </w:tcPr>
          <w:p w14:paraId="0F69E6A6" w14:textId="77777777" w:rsidR="0014506D" w:rsidRDefault="0014506D" w:rsidP="005F3A66">
            <w:pPr>
              <w:spacing w:line="276" w:lineRule="auto"/>
              <w:jc w:val="center"/>
              <w:rPr>
                <w:rFonts w:ascii="Times New Roman" w:eastAsia="Times New Roman" w:hAnsi="Times New Roman" w:cs="Times New Roman"/>
                <w:sz w:val="24"/>
                <w:szCs w:val="24"/>
              </w:rPr>
            </w:pPr>
            <w:r>
              <w:rPr>
                <w:rStyle w:val="FootnoteReference"/>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ADDIN CSL_CITATION {"citationItems":[{"id":"ITEM-1","itemData":{"DOI":"10.1007/s00128-012-0787-4","author":[{"dropping-particle":"","family":"Bes","given":"Ivan","non-dropping-particle":"","parse-names":false,"suffix":""}],"id":"ITEM-1","issued":{"date-parts":[["2012"]]},"page":"1087-1090","title":"Winter Mass Concentrations of Carbon Species in PM 10 , PM 2 . 5 and PM 1 in Zagreb Air , Croatia","type":"article-journal"},"uris":["http://www.mendeley.com/documents/?uuid=31574335-1e22-49e2-a36f-5b3a08c09872"]}],"mendeley":{"formattedCitation":"(Bes, 2012)","manualFormatting":"Bes, 2012","plainTextFormattedCitation":"(Bes, 2012)","previouslyFormattedCitation":"(Bes, 2012)"},"properties":{"noteIndex":0},"schema":"https://github.com/citation-style-language/schema/raw/master/csl-citation.json"}</w:instrText>
            </w:r>
            <w:r>
              <w:rPr>
                <w:rStyle w:val="FootnoteReference"/>
                <w:rFonts w:ascii="Times New Roman" w:eastAsia="Times New Roman" w:hAnsi="Times New Roman" w:cs="Times New Roman"/>
                <w:sz w:val="24"/>
                <w:szCs w:val="24"/>
              </w:rPr>
              <w:fldChar w:fldCharType="separate"/>
            </w:r>
            <w:r w:rsidRPr="0028707A">
              <w:rPr>
                <w:rFonts w:ascii="Times New Roman" w:eastAsia="Times New Roman" w:hAnsi="Times New Roman" w:cs="Times New Roman"/>
                <w:noProof/>
                <w:sz w:val="24"/>
                <w:szCs w:val="24"/>
              </w:rPr>
              <w:t>Bes, 2012</w:t>
            </w:r>
            <w:r>
              <w:rPr>
                <w:rStyle w:val="FootnoteReference"/>
                <w:rFonts w:ascii="Times New Roman" w:eastAsia="Times New Roman" w:hAnsi="Times New Roman" w:cs="Times New Roman"/>
                <w:sz w:val="24"/>
                <w:szCs w:val="24"/>
              </w:rPr>
              <w:fldChar w:fldCharType="end"/>
            </w:r>
          </w:p>
        </w:tc>
      </w:tr>
      <w:tr w:rsidR="0014506D" w14:paraId="32D34479" w14:textId="77777777" w:rsidTr="00FF2DAC">
        <w:trPr>
          <w:trHeight w:val="230"/>
          <w:jc w:val="center"/>
        </w:trPr>
        <w:tc>
          <w:tcPr>
            <w:tcW w:w="2547" w:type="dxa"/>
            <w:vAlign w:val="center"/>
          </w:tcPr>
          <w:p w14:paraId="6DF2EEB2" w14:textId="77777777" w:rsidR="0014506D" w:rsidRDefault="0014506D" w:rsidP="005F3A66">
            <w:pPr>
              <w:spacing w:line="27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Seoul</w:t>
            </w:r>
          </w:p>
        </w:tc>
        <w:tc>
          <w:tcPr>
            <w:tcW w:w="1559" w:type="dxa"/>
          </w:tcPr>
          <w:p w14:paraId="1BBC2737"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Residential</w:t>
            </w:r>
          </w:p>
        </w:tc>
        <w:tc>
          <w:tcPr>
            <w:tcW w:w="1276" w:type="dxa"/>
            <w:vAlign w:val="center"/>
          </w:tcPr>
          <w:p w14:paraId="1C3928E6"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102</w:t>
            </w:r>
          </w:p>
        </w:tc>
        <w:tc>
          <w:tcPr>
            <w:tcW w:w="992" w:type="dxa"/>
            <w:vAlign w:val="center"/>
          </w:tcPr>
          <w:p w14:paraId="57E2B0B5"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1134" w:type="dxa"/>
            <w:vAlign w:val="center"/>
          </w:tcPr>
          <w:p w14:paraId="2EA1EF97"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2844" w:type="dxa"/>
            <w:vAlign w:val="center"/>
          </w:tcPr>
          <w:p w14:paraId="1571338C" w14:textId="77777777" w:rsidR="0014506D" w:rsidRDefault="0014506D" w:rsidP="005F3A66">
            <w:pPr>
              <w:spacing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Han et al., 2022</w:t>
            </w:r>
          </w:p>
        </w:tc>
      </w:tr>
    </w:tbl>
    <w:p w14:paraId="273C6806" w14:textId="0E0C90C1" w:rsidR="00685D34" w:rsidRDefault="00685D34">
      <w:pPr>
        <w:spacing w:after="200" w:line="240" w:lineRule="auto"/>
        <w:rPr>
          <w:rFonts w:ascii="Times New Roman" w:eastAsia="Times New Roman" w:hAnsi="Times New Roman" w:cs="Times New Roman"/>
          <w:sz w:val="24"/>
          <w:szCs w:val="24"/>
        </w:rPr>
      </w:pPr>
    </w:p>
    <w:p w14:paraId="2773E847" w14:textId="3FD520A2" w:rsidR="003A15B8" w:rsidRDefault="003A15B8" w:rsidP="003A15B8">
      <w:pPr>
        <w:keepNext/>
        <w:pBdr>
          <w:top w:val="nil"/>
          <w:left w:val="nil"/>
          <w:bottom w:val="nil"/>
          <w:right w:val="nil"/>
          <w:between w:val="nil"/>
        </w:pBdr>
        <w:spacing w:after="20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Table SI </w:t>
      </w:r>
      <w:r>
        <w:rPr>
          <w:rFonts w:ascii="Times New Roman" w:eastAsia="Times New Roman" w:hAnsi="Times New Roman" w:cs="Times New Roman"/>
          <w:sz w:val="24"/>
          <w:szCs w:val="24"/>
        </w:rPr>
        <w:t>3</w:t>
      </w:r>
      <w:r>
        <w:rPr>
          <w:rFonts w:ascii="Times New Roman" w:eastAsia="Times New Roman" w:hAnsi="Times New Roman" w:cs="Times New Roman"/>
          <w:color w:val="000000"/>
          <w:sz w:val="24"/>
          <w:szCs w:val="24"/>
        </w:rPr>
        <w:t xml:space="preserve"> The summary of concentration</w:t>
      </w:r>
      <w:r w:rsidR="003B19D4">
        <w:rPr>
          <w:rFonts w:ascii="Times New Roman" w:eastAsia="Times New Roman" w:hAnsi="Times New Roman" w:cs="Times New Roman"/>
          <w:color w:val="000000"/>
          <w:sz w:val="24"/>
          <w:szCs w:val="24"/>
        </w:rPr>
        <w:t>s</w:t>
      </w:r>
      <w:r>
        <w:rPr>
          <w:rFonts w:ascii="Times New Roman" w:eastAsia="Times New Roman" w:hAnsi="Times New Roman" w:cs="Times New Roman"/>
          <w:sz w:val="24"/>
          <w:szCs w:val="24"/>
        </w:rPr>
        <w:t xml:space="preserve"> (µg/m</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of cations and anions in PM</w:t>
      </w:r>
      <w:r>
        <w:rPr>
          <w:rFonts w:ascii="Times New Roman" w:eastAsia="Times New Roman" w:hAnsi="Times New Roman" w:cs="Times New Roman"/>
          <w:color w:val="000000"/>
          <w:sz w:val="24"/>
          <w:szCs w:val="24"/>
          <w:vertAlign w:val="subscript"/>
        </w:rPr>
        <w:t xml:space="preserve">2.5 </w:t>
      </w:r>
      <w:r>
        <w:rPr>
          <w:rFonts w:ascii="Times New Roman" w:eastAsia="Times New Roman" w:hAnsi="Times New Roman" w:cs="Times New Roman"/>
          <w:color w:val="000000"/>
          <w:sz w:val="24"/>
          <w:szCs w:val="24"/>
        </w:rPr>
        <w:t>from across the world</w:t>
      </w:r>
    </w:p>
    <w:tbl>
      <w:tblPr>
        <w:tblStyle w:val="a3"/>
        <w:tblW w:w="1061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60"/>
        <w:gridCol w:w="1221"/>
        <w:gridCol w:w="774"/>
        <w:gridCol w:w="756"/>
        <w:gridCol w:w="844"/>
        <w:gridCol w:w="841"/>
        <w:gridCol w:w="704"/>
        <w:gridCol w:w="756"/>
        <w:gridCol w:w="802"/>
        <w:gridCol w:w="1456"/>
      </w:tblGrid>
      <w:tr w:rsidR="003A15B8" w14:paraId="5A22F8A5" w14:textId="77777777" w:rsidTr="003D0F20">
        <w:trPr>
          <w:trHeight w:val="18"/>
          <w:jc w:val="center"/>
        </w:trPr>
        <w:tc>
          <w:tcPr>
            <w:tcW w:w="2460" w:type="dxa"/>
          </w:tcPr>
          <w:p w14:paraId="24A2A57D" w14:textId="77777777" w:rsidR="003A15B8" w:rsidRDefault="003A15B8" w:rsidP="003D0F20">
            <w:pPr>
              <w:keepNext/>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Location</w:t>
            </w:r>
          </w:p>
        </w:tc>
        <w:tc>
          <w:tcPr>
            <w:tcW w:w="1221" w:type="dxa"/>
          </w:tcPr>
          <w:p w14:paraId="0EB38102" w14:textId="77777777" w:rsidR="003A15B8" w:rsidRDefault="003A15B8" w:rsidP="003D0F20">
            <w:pPr>
              <w:keepNext/>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PM</w:t>
            </w:r>
            <w:r>
              <w:rPr>
                <w:rFonts w:ascii="Times New Roman" w:eastAsia="Times New Roman" w:hAnsi="Times New Roman" w:cs="Times New Roman"/>
                <w:b/>
                <w:color w:val="000000"/>
                <w:sz w:val="24"/>
                <w:szCs w:val="24"/>
                <w:vertAlign w:val="subscript"/>
              </w:rPr>
              <w:t>2.5</w:t>
            </w:r>
          </w:p>
        </w:tc>
        <w:tc>
          <w:tcPr>
            <w:tcW w:w="774" w:type="dxa"/>
          </w:tcPr>
          <w:p w14:paraId="1768DFFA" w14:textId="77777777" w:rsidR="003A15B8" w:rsidRDefault="003A15B8" w:rsidP="003D0F20">
            <w:pPr>
              <w:keepNext/>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NO</w:t>
            </w:r>
            <w:r>
              <w:rPr>
                <w:rFonts w:ascii="Times New Roman" w:eastAsia="Times New Roman" w:hAnsi="Times New Roman" w:cs="Times New Roman"/>
                <w:b/>
                <w:color w:val="000000"/>
                <w:sz w:val="24"/>
                <w:szCs w:val="24"/>
                <w:vertAlign w:val="subscript"/>
              </w:rPr>
              <w:t>3</w:t>
            </w:r>
            <w:r>
              <w:rPr>
                <w:rFonts w:ascii="Times New Roman" w:eastAsia="Times New Roman" w:hAnsi="Times New Roman" w:cs="Times New Roman"/>
                <w:b/>
                <w:color w:val="000000"/>
                <w:sz w:val="24"/>
                <w:szCs w:val="24"/>
                <w:vertAlign w:val="superscript"/>
              </w:rPr>
              <w:t>-</w:t>
            </w:r>
          </w:p>
        </w:tc>
        <w:tc>
          <w:tcPr>
            <w:tcW w:w="756" w:type="dxa"/>
          </w:tcPr>
          <w:p w14:paraId="2D6540C7" w14:textId="77777777" w:rsidR="003A15B8" w:rsidRDefault="003A15B8" w:rsidP="003D0F20">
            <w:pPr>
              <w:keepNext/>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Cl</w:t>
            </w:r>
            <w:r>
              <w:rPr>
                <w:rFonts w:ascii="Times New Roman" w:eastAsia="Times New Roman" w:hAnsi="Times New Roman" w:cs="Times New Roman"/>
                <w:b/>
                <w:color w:val="000000"/>
                <w:sz w:val="24"/>
                <w:szCs w:val="24"/>
                <w:vertAlign w:val="superscript"/>
              </w:rPr>
              <w:t>-</w:t>
            </w:r>
          </w:p>
        </w:tc>
        <w:tc>
          <w:tcPr>
            <w:tcW w:w="844" w:type="dxa"/>
          </w:tcPr>
          <w:p w14:paraId="2072ECA9" w14:textId="77777777" w:rsidR="003A15B8" w:rsidRDefault="003A15B8" w:rsidP="003D0F20">
            <w:pPr>
              <w:keepNext/>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SO</w:t>
            </w:r>
            <w:r>
              <w:rPr>
                <w:rFonts w:ascii="Times New Roman" w:eastAsia="Times New Roman" w:hAnsi="Times New Roman" w:cs="Times New Roman"/>
                <w:b/>
                <w:color w:val="000000"/>
                <w:sz w:val="24"/>
                <w:szCs w:val="24"/>
                <w:vertAlign w:val="subscript"/>
              </w:rPr>
              <w:t>4</w:t>
            </w:r>
            <w:r>
              <w:rPr>
                <w:rFonts w:ascii="Times New Roman" w:eastAsia="Times New Roman" w:hAnsi="Times New Roman" w:cs="Times New Roman"/>
                <w:b/>
                <w:color w:val="000000"/>
                <w:sz w:val="24"/>
                <w:szCs w:val="24"/>
                <w:vertAlign w:val="superscript"/>
              </w:rPr>
              <w:t>2-</w:t>
            </w:r>
          </w:p>
        </w:tc>
        <w:tc>
          <w:tcPr>
            <w:tcW w:w="841" w:type="dxa"/>
          </w:tcPr>
          <w:p w14:paraId="73EDC51E" w14:textId="77777777" w:rsidR="003A15B8" w:rsidRDefault="003A15B8" w:rsidP="003D0F20">
            <w:pPr>
              <w:keepNext/>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Mg</w:t>
            </w:r>
            <w:r>
              <w:rPr>
                <w:rFonts w:ascii="Times New Roman" w:eastAsia="Times New Roman" w:hAnsi="Times New Roman" w:cs="Times New Roman"/>
                <w:b/>
                <w:color w:val="000000"/>
                <w:sz w:val="24"/>
                <w:szCs w:val="24"/>
                <w:vertAlign w:val="superscript"/>
              </w:rPr>
              <w:t>2+</w:t>
            </w:r>
          </w:p>
        </w:tc>
        <w:tc>
          <w:tcPr>
            <w:tcW w:w="704" w:type="dxa"/>
          </w:tcPr>
          <w:p w14:paraId="03AFF2CF" w14:textId="77777777" w:rsidR="003A15B8" w:rsidRDefault="003A15B8" w:rsidP="003D0F20">
            <w:pPr>
              <w:keepNext/>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K</w:t>
            </w:r>
            <w:r>
              <w:rPr>
                <w:rFonts w:ascii="Times New Roman" w:eastAsia="Times New Roman" w:hAnsi="Times New Roman" w:cs="Times New Roman"/>
                <w:b/>
                <w:color w:val="000000"/>
                <w:sz w:val="24"/>
                <w:szCs w:val="24"/>
                <w:vertAlign w:val="superscript"/>
              </w:rPr>
              <w:t>+</w:t>
            </w:r>
          </w:p>
        </w:tc>
        <w:tc>
          <w:tcPr>
            <w:tcW w:w="756" w:type="dxa"/>
          </w:tcPr>
          <w:p w14:paraId="100299B0" w14:textId="77777777" w:rsidR="003A15B8" w:rsidRDefault="003A15B8" w:rsidP="003D0F20">
            <w:pPr>
              <w:keepNext/>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Na</w:t>
            </w:r>
            <w:r>
              <w:rPr>
                <w:rFonts w:ascii="Times New Roman" w:eastAsia="Times New Roman" w:hAnsi="Times New Roman" w:cs="Times New Roman"/>
                <w:b/>
                <w:color w:val="000000"/>
                <w:sz w:val="24"/>
                <w:szCs w:val="24"/>
                <w:vertAlign w:val="superscript"/>
              </w:rPr>
              <w:t>+</w:t>
            </w:r>
          </w:p>
        </w:tc>
        <w:tc>
          <w:tcPr>
            <w:tcW w:w="802" w:type="dxa"/>
          </w:tcPr>
          <w:p w14:paraId="4ECEA80A" w14:textId="77777777" w:rsidR="003A15B8" w:rsidRDefault="003A15B8" w:rsidP="003D0F20">
            <w:pPr>
              <w:keepNext/>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NH</w:t>
            </w:r>
            <w:r>
              <w:rPr>
                <w:rFonts w:ascii="Times New Roman" w:eastAsia="Times New Roman" w:hAnsi="Times New Roman" w:cs="Times New Roman"/>
                <w:b/>
                <w:color w:val="000000"/>
                <w:sz w:val="24"/>
                <w:szCs w:val="24"/>
                <w:vertAlign w:val="subscript"/>
              </w:rPr>
              <w:t>4</w:t>
            </w:r>
            <w:r>
              <w:rPr>
                <w:rFonts w:ascii="Times New Roman" w:eastAsia="Times New Roman" w:hAnsi="Times New Roman" w:cs="Times New Roman"/>
                <w:b/>
                <w:color w:val="000000"/>
                <w:sz w:val="24"/>
                <w:szCs w:val="24"/>
                <w:vertAlign w:val="superscript"/>
              </w:rPr>
              <w:t>+</w:t>
            </w:r>
          </w:p>
        </w:tc>
        <w:tc>
          <w:tcPr>
            <w:tcW w:w="1456" w:type="dxa"/>
          </w:tcPr>
          <w:p w14:paraId="69115CD3" w14:textId="77777777" w:rsidR="003A15B8" w:rsidRDefault="003A15B8" w:rsidP="003D0F20">
            <w:pPr>
              <w:keepNext/>
              <w:pBdr>
                <w:top w:val="nil"/>
                <w:left w:val="nil"/>
                <w:bottom w:val="nil"/>
                <w:right w:val="nil"/>
                <w:between w:val="nil"/>
              </w:pBdr>
              <w:spacing w:line="276"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Reference</w:t>
            </w:r>
          </w:p>
        </w:tc>
      </w:tr>
      <w:tr w:rsidR="003A15B8" w14:paraId="17A105E9" w14:textId="77777777" w:rsidTr="002F6C15">
        <w:trPr>
          <w:trHeight w:val="540"/>
          <w:jc w:val="center"/>
        </w:trPr>
        <w:tc>
          <w:tcPr>
            <w:tcW w:w="2460" w:type="dxa"/>
          </w:tcPr>
          <w:p w14:paraId="0AA9C4A9"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Tianjin China</w:t>
            </w:r>
          </w:p>
        </w:tc>
        <w:tc>
          <w:tcPr>
            <w:tcW w:w="1221" w:type="dxa"/>
          </w:tcPr>
          <w:p w14:paraId="2DEA3E6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141.47</w:t>
            </w:r>
          </w:p>
        </w:tc>
        <w:tc>
          <w:tcPr>
            <w:tcW w:w="774" w:type="dxa"/>
          </w:tcPr>
          <w:p w14:paraId="0E68689C"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18.8</w:t>
            </w:r>
          </w:p>
        </w:tc>
        <w:tc>
          <w:tcPr>
            <w:tcW w:w="756" w:type="dxa"/>
          </w:tcPr>
          <w:p w14:paraId="5681D9D3"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8.1</w:t>
            </w:r>
          </w:p>
        </w:tc>
        <w:tc>
          <w:tcPr>
            <w:tcW w:w="844" w:type="dxa"/>
          </w:tcPr>
          <w:p w14:paraId="4E8E537C"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24.9</w:t>
            </w:r>
          </w:p>
        </w:tc>
        <w:tc>
          <w:tcPr>
            <w:tcW w:w="841" w:type="dxa"/>
          </w:tcPr>
          <w:p w14:paraId="4525A219"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0.23</w:t>
            </w:r>
          </w:p>
        </w:tc>
        <w:tc>
          <w:tcPr>
            <w:tcW w:w="704" w:type="dxa"/>
          </w:tcPr>
          <w:p w14:paraId="4FC8820E"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756" w:type="dxa"/>
          </w:tcPr>
          <w:p w14:paraId="5A323F48"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w:t>
            </w:r>
          </w:p>
        </w:tc>
        <w:tc>
          <w:tcPr>
            <w:tcW w:w="802" w:type="dxa"/>
          </w:tcPr>
          <w:p w14:paraId="54B2921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7.64</w:t>
            </w:r>
          </w:p>
        </w:tc>
        <w:tc>
          <w:tcPr>
            <w:tcW w:w="1456" w:type="dxa"/>
          </w:tcPr>
          <w:p w14:paraId="619B232B" w14:textId="77777777"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Style w:val="FootnoteReference"/>
                <w:rFonts w:ascii="Times New Roman" w:eastAsia="Times New Roman" w:hAnsi="Times New Roman" w:cs="Times New Roman"/>
                <w:color w:val="000000"/>
                <w:sz w:val="24"/>
                <w:szCs w:val="24"/>
              </w:rPr>
              <w:fldChar w:fldCharType="begin" w:fldLock="1"/>
            </w:r>
            <w:r>
              <w:rPr>
                <w:rFonts w:ascii="Times New Roman" w:eastAsia="Times New Roman" w:hAnsi="Times New Roman" w:cs="Times New Roman"/>
                <w:color w:val="000000"/>
                <w:sz w:val="24"/>
                <w:szCs w:val="24"/>
              </w:rPr>
              <w:instrText>ADDIN CSL_CITATION {"citationItems":[{"id":"ITEM-1","itemData":{"DOI":"10.5194/acp-13-4631-2013","ISSN":"1680-7324","abstract":"&lt;p&gt;Abstract. In order to study the temporal and spatial variations of PM2.5 and its chemical compositions in the region of Beijing, Tianjin, and Hebei (BTH), PM2.5 samples were collected at four urban sites in Beijing (BJ), Tianjin (TJ), Shijiazhuang (SJZ), and Chengde (CD), and also one site at Shangdianzi (SDZ) regional background station over four seasons from 2009 to 2010. The samples were weighted for mass concentrations and analyzed in the laboratory for chemical profiles of 19 elements (Al, As, Ba, Ca, Cd, Co, Cr, Cu, Fe, K, Mg, Mn, Ni, P, Pb, Sr, Ti, V, and Zn), eight water-soluble inorganic ions (Na+, NH4+, K+, Mg2+, Ca2+, Cl−, NO3−, and SO42−, and carbon fractions (OC and EC). The concentrations of PM2.5 and its major chemical species were season dependent and showed spatially similar characteristics in the plain area of BTH. The average annual concentrations of PM2.5 were 71.8–191.2 μg m−3 at the five sites, with more than 90% of sampling days exceeding 50 μg m−3 at BJ, TJ, and SJZ. PM2.5 pollution was most serious at SJZ, and the annual concentrations of PM2.5, secondary inorganic ions, OC, EC, and most crustal elements were all highest. Due to stronger photochemical oxidation, the sum of concentrations of secondary inorganic ions (NH4+, NO3−, and SO42− was highest in the summer at SDZ, BJ, TJ, and CD. Analysis of electric charges of water-soluble inorganic ions indicated the existence of nitric acid or hydrochloric acid in PM2.5. For all five sites, the concentrations of OC, EC and also secondary organic carbon (SOC) in the spring and summer were lower than those in the autumn and winter. SOC had more percentages of increase than primary organic carbon (POC) during the winter. The sums of crustal elements (Al, Ca, Fe, Mg, Ti, Ba, and Sr) were higher in the spring and autumn owing to more days with blowing or floating dust. The concentrations of heavy metals were at higher levels in the BTH area by comparison with other studies. In Shijiazhuang and Chengde, the PM2.5 pollution was dominated by coal combustion. Motor vehicle exhausts and coal combustion emissions both played important roles in Tianjin PM2.5 pollution. However, motor vehicle exhausts had played a more important role in Beijing owing to the reduction of coal consumption and sharp increase of cars in recent years. At SDZ, regional transportation of air pollutants from southern urban areas was significant.&lt;/p&gt;","author":[{"dropping-particle":"","family":"Zhao","given":"P. S.","non-dropping-particle":"","parse-names":false,"suffix":""},{"dropping-particle":"","family":"Dong","given":"F.","non-dropping-particle":"","parse-names":false,"suffix":""},{"dropping-particle":"","family":"He","given":"D.","non-dropping-particle":"","parse-names":false,"suffix":""},{"dropping-particle":"","family":"Zhao","given":"X. J.","non-dropping-particle":"","parse-names":false,"suffix":""},{"dropping-particle":"","family":"Zhang","given":"X. L.","non-dropping-particle":"","parse-names":false,"suffix":""},{"dropping-particle":"","family":"Zhang","given":"W. Z.","non-dropping-particle":"","parse-names":false,"suffix":""},{"dropping-particle":"","family":"Yao","given":"Q.","non-dropping-particle":"","parse-names":false,"suffix":""},{"dropping-particle":"","family":"Liu","given":"H. Y.","non-dropping-particle":"","parse-names":false,"suffix":""}],"container-title":"Atmospheric Chemistry and Physics","id":"ITEM-1","issue":"9","issued":{"date-parts":[["2013","5","6"]]},"page":"4631-4644","title":"Characteristics of concentrations and chemical compositions for PM&amp;amp;lt;sub&amp;amp;gt;2.5&amp;amp;lt;/sub&amp;amp;gt; in the region of Beijing, Tianjin, and Hebei, China","type":"article-journal","volume":"13"},"uris":["http://www.mendeley.com/documents/?uuid=7048de11-126d-3d1f-bd9d-24183bab4bfa"]}],"mendeley":{"formattedCitation":"(Zhao et al., 2013)","manualFormatting":"Zhao et al., 2013","plainTextFormattedCitation":"(Zhao et al., 2013)","previouslyFormattedCitation":"(Zhao et al., 2013)"},"properties":{"noteIndex":0},"schema":"https://github.com/citation-style-language/schema/raw/master/csl-citation.json"}</w:instrText>
            </w:r>
            <w:r>
              <w:rPr>
                <w:rStyle w:val="FootnoteReference"/>
                <w:rFonts w:ascii="Times New Roman" w:eastAsia="Times New Roman" w:hAnsi="Times New Roman" w:cs="Times New Roman"/>
                <w:color w:val="000000"/>
                <w:sz w:val="24"/>
                <w:szCs w:val="24"/>
              </w:rPr>
              <w:fldChar w:fldCharType="separate"/>
            </w:r>
            <w:r w:rsidRPr="0028707A">
              <w:rPr>
                <w:rFonts w:ascii="Times New Roman" w:eastAsia="Times New Roman" w:hAnsi="Times New Roman" w:cs="Times New Roman"/>
                <w:bCs/>
                <w:noProof/>
                <w:color w:val="000000"/>
                <w:sz w:val="24"/>
                <w:szCs w:val="24"/>
                <w:lang w:val="en-US"/>
              </w:rPr>
              <w:t>Zhao et al., 2013</w:t>
            </w:r>
            <w:r>
              <w:rPr>
                <w:rStyle w:val="FootnoteReference"/>
                <w:rFonts w:ascii="Times New Roman" w:eastAsia="Times New Roman" w:hAnsi="Times New Roman" w:cs="Times New Roman"/>
                <w:color w:val="000000"/>
                <w:sz w:val="24"/>
                <w:szCs w:val="24"/>
              </w:rPr>
              <w:fldChar w:fldCharType="end"/>
            </w:r>
          </w:p>
        </w:tc>
      </w:tr>
      <w:tr w:rsidR="003A15B8" w14:paraId="36A3AD13" w14:textId="77777777" w:rsidTr="002F6C15">
        <w:trPr>
          <w:trHeight w:val="467"/>
          <w:jc w:val="center"/>
        </w:trPr>
        <w:tc>
          <w:tcPr>
            <w:tcW w:w="2460" w:type="dxa"/>
          </w:tcPr>
          <w:p w14:paraId="176C7498"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Gulou</w:t>
            </w:r>
            <w:proofErr w:type="spellEnd"/>
            <w:r>
              <w:rPr>
                <w:rFonts w:ascii="Times New Roman" w:eastAsia="Times New Roman" w:hAnsi="Times New Roman" w:cs="Times New Roman"/>
                <w:color w:val="000000"/>
                <w:sz w:val="24"/>
                <w:szCs w:val="24"/>
              </w:rPr>
              <w:t xml:space="preserve"> China</w:t>
            </w:r>
          </w:p>
        </w:tc>
        <w:tc>
          <w:tcPr>
            <w:tcW w:w="1221" w:type="dxa"/>
          </w:tcPr>
          <w:p w14:paraId="36C1A07E"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243</w:t>
            </w:r>
          </w:p>
        </w:tc>
        <w:tc>
          <w:tcPr>
            <w:tcW w:w="774" w:type="dxa"/>
          </w:tcPr>
          <w:p w14:paraId="3D36E13C"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32.6</w:t>
            </w:r>
          </w:p>
        </w:tc>
        <w:tc>
          <w:tcPr>
            <w:tcW w:w="756" w:type="dxa"/>
          </w:tcPr>
          <w:p w14:paraId="7D6B7E01"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7.38</w:t>
            </w:r>
          </w:p>
        </w:tc>
        <w:tc>
          <w:tcPr>
            <w:tcW w:w="844" w:type="dxa"/>
          </w:tcPr>
          <w:p w14:paraId="1FCDE9F2"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52.3</w:t>
            </w:r>
          </w:p>
        </w:tc>
        <w:tc>
          <w:tcPr>
            <w:tcW w:w="841" w:type="dxa"/>
          </w:tcPr>
          <w:p w14:paraId="3994ACE0"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0.12</w:t>
            </w:r>
          </w:p>
        </w:tc>
        <w:tc>
          <w:tcPr>
            <w:tcW w:w="704" w:type="dxa"/>
          </w:tcPr>
          <w:p w14:paraId="17B8DD8D"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0.93</w:t>
            </w:r>
          </w:p>
        </w:tc>
        <w:tc>
          <w:tcPr>
            <w:tcW w:w="756" w:type="dxa"/>
          </w:tcPr>
          <w:p w14:paraId="2A182B56"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2.07</w:t>
            </w:r>
          </w:p>
        </w:tc>
        <w:tc>
          <w:tcPr>
            <w:tcW w:w="802" w:type="dxa"/>
          </w:tcPr>
          <w:p w14:paraId="7C435629"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7.24</w:t>
            </w:r>
          </w:p>
        </w:tc>
        <w:tc>
          <w:tcPr>
            <w:tcW w:w="1456" w:type="dxa"/>
          </w:tcPr>
          <w:p w14:paraId="3E4D4D85" w14:textId="2FD344F0"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Style w:val="FootnoteReference"/>
                <w:rFonts w:ascii="Times New Roman" w:eastAsia="Times New Roman" w:hAnsi="Times New Roman" w:cs="Times New Roman"/>
                <w:color w:val="000000"/>
                <w:sz w:val="24"/>
                <w:szCs w:val="24"/>
              </w:rPr>
              <w:fldChar w:fldCharType="begin" w:fldLock="1"/>
            </w:r>
            <w:r w:rsidR="00130F3A">
              <w:rPr>
                <w:rFonts w:ascii="Times New Roman" w:eastAsia="Times New Roman" w:hAnsi="Times New Roman" w:cs="Times New Roman"/>
                <w:color w:val="000000"/>
                <w:sz w:val="24"/>
                <w:szCs w:val="24"/>
              </w:rPr>
              <w:instrText>ADDIN CSL_CITATION {"citationItems":[{"id":"ITEM-1","itemData":{"DOI":"10.1016/J.ATMOSRES.2016.07.005","ISSN":"0169-8095","abstract":"PM2.5 aerosol samples were collected during a haze–fog event in winter, as well as in spring, summer, and fall in 2013 within an urban area (Xianlin) and city center area (Gulou) of Nanjing, a megacity of SE China. The PM2.5 showed typical seasonality of waxing in winter and waning in summer or fall with annual average concentrations of 145 and 139 μg/m3 in Xianlin and Gulou, respectively. Concentrations of SO42 −, NO3−, NH4+, Cl−, and K+, EC, OC, secondary organic carbon, and most elements were elevated in winter. The sulfur oxidation ratio and concentrations of SO42 − and Cl− were significantly higher in Xianlin than Gulou (p &lt; 0.05), whereas the nitrogen oxidation ratio and NO3− concentrations were significantly higher in Gulou than Xianlin (p &lt; 0.05). A chemical mass closure construction was used to apportion PM2.5 fractions. Using the positive matrix factorization model, six source factors were identified as having contributed to PM2.5. These were secondary nitrate, road dust, sea salt and ship emissions, coal combustion, secondary sulfate, and the iron and steel industry, which contributed annual averages of 17.8 ± 15.1, 10.6 ± 9.53, 4.50 ± 3.28, 12.4 ± 9.82, 46.3 ± 14.4, and 8.42 ± 5.15%, respectively, to the PM2.5 mass in Xianlin, and 34.5 ± 16.2, 7.82 ± 7.21, 7.27 ± 5.61, 10.5 ± 9.35, 33.0 ± 16.6, and 7.00 ± 6.1%, respectively, in Gulou. Distinct seasonal patterns of the source factors in the two areas associated with the main chemical components were identified, which could be explained by various sources and meteorological conditions.","author":[{"dropping-particle":"","family":"Li","given":"Huiming","non-dropping-particle":"","parse-names":false,"suffix":""},{"dropping-particle":"","family":"Wang","given":"Qin'geng","non-dropping-particle":"","parse-names":false,"suffix":""},{"dropping-particle":"","family":"Yang","given":"Meng","non-dropping-particle":"","parse-names":false,"suffix":""},{"dropping-particle":"","family":"Li","given":"Fengying","non-dropping-particle":"","parse-names":false,"suffix":""},{"dropping-particle":"","family":"Wang","given":"Jinhua","non-dropping-particle":"","parse-names":false,"suffix":""},{"dropping-particle":"","family":"Sun","given":"Yixuan","non-dropping-particle":"","parse-names":false,"suffix":""},{"dropping-particle":"","family":"Wang","given":"Cheng","non-dropping-particle":"","parse-names":false,"suffix":""},{"dropping-particle":"","family":"Wu","given":"Hongfei","non-dropping-particle":"","parse-names":false,"suffix":""},{"dropping-particle":"","family":"Qian","given":"Xin","non-dropping-particle":"","parse-names":false,"suffix":""}],"container-title":"Atmospheric Research","id":"ITEM-1","issued":{"date-parts":[["2016","11","15"]]},"page":"288-299","publisher":"Elsevier","title":"Chemical characterization and source apportionment of PM2.5 aerosols in a megacity of Southeast China","type":"article-journal","volume":"181"},"uris":["http://www.mendeley.com/documents/?uuid=35d6568c-5cc4-3098-8083-0a091bdb0454"]}],"mendeley":{"formattedCitation":"(H. Li et al., 2016)","manualFormatting":"Li et al., 2016","plainTextFormattedCitation":"(H. Li et al., 2016)","previouslyFormattedCitation":"(H. Li et al., 2016)"},"properties":{"noteIndex":0},"schema":"https://github.com/citation-style-language/schema/raw/master/csl-citation.json"}</w:instrText>
            </w:r>
            <w:r>
              <w:rPr>
                <w:rStyle w:val="FootnoteReference"/>
                <w:rFonts w:ascii="Times New Roman" w:eastAsia="Times New Roman" w:hAnsi="Times New Roman" w:cs="Times New Roman"/>
                <w:color w:val="000000"/>
                <w:sz w:val="24"/>
                <w:szCs w:val="24"/>
              </w:rPr>
              <w:fldChar w:fldCharType="separate"/>
            </w:r>
            <w:r w:rsidRPr="0028707A">
              <w:rPr>
                <w:rFonts w:ascii="Times New Roman" w:eastAsia="Times New Roman" w:hAnsi="Times New Roman" w:cs="Times New Roman"/>
                <w:noProof/>
                <w:color w:val="000000"/>
                <w:sz w:val="24"/>
                <w:szCs w:val="24"/>
              </w:rPr>
              <w:t>Li et al., 2016</w:t>
            </w:r>
            <w:r>
              <w:rPr>
                <w:rStyle w:val="FootnoteReference"/>
                <w:rFonts w:ascii="Times New Roman" w:eastAsia="Times New Roman" w:hAnsi="Times New Roman" w:cs="Times New Roman"/>
                <w:color w:val="000000"/>
                <w:sz w:val="24"/>
                <w:szCs w:val="24"/>
              </w:rPr>
              <w:fldChar w:fldCharType="end"/>
            </w:r>
          </w:p>
        </w:tc>
      </w:tr>
      <w:tr w:rsidR="003A15B8" w14:paraId="54A62576" w14:textId="77777777" w:rsidTr="002F6C15">
        <w:trPr>
          <w:trHeight w:val="467"/>
          <w:jc w:val="center"/>
        </w:trPr>
        <w:tc>
          <w:tcPr>
            <w:tcW w:w="2460" w:type="dxa"/>
          </w:tcPr>
          <w:p w14:paraId="40338FDD"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Croatia</w:t>
            </w:r>
          </w:p>
        </w:tc>
        <w:tc>
          <w:tcPr>
            <w:tcW w:w="1221" w:type="dxa"/>
          </w:tcPr>
          <w:p w14:paraId="1522E296"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13.6</w:t>
            </w:r>
          </w:p>
        </w:tc>
        <w:tc>
          <w:tcPr>
            <w:tcW w:w="774" w:type="dxa"/>
          </w:tcPr>
          <w:p w14:paraId="765B4B09"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w:t>
            </w:r>
          </w:p>
        </w:tc>
        <w:tc>
          <w:tcPr>
            <w:tcW w:w="756" w:type="dxa"/>
          </w:tcPr>
          <w:p w14:paraId="275AA177"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0.031</w:t>
            </w:r>
          </w:p>
        </w:tc>
        <w:tc>
          <w:tcPr>
            <w:tcW w:w="844" w:type="dxa"/>
          </w:tcPr>
          <w:p w14:paraId="5AF11C2F"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841" w:type="dxa"/>
          </w:tcPr>
          <w:p w14:paraId="6ED31BA0"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0.11</w:t>
            </w:r>
          </w:p>
        </w:tc>
        <w:tc>
          <w:tcPr>
            <w:tcW w:w="704" w:type="dxa"/>
          </w:tcPr>
          <w:p w14:paraId="33D7C030"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0.18</w:t>
            </w:r>
          </w:p>
        </w:tc>
        <w:tc>
          <w:tcPr>
            <w:tcW w:w="756" w:type="dxa"/>
          </w:tcPr>
          <w:p w14:paraId="76F4BD0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0.08</w:t>
            </w:r>
          </w:p>
        </w:tc>
        <w:tc>
          <w:tcPr>
            <w:tcW w:w="802" w:type="dxa"/>
          </w:tcPr>
          <w:p w14:paraId="26050D0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456" w:type="dxa"/>
          </w:tcPr>
          <w:p w14:paraId="2AD1FB65" w14:textId="77777777"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Style w:val="FootnoteReference"/>
                <w:rFonts w:ascii="Times New Roman" w:eastAsia="Times New Roman" w:hAnsi="Times New Roman" w:cs="Times New Roman"/>
                <w:color w:val="000000"/>
                <w:sz w:val="24"/>
                <w:szCs w:val="24"/>
              </w:rPr>
              <w:fldChar w:fldCharType="begin" w:fldLock="1"/>
            </w:r>
            <w:r>
              <w:rPr>
                <w:rFonts w:ascii="Times New Roman" w:eastAsia="Times New Roman" w:hAnsi="Times New Roman" w:cs="Times New Roman"/>
                <w:color w:val="000000"/>
                <w:sz w:val="24"/>
                <w:szCs w:val="24"/>
              </w:rPr>
              <w:instrText>ADDIN CSL_CITATION {"citationItems":[{"id":"ITEM-1","itemData":{"DOI":"10.1016/j.apr.2020.07.004","ISSN":"1309-1042","author":[{"dropping-particle":"","family":"Gluščić","given":"Valentina","non-dropping-particle":"","parse-names":false,"suffix":""},{"dropping-particle":"","family":"Čačković","given":"Mirjana","non-dropping-particle":"","parse-names":false,"suffix":""},{"dropping-particle":"","family":"Pehnec","given":"Gordana","non-dropping-particle":"","parse-names":false,"suffix":""},{"dropping-particle":"","family":"Bešlić","given":"Ivan","non-dropping-particle":"","parse-names":false,"suffix":""}],"container-title":"Atmospheric Pollution Research","id":"ITEM-1","issue":"12","issued":{"date-parts":[["2020"]]},"page":"2202-2214","publisher":"Elsevier B.V.","title":"Ionic composition of PM 2 . 5 particle fraction at a coastal urban background site in Croatia","type":"article-journal","volume":"11"},"uris":["http://www.mendeley.com/documents/?uuid=a0b629b6-dda5-4691-a322-846b0f8333cf"]}],"mendeley":{"formattedCitation":"(Gluščić et al., 2020)","manualFormatting":"Gluščić et al., 2020","plainTextFormattedCitation":"(Gluščić et al., 2020)","previouslyFormattedCitation":"(Gluščić et al., 2020)"},"properties":{"noteIndex":0},"schema":"https://github.com/citation-style-language/schema/raw/master/csl-citation.json"}</w:instrText>
            </w:r>
            <w:r>
              <w:rPr>
                <w:rStyle w:val="FootnoteReference"/>
                <w:rFonts w:ascii="Times New Roman" w:eastAsia="Times New Roman" w:hAnsi="Times New Roman" w:cs="Times New Roman"/>
                <w:color w:val="000000"/>
                <w:sz w:val="24"/>
                <w:szCs w:val="24"/>
              </w:rPr>
              <w:fldChar w:fldCharType="separate"/>
            </w:r>
            <w:r w:rsidRPr="0028707A">
              <w:rPr>
                <w:rFonts w:ascii="Times New Roman" w:eastAsia="Times New Roman" w:hAnsi="Times New Roman" w:cs="Times New Roman"/>
                <w:bCs/>
                <w:noProof/>
                <w:color w:val="000000"/>
                <w:sz w:val="24"/>
                <w:szCs w:val="24"/>
                <w:lang w:val="en-US"/>
              </w:rPr>
              <w:t>Gluščić et al., 2020</w:t>
            </w:r>
            <w:r>
              <w:rPr>
                <w:rStyle w:val="FootnoteReference"/>
                <w:rFonts w:ascii="Times New Roman" w:eastAsia="Times New Roman" w:hAnsi="Times New Roman" w:cs="Times New Roman"/>
                <w:color w:val="000000"/>
                <w:sz w:val="24"/>
                <w:szCs w:val="24"/>
              </w:rPr>
              <w:fldChar w:fldCharType="end"/>
            </w:r>
          </w:p>
        </w:tc>
      </w:tr>
      <w:tr w:rsidR="003A15B8" w14:paraId="12CA25CA" w14:textId="77777777" w:rsidTr="002F6C15">
        <w:trPr>
          <w:trHeight w:val="467"/>
          <w:jc w:val="center"/>
        </w:trPr>
        <w:tc>
          <w:tcPr>
            <w:tcW w:w="2460" w:type="dxa"/>
          </w:tcPr>
          <w:p w14:paraId="04F7FC8F"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Salvador, Brazil </w:t>
            </w:r>
          </w:p>
        </w:tc>
        <w:tc>
          <w:tcPr>
            <w:tcW w:w="1221" w:type="dxa"/>
          </w:tcPr>
          <w:p w14:paraId="38A0A183"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w:t>
            </w:r>
          </w:p>
        </w:tc>
        <w:tc>
          <w:tcPr>
            <w:tcW w:w="774" w:type="dxa"/>
          </w:tcPr>
          <w:p w14:paraId="0560F4D6"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2.79</w:t>
            </w:r>
          </w:p>
        </w:tc>
        <w:tc>
          <w:tcPr>
            <w:tcW w:w="756" w:type="dxa"/>
          </w:tcPr>
          <w:p w14:paraId="739D6BD6"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0.267</w:t>
            </w:r>
          </w:p>
        </w:tc>
        <w:tc>
          <w:tcPr>
            <w:tcW w:w="844" w:type="dxa"/>
          </w:tcPr>
          <w:p w14:paraId="793EF67C"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3.34</w:t>
            </w:r>
          </w:p>
        </w:tc>
        <w:tc>
          <w:tcPr>
            <w:tcW w:w="841" w:type="dxa"/>
          </w:tcPr>
          <w:p w14:paraId="7F82FC16"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0.03</w:t>
            </w:r>
          </w:p>
        </w:tc>
        <w:tc>
          <w:tcPr>
            <w:tcW w:w="704" w:type="dxa"/>
          </w:tcPr>
          <w:p w14:paraId="5F0DE0BC"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756" w:type="dxa"/>
          </w:tcPr>
          <w:p w14:paraId="3273792B"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w:t>
            </w:r>
          </w:p>
        </w:tc>
        <w:tc>
          <w:tcPr>
            <w:tcW w:w="802" w:type="dxa"/>
          </w:tcPr>
          <w:p w14:paraId="12FC3D8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456" w:type="dxa"/>
          </w:tcPr>
          <w:p w14:paraId="71D1A594" w14:textId="77777777"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Style w:val="FootnoteReference"/>
                <w:rFonts w:ascii="Times New Roman" w:eastAsia="Times New Roman" w:hAnsi="Times New Roman" w:cs="Times New Roman"/>
                <w:color w:val="000000"/>
                <w:sz w:val="24"/>
                <w:szCs w:val="24"/>
              </w:rPr>
              <w:fldChar w:fldCharType="begin" w:fldLock="1"/>
            </w:r>
            <w:r>
              <w:rPr>
                <w:rFonts w:ascii="Times New Roman" w:eastAsia="Times New Roman" w:hAnsi="Times New Roman" w:cs="Times New Roman"/>
                <w:color w:val="000000"/>
                <w:sz w:val="24"/>
                <w:szCs w:val="24"/>
              </w:rPr>
              <w:instrText>ADDIN CSL_CITATION {"citationItems":[{"id":"ITEM-1","itemData":{"DOI":"10.4209/aaqr.2013.03.0071","author":[{"dropping-particle":"","family":"Souza","given":"Davi Z","non-dropping-particle":"","parse-names":false,"suffix":""},{"dropping-particle":"","family":"Vasconcellos","given":"Pérola C","non-dropping-particle":"","parse-names":false,"suffix":""},{"dropping-particle":"","family":"Lee","given":"Helena","non-dropping-particle":"","parse-names":false,"suffix":""},{"dropping-particle":"","family":"Aurela","given":"Minna","non-dropping-particle":"","parse-names":false,"suffix":""},{"dropping-particle":"","family":"Saarnio","given":"Karri","non-dropping-particle":"","parse-names":false,"suffix":""},{"dropping-particle":"","family":"Teinilä","given":"Kimmo","non-dropping-particle":"","parse-names":false,"suffix":""},{"dropping-particle":"","family":"Hillamo","given":"Risto","non-dropping-particle":"","parse-names":false,"suffix":""}],"id":"ITEM-1","issued":{"date-parts":[["2014"]]},"page":"168-176","title":"Composition of PM 2 . 5 and PM 10 Collected at Urban Sites in Brazil","type":"article-journal"},"uris":["http://www.mendeley.com/documents/?uuid=5c64e29e-9c88-4223-ae5c-cfdbcd974a4d"]}],"mendeley":{"formattedCitation":"(Souza et al., 2014)","manualFormatting":"Souza et al., 2014","plainTextFormattedCitation":"(Souza et al., 2014)","previouslyFormattedCitation":"(Souza et al., 2014)"},"properties":{"noteIndex":0},"schema":"https://github.com/citation-style-language/schema/raw/master/csl-citation.json"}</w:instrText>
            </w:r>
            <w:r>
              <w:rPr>
                <w:rStyle w:val="FootnoteReference"/>
                <w:rFonts w:ascii="Times New Roman" w:eastAsia="Times New Roman" w:hAnsi="Times New Roman" w:cs="Times New Roman"/>
                <w:color w:val="000000"/>
                <w:sz w:val="24"/>
                <w:szCs w:val="24"/>
              </w:rPr>
              <w:fldChar w:fldCharType="separate"/>
            </w:r>
            <w:r w:rsidRPr="0028707A">
              <w:rPr>
                <w:rFonts w:ascii="Times New Roman" w:eastAsia="Times New Roman" w:hAnsi="Times New Roman" w:cs="Times New Roman"/>
                <w:noProof/>
                <w:color w:val="000000"/>
                <w:sz w:val="24"/>
                <w:szCs w:val="24"/>
              </w:rPr>
              <w:t>Souza et al., 2014</w:t>
            </w:r>
            <w:r>
              <w:rPr>
                <w:rStyle w:val="FootnoteReference"/>
                <w:rFonts w:ascii="Times New Roman" w:eastAsia="Times New Roman" w:hAnsi="Times New Roman" w:cs="Times New Roman"/>
                <w:color w:val="000000"/>
                <w:sz w:val="24"/>
                <w:szCs w:val="24"/>
              </w:rPr>
              <w:fldChar w:fldCharType="end"/>
            </w:r>
          </w:p>
        </w:tc>
      </w:tr>
      <w:tr w:rsidR="003A15B8" w14:paraId="3A76C757" w14:textId="77777777" w:rsidTr="002F6C15">
        <w:trPr>
          <w:trHeight w:val="467"/>
          <w:jc w:val="center"/>
        </w:trPr>
        <w:tc>
          <w:tcPr>
            <w:tcW w:w="2460" w:type="dxa"/>
          </w:tcPr>
          <w:p w14:paraId="7018762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Northeastern</w:t>
            </w:r>
            <w:proofErr w:type="spellEnd"/>
            <w:r>
              <w:rPr>
                <w:rFonts w:ascii="Times New Roman" w:eastAsia="Times New Roman" w:hAnsi="Times New Roman" w:cs="Times New Roman"/>
                <w:color w:val="000000"/>
                <w:sz w:val="24"/>
                <w:szCs w:val="24"/>
              </w:rPr>
              <w:t xml:space="preserve"> Italy</w:t>
            </w:r>
          </w:p>
        </w:tc>
        <w:tc>
          <w:tcPr>
            <w:tcW w:w="1221" w:type="dxa"/>
          </w:tcPr>
          <w:p w14:paraId="75795962"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774" w:type="dxa"/>
          </w:tcPr>
          <w:p w14:paraId="4B66ECD4"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756" w:type="dxa"/>
          </w:tcPr>
          <w:p w14:paraId="46984DF8"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0.19</w:t>
            </w:r>
          </w:p>
        </w:tc>
        <w:tc>
          <w:tcPr>
            <w:tcW w:w="844" w:type="dxa"/>
          </w:tcPr>
          <w:p w14:paraId="5BF3EB79"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w:t>
            </w:r>
          </w:p>
        </w:tc>
        <w:tc>
          <w:tcPr>
            <w:tcW w:w="841" w:type="dxa"/>
          </w:tcPr>
          <w:p w14:paraId="379D6CA1"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04" w:type="dxa"/>
          </w:tcPr>
          <w:p w14:paraId="2D5D3701"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0.31</w:t>
            </w:r>
          </w:p>
        </w:tc>
        <w:tc>
          <w:tcPr>
            <w:tcW w:w="756" w:type="dxa"/>
          </w:tcPr>
          <w:p w14:paraId="6C13E50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0.15</w:t>
            </w:r>
          </w:p>
        </w:tc>
        <w:tc>
          <w:tcPr>
            <w:tcW w:w="802" w:type="dxa"/>
          </w:tcPr>
          <w:p w14:paraId="5245F1D8"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2.3</w:t>
            </w:r>
          </w:p>
        </w:tc>
        <w:tc>
          <w:tcPr>
            <w:tcW w:w="1456" w:type="dxa"/>
          </w:tcPr>
          <w:p w14:paraId="605BBD37" w14:textId="1FC84CDB"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fldLock="1"/>
            </w:r>
            <w:r>
              <w:rPr>
                <w:rFonts w:ascii="Times New Roman" w:eastAsia="Times New Roman" w:hAnsi="Times New Roman" w:cs="Times New Roman"/>
                <w:color w:val="000000"/>
                <w:sz w:val="24"/>
                <w:szCs w:val="24"/>
              </w:rPr>
              <w:instrText>ADDIN CSL_CITATION {"citationItems":[{"id":"ITEM-1","itemData":{"DOI":"10.1016/J.ATMOSENV.2015.06.044","ISSN":"1352-2310","abstract":"The Veneto region lies in the eastern part of the Po Valley (Italy). This is one of the hotspots in Europe for air quality, where efforts to meet the European standard for PM2.5 according to current and future legislation have been generally unsuccessful. Recent data indicating that ammonium, nitrate and sulphate account for about one third of total PM2.5 mass show that secondary inorganic aerosol (SIA) plays a key role in the exceedence of the standards. A sampling campaign for PM2.5 was carried out simultaneously in six major cities (2012-2013). The water soluble inorganic ions were quantified and data processed to: (1) investigate the seasonal trends and the spatial variations of the ionic component of aerosol; (2) identify chemical characteristics at the regional-scale and (3) assess the potential effects of long-range transport using back-trajectory cluster analysis and concentration-weighted trajectory (CWT) models. Results indicated that PM2.5 and SIA ions have an increasing gradient in concentrations from North (mountain) to South (lowland) and from East (coastal) to West (more continental), whereas K+ and Ca2+ levels are quite uniformly distributed. Similar seasonal trends in PM2.5 and ions are seen across the region. Simultaneous daily changes were observed and interpreted as a consequence of similar emission sources, secondary pollutant generation and accumulation/removal processes. Sulphate and nitrate were not directly related to the concentrations of their precursor gases and were generally largely, but not completely, neutralised by ammonium. The clustering of back-trajectories and CWT demonstrate that the long-range movement of the air masses has a major impact upon PM2.5 and ion concentrations: an area spreading from Eastern to Central Europe was identified as a main potential source for most ions. The valley sites are also heavily influenced by local emissions in slow moving northerly air masses. Finally, two episodes of high nitrate levels were investigated to explain why some sites are experiencing much higher concentrations than others. This study identifies some key features in the generation of SIA in the Po Valley, demonstrating that SIA generation is a regional pollution phenomenon and mitigation policies are required at regional, national and even European scales.","author":[{"dropping-particle":"","family":"Masiol","given":"Mauro","non-dropping-particle":"","parse-names":false,"suffix":""},{"dropping-particle":"","family":"Benetello","given":"Francesca","non-dropping-particle":"","parse-names":false,"suffix":""},{"dropping-particle":"","family":"Harrison","given":"Roy M.","non-dropping-particle":"","parse-names":false,"suffix":""},{"dropping-particle":"","family":"Formenton","given":"Gianni","non-dropping-particle":"","parse-names":false,"suffix":""},{"dropping-particle":"","family":"Gaspari","given":"Francesco","non-dropping-particle":"De","parse-names":false,"suffix":""},{"dropping-particle":"","family":"Pavoni","given":"Bruno","non-dropping-particle":"","parse-names":false,"suffix":""}],"container-title":"Atmospheric Environment","id":"ITEM-1","issued":{"date-parts":[["2015","9","1"]]},"page":"19-31","publisher":"Pergamon","title":"Spatial, seasonal trends and transboundary transport of PM2.5 inorganic ions in the Veneto region (Northeastern Italy)","type":"article-journal","volume":"117"},"uris":["http://www.mendeley.com/documents/?uuid=ad0f3dde-fb06-3b52-ab04-ff8fa0508052"]}],"mendeley":{"formattedCitation":"(Masiol et al., 2015)","manualFormatting":"Masiol et al., 2015","plainTextFormattedCitation":"(Masiol et al., 2015)","previouslyFormattedCitation":"(Masiol et al., 2015)"},"properties":{"noteIndex":0},"schema":"https://github.com/citation-style-language/schema/raw/master/csl-citation.json"}</w:instrText>
            </w:r>
            <w:r>
              <w:rPr>
                <w:rFonts w:ascii="Times New Roman" w:eastAsia="Times New Roman" w:hAnsi="Times New Roman" w:cs="Times New Roman"/>
                <w:color w:val="000000"/>
                <w:sz w:val="24"/>
                <w:szCs w:val="24"/>
              </w:rPr>
              <w:fldChar w:fldCharType="separate"/>
            </w:r>
            <w:r w:rsidRPr="00151BD7">
              <w:rPr>
                <w:rFonts w:ascii="Times New Roman" w:eastAsia="Times New Roman" w:hAnsi="Times New Roman" w:cs="Times New Roman"/>
                <w:noProof/>
                <w:color w:val="000000"/>
                <w:sz w:val="24"/>
                <w:szCs w:val="24"/>
              </w:rPr>
              <w:t>Masiol et al., 2015</w:t>
            </w:r>
            <w:r>
              <w:rPr>
                <w:rFonts w:ascii="Times New Roman" w:eastAsia="Times New Roman" w:hAnsi="Times New Roman" w:cs="Times New Roman"/>
                <w:color w:val="000000"/>
                <w:sz w:val="24"/>
                <w:szCs w:val="24"/>
              </w:rPr>
              <w:fldChar w:fldCharType="end"/>
            </w:r>
          </w:p>
        </w:tc>
      </w:tr>
      <w:tr w:rsidR="003A15B8" w14:paraId="24378A4E" w14:textId="77777777" w:rsidTr="002F6C15">
        <w:trPr>
          <w:trHeight w:val="467"/>
          <w:jc w:val="center"/>
        </w:trPr>
        <w:tc>
          <w:tcPr>
            <w:tcW w:w="2460" w:type="dxa"/>
          </w:tcPr>
          <w:p w14:paraId="79CA1EB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Vellore, India (Residential)</w:t>
            </w:r>
          </w:p>
        </w:tc>
        <w:tc>
          <w:tcPr>
            <w:tcW w:w="1221" w:type="dxa"/>
          </w:tcPr>
          <w:p w14:paraId="5A08F83E"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774" w:type="dxa"/>
          </w:tcPr>
          <w:p w14:paraId="25285158"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shd w:val="clear" w:color="auto" w:fill="FCFCFC"/>
              </w:rPr>
              <w:t>0.7</w:t>
            </w:r>
          </w:p>
        </w:tc>
        <w:tc>
          <w:tcPr>
            <w:tcW w:w="756" w:type="dxa"/>
          </w:tcPr>
          <w:p w14:paraId="16C56940"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844" w:type="dxa"/>
          </w:tcPr>
          <w:p w14:paraId="2E636C48"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12.8</w:t>
            </w:r>
          </w:p>
        </w:tc>
        <w:tc>
          <w:tcPr>
            <w:tcW w:w="841" w:type="dxa"/>
          </w:tcPr>
          <w:p w14:paraId="373DCA31"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04" w:type="dxa"/>
          </w:tcPr>
          <w:p w14:paraId="588290F1"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6" w:type="dxa"/>
          </w:tcPr>
          <w:p w14:paraId="23FF50E8"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w:t>
            </w:r>
          </w:p>
        </w:tc>
        <w:tc>
          <w:tcPr>
            <w:tcW w:w="802" w:type="dxa"/>
          </w:tcPr>
          <w:p w14:paraId="14CFA894"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w:t>
            </w:r>
          </w:p>
        </w:tc>
        <w:tc>
          <w:tcPr>
            <w:tcW w:w="1456" w:type="dxa"/>
          </w:tcPr>
          <w:p w14:paraId="7D82F680" w14:textId="77777777"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Style w:val="FootnoteReference"/>
                <w:rFonts w:ascii="Times New Roman" w:eastAsia="Times New Roman" w:hAnsi="Times New Roman" w:cs="Times New Roman"/>
                <w:color w:val="000000"/>
                <w:sz w:val="24"/>
                <w:szCs w:val="24"/>
              </w:rPr>
              <w:fldChar w:fldCharType="begin" w:fldLock="1"/>
            </w:r>
            <w:r>
              <w:rPr>
                <w:rFonts w:ascii="Times New Roman" w:eastAsia="Times New Roman" w:hAnsi="Times New Roman" w:cs="Times New Roman"/>
                <w:color w:val="000000"/>
                <w:sz w:val="24"/>
                <w:szCs w:val="24"/>
              </w:rPr>
              <w:instrText>ADDIN CSL_CITATION {"citationItems":[{"id":"ITEM-1","itemData":{"DOI":"10.1007/s10653-022-01327-4","ISBN":"0123456789","ISSN":"1573-2983","author":[{"dropping-particle":"","family":"Jithin","given":"N Manojkumar","non-dropping-particle":"","parse-names":false,"suffix":""},{"dropping-particle":"","family":"Gowtham","given":"Jose","non-dropping-particle":"","parse-names":false,"suffix":""},{"dropping-particle":"","family":"Srimuruganandam","given":"Ankur Bhardwaj B","non-dropping-particle":"","parse-names":false,"suffix":""}],"container-title":"Environmental Geochemistry and Health","id":"ITEM-1","issue":"0123456789","issued":{"date-parts":[["2022"]]},"publisher":"Springer Netherlands","title":"Mass , composition , and sources of particulate matter in residential and traffic sites of an urban environment","type":"article-journal"},"uris":["http://www.mendeley.com/documents/?uuid=1824be15-179d-4c26-b615-e53a68596773"]}],"mendeley":{"formattedCitation":"(Jithin et al., 2022)","manualFormatting":"Jithin et al., 2022","plainTextFormattedCitation":"(Jithin et al., 2022)","previouslyFormattedCitation":"(Jithin et al., 2022)"},"properties":{"noteIndex":0},"schema":"https://github.com/citation-style-language/schema/raw/master/csl-citation.json"}</w:instrText>
            </w:r>
            <w:r>
              <w:rPr>
                <w:rStyle w:val="FootnoteReference"/>
                <w:rFonts w:ascii="Times New Roman" w:eastAsia="Times New Roman" w:hAnsi="Times New Roman" w:cs="Times New Roman"/>
                <w:color w:val="000000"/>
                <w:sz w:val="24"/>
                <w:szCs w:val="24"/>
              </w:rPr>
              <w:fldChar w:fldCharType="separate"/>
            </w:r>
            <w:r w:rsidRPr="0028707A">
              <w:rPr>
                <w:rFonts w:ascii="Times New Roman" w:eastAsia="Times New Roman" w:hAnsi="Times New Roman" w:cs="Times New Roman"/>
                <w:noProof/>
                <w:color w:val="000000"/>
                <w:sz w:val="24"/>
                <w:szCs w:val="24"/>
              </w:rPr>
              <w:t>Jithin et al., 2022</w:t>
            </w:r>
            <w:r>
              <w:rPr>
                <w:rStyle w:val="FootnoteReference"/>
                <w:rFonts w:ascii="Times New Roman" w:eastAsia="Times New Roman" w:hAnsi="Times New Roman" w:cs="Times New Roman"/>
                <w:color w:val="000000"/>
                <w:sz w:val="24"/>
                <w:szCs w:val="24"/>
              </w:rPr>
              <w:fldChar w:fldCharType="end"/>
            </w:r>
          </w:p>
        </w:tc>
      </w:tr>
      <w:tr w:rsidR="003A15B8" w14:paraId="7EA3936D" w14:textId="77777777" w:rsidTr="002F6C15">
        <w:trPr>
          <w:trHeight w:val="467"/>
          <w:jc w:val="center"/>
        </w:trPr>
        <w:tc>
          <w:tcPr>
            <w:tcW w:w="2460" w:type="dxa"/>
          </w:tcPr>
          <w:p w14:paraId="01C1AB48"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Vellore, India (Traffic)</w:t>
            </w:r>
          </w:p>
        </w:tc>
        <w:tc>
          <w:tcPr>
            <w:tcW w:w="1221" w:type="dxa"/>
          </w:tcPr>
          <w:p w14:paraId="7DD48D91"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38</w:t>
            </w:r>
          </w:p>
        </w:tc>
        <w:tc>
          <w:tcPr>
            <w:tcW w:w="774" w:type="dxa"/>
          </w:tcPr>
          <w:p w14:paraId="5E47FE8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756" w:type="dxa"/>
          </w:tcPr>
          <w:p w14:paraId="0AFC150D"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w:t>
            </w:r>
          </w:p>
        </w:tc>
        <w:tc>
          <w:tcPr>
            <w:tcW w:w="844" w:type="dxa"/>
          </w:tcPr>
          <w:p w14:paraId="03C05A4F"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w:t>
            </w:r>
          </w:p>
        </w:tc>
        <w:tc>
          <w:tcPr>
            <w:tcW w:w="841" w:type="dxa"/>
          </w:tcPr>
          <w:p w14:paraId="0555403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w:t>
            </w:r>
          </w:p>
        </w:tc>
        <w:tc>
          <w:tcPr>
            <w:tcW w:w="704" w:type="dxa"/>
          </w:tcPr>
          <w:p w14:paraId="328D9509"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6" w:type="dxa"/>
          </w:tcPr>
          <w:p w14:paraId="7C9B5B4C"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w:t>
            </w:r>
          </w:p>
        </w:tc>
        <w:tc>
          <w:tcPr>
            <w:tcW w:w="802" w:type="dxa"/>
          </w:tcPr>
          <w:p w14:paraId="6F0A7B6D"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w:t>
            </w:r>
          </w:p>
        </w:tc>
        <w:tc>
          <w:tcPr>
            <w:tcW w:w="1456" w:type="dxa"/>
          </w:tcPr>
          <w:p w14:paraId="002DF884" w14:textId="77777777"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Style w:val="FootnoteReference"/>
                <w:rFonts w:ascii="Times New Roman" w:eastAsia="Times New Roman" w:hAnsi="Times New Roman" w:cs="Times New Roman"/>
                <w:color w:val="000000"/>
                <w:sz w:val="24"/>
                <w:szCs w:val="24"/>
              </w:rPr>
              <w:fldChar w:fldCharType="begin" w:fldLock="1"/>
            </w:r>
            <w:r>
              <w:rPr>
                <w:rFonts w:ascii="Times New Roman" w:eastAsia="Times New Roman" w:hAnsi="Times New Roman" w:cs="Times New Roman"/>
                <w:color w:val="000000"/>
                <w:sz w:val="24"/>
                <w:szCs w:val="24"/>
              </w:rPr>
              <w:instrText>ADDIN CSL_CITATION {"citationItems":[{"id":"ITEM-1","itemData":{"DOI":"10.1007/s10653-022-01327-4","ISBN":"0123456789","ISSN":"1573-2983","author":[{"dropping-particle":"","family":"Jithin","given":"N Manojkumar","non-dropping-particle":"","parse-names":false,"suffix":""},{"dropping-particle":"","family":"Gowtham","given":"Jose","non-dropping-particle":"","parse-names":false,"suffix":""},{"dropping-particle":"","family":"Srimuruganandam","given":"Ankur Bhardwaj B","non-dropping-particle":"","parse-names":false,"suffix":""}],"container-title":"Environmental Geochemistry and Health","id":"ITEM-1","issue":"0123456789","issued":{"date-parts":[["2022"]]},"publisher":"Springer Netherlands","title":"Mass , composition , and sources of particulate matter in residential and traffic sites of an urban environment","type":"article-journal"},"uris":["http://www.mendeley.com/documents/?uuid=1824be15-179d-4c26-b615-e53a68596773"]}],"mendeley":{"formattedCitation":"(Jithin et al., 2022)","manualFormatting":"Jithin et al., 2022","plainTextFormattedCitation":"(Jithin et al., 2022)","previouslyFormattedCitation":"(Jithin et al., 2022)"},"properties":{"noteIndex":0},"schema":"https://github.com/citation-style-language/schema/raw/master/csl-citation.json"}</w:instrText>
            </w:r>
            <w:r>
              <w:rPr>
                <w:rStyle w:val="FootnoteReference"/>
                <w:rFonts w:ascii="Times New Roman" w:eastAsia="Times New Roman" w:hAnsi="Times New Roman" w:cs="Times New Roman"/>
                <w:color w:val="000000"/>
                <w:sz w:val="24"/>
                <w:szCs w:val="24"/>
              </w:rPr>
              <w:fldChar w:fldCharType="separate"/>
            </w:r>
            <w:r w:rsidRPr="0028707A">
              <w:rPr>
                <w:rFonts w:ascii="Times New Roman" w:eastAsia="Times New Roman" w:hAnsi="Times New Roman" w:cs="Times New Roman"/>
                <w:noProof/>
                <w:color w:val="000000"/>
                <w:sz w:val="24"/>
                <w:szCs w:val="24"/>
              </w:rPr>
              <w:t>Jithin et al., 2022</w:t>
            </w:r>
            <w:r>
              <w:rPr>
                <w:rStyle w:val="FootnoteReference"/>
                <w:rFonts w:ascii="Times New Roman" w:eastAsia="Times New Roman" w:hAnsi="Times New Roman" w:cs="Times New Roman"/>
                <w:color w:val="000000"/>
                <w:sz w:val="24"/>
                <w:szCs w:val="24"/>
              </w:rPr>
              <w:fldChar w:fldCharType="end"/>
            </w:r>
          </w:p>
        </w:tc>
      </w:tr>
      <w:tr w:rsidR="003A15B8" w14:paraId="03FB4D58" w14:textId="77777777" w:rsidTr="002F6C15">
        <w:trPr>
          <w:trHeight w:val="467"/>
          <w:jc w:val="center"/>
        </w:trPr>
        <w:tc>
          <w:tcPr>
            <w:tcW w:w="2460" w:type="dxa"/>
          </w:tcPr>
          <w:p w14:paraId="645BB4A2"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Bhubaneswar</w:t>
            </w:r>
          </w:p>
        </w:tc>
        <w:tc>
          <w:tcPr>
            <w:tcW w:w="1221" w:type="dxa"/>
          </w:tcPr>
          <w:p w14:paraId="2D2D92A1"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129</w:t>
            </w:r>
          </w:p>
        </w:tc>
        <w:tc>
          <w:tcPr>
            <w:tcW w:w="774" w:type="dxa"/>
          </w:tcPr>
          <w:p w14:paraId="485EF3EB"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5.9</w:t>
            </w:r>
          </w:p>
        </w:tc>
        <w:tc>
          <w:tcPr>
            <w:tcW w:w="756" w:type="dxa"/>
          </w:tcPr>
          <w:p w14:paraId="7DC05882"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844" w:type="dxa"/>
          </w:tcPr>
          <w:p w14:paraId="571060C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18.2</w:t>
            </w:r>
          </w:p>
        </w:tc>
        <w:tc>
          <w:tcPr>
            <w:tcW w:w="841" w:type="dxa"/>
          </w:tcPr>
          <w:p w14:paraId="2A5D54FD"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0.03</w:t>
            </w:r>
          </w:p>
        </w:tc>
        <w:tc>
          <w:tcPr>
            <w:tcW w:w="704" w:type="dxa"/>
          </w:tcPr>
          <w:p w14:paraId="5992253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w:t>
            </w:r>
          </w:p>
        </w:tc>
        <w:tc>
          <w:tcPr>
            <w:tcW w:w="756" w:type="dxa"/>
          </w:tcPr>
          <w:p w14:paraId="56AA3E0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2.5</w:t>
            </w:r>
          </w:p>
        </w:tc>
        <w:tc>
          <w:tcPr>
            <w:tcW w:w="802" w:type="dxa"/>
          </w:tcPr>
          <w:p w14:paraId="5C1AF307"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8.4</w:t>
            </w:r>
          </w:p>
        </w:tc>
        <w:tc>
          <w:tcPr>
            <w:tcW w:w="1456" w:type="dxa"/>
          </w:tcPr>
          <w:p w14:paraId="10EA34E1" w14:textId="77777777"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Style w:val="FootnoteReference"/>
                <w:rFonts w:ascii="Times New Roman" w:eastAsia="Times New Roman" w:hAnsi="Times New Roman" w:cs="Times New Roman"/>
                <w:color w:val="000000"/>
                <w:sz w:val="24"/>
                <w:szCs w:val="24"/>
              </w:rPr>
              <w:fldChar w:fldCharType="begin" w:fldLock="1"/>
            </w:r>
            <w:r>
              <w:rPr>
                <w:rFonts w:ascii="Times New Roman" w:eastAsia="Times New Roman" w:hAnsi="Times New Roman" w:cs="Times New Roman"/>
                <w:color w:val="000000"/>
                <w:sz w:val="24"/>
                <w:szCs w:val="24"/>
              </w:rPr>
              <w:instrText>ADDIN CSL_CITATION {"citationItems":[{"id":"ITEM-1","itemData":{"DOI":"10.1016/j.apr.2021.101164","ISSN":"13091042","abstract":"Bhubaneswar is a rapidly developing city in the eastern coast of India. Previous studies are evidence of the importance of its location for understanding the outflow of pollutants from mainland India into the Bay of Bengal, specifically during the winter. Therefore, we present the characteristics of PM2.5 (particulate matter with aerodynamic diameter &lt; 2.5 μm) collected during a land campaign between November 2014 and January 2015 (representing the winter). Gravimetric measurement of mean PM2.5 was in the range of 101–142 μg/m3 at different locations that was approximately 65–135% higher than the 24 h average National Ambient Air Quality Standards (NAAQS). Spectrometric measurement of PM2.5 and PM1.0 depicted a typical diurnal pattern with distinct morning and evening peaks, confirming similar source contribution and a higher accumulation mode PM over the traffic location. For example, 85.7, 79.1, 80.6, and 84.8 % of PM1.0 contributed to PM2.5 at reference, residential, industrial, and traffic sites, respectively. Chemical characterization and Positive Matrix Factorization (PMF) indicated four most probable sources of PM2.5 with major contributions from vehicular emissions (32.2 %), followed by industrial (25.8 %), combustion (coal, oil, and biomass burning at 22.4 %), and crustal sources (19.7 %). Enrichment factors and mass closure analysis supports this observation. Microstructural analysis broadly classified the PM2.5 particles into four categories. For the first time Endotoxin concentrations in ambient PM2.5 (0.021 ± 0.022 EU/m3) were quantified as a step ahead to understand the biological composition of PM. Heavy metals detected in PM2.5 were used to perform an excess cancer risk assessment.","author":[{"dropping-particle":"","family":"Mahapatra","given":"Parth Sarathi","non-dropping-particle":"","parse-names":false,"suffix":""},{"dropping-particle":"","family":"Panda","given":"Upasana","non-dropping-particle":"","parse-names":false,"suffix":""},{"dropping-particle":"","family":"Mallik","given":"Chinmay","non-dropping-particle":"","parse-names":false,"suffix":""},{"dropping-particle":"","family":"Boopathy","given":"R.","non-dropping-particle":"","parse-names":false,"suffix":""},{"dropping-particle":"","family":"Jain","given":"Sumeet","non-dropping-particle":"","parse-names":false,"suffix":""},{"dropping-particle":"","family":"Sharma","given":"Sudhir Kumar","non-dropping-particle":"","parse-names":false,"suffix":""},{"dropping-particle":"","family":"Mandal","given":"T. K.","non-dropping-particle":"","parse-names":false,"suffix":""},{"dropping-particle":"","family":"Senapati","given":"Shantibhusan","non-dropping-particle":"","parse-names":false,"suffix":""},{"dropping-particle":"","family":"Satpathy","given":"Priyadatta","non-dropping-particle":"","parse-names":false,"suffix":""},{"dropping-particle":"","family":"Panda","given":"Subhasmita","non-dropping-particle":"","parse-names":false,"suffix":""},{"dropping-particle":"","family":"Das","given":"Trupti","non-dropping-particle":"","parse-names":false,"suffix":""}],"container-title":"Atmospheric Pollution Research","id":"ITEM-1","issue":"9","issued":{"date-parts":[["2021"]]},"page":"101164","publisher":"Elsevier B.V.","title":"Chemical, microstructural, and biological characterization of wintertime PM2.5 during a land campaign study in a coastal city of eastern India","type":"article-journal","volume":"12"},"uris":["http://www.mendeley.com/documents/?uuid=01af5cc8-a382-4e27-89e1-9381d7e95bcd"]}],"mendeley":{"formattedCitation":"(Mahapatra et al., 2021)","manualFormatting":"Mahapatra et al., 2021","plainTextFormattedCitation":"(Mahapatra et al., 2021)","previouslyFormattedCitation":"(Mahapatra et al., 2021)"},"properties":{"noteIndex":0},"schema":"https://github.com/citation-style-language/schema/raw/master/csl-citation.json"}</w:instrText>
            </w:r>
            <w:r>
              <w:rPr>
                <w:rStyle w:val="FootnoteReference"/>
                <w:rFonts w:ascii="Times New Roman" w:eastAsia="Times New Roman" w:hAnsi="Times New Roman" w:cs="Times New Roman"/>
                <w:color w:val="000000"/>
                <w:sz w:val="24"/>
                <w:szCs w:val="24"/>
              </w:rPr>
              <w:fldChar w:fldCharType="separate"/>
            </w:r>
            <w:r w:rsidRPr="0028707A">
              <w:rPr>
                <w:rFonts w:ascii="Times New Roman" w:eastAsia="Times New Roman" w:hAnsi="Times New Roman" w:cs="Times New Roman"/>
                <w:bCs/>
                <w:noProof/>
                <w:color w:val="000000"/>
                <w:sz w:val="24"/>
                <w:szCs w:val="24"/>
                <w:lang w:val="en-US"/>
              </w:rPr>
              <w:t>Mahapatra et al., 2021</w:t>
            </w:r>
            <w:r>
              <w:rPr>
                <w:rStyle w:val="FootnoteReference"/>
                <w:rFonts w:ascii="Times New Roman" w:eastAsia="Times New Roman" w:hAnsi="Times New Roman" w:cs="Times New Roman"/>
                <w:color w:val="000000"/>
                <w:sz w:val="24"/>
                <w:szCs w:val="24"/>
              </w:rPr>
              <w:fldChar w:fldCharType="end"/>
            </w:r>
          </w:p>
        </w:tc>
      </w:tr>
      <w:tr w:rsidR="003A15B8" w14:paraId="643800A6" w14:textId="77777777" w:rsidTr="002F6C15">
        <w:trPr>
          <w:trHeight w:val="467"/>
          <w:jc w:val="center"/>
        </w:trPr>
        <w:tc>
          <w:tcPr>
            <w:tcW w:w="2460" w:type="dxa"/>
          </w:tcPr>
          <w:p w14:paraId="5AD2E5E2"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Kolkata</w:t>
            </w:r>
          </w:p>
        </w:tc>
        <w:tc>
          <w:tcPr>
            <w:tcW w:w="1221" w:type="dxa"/>
          </w:tcPr>
          <w:p w14:paraId="67CA02C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93.2</w:t>
            </w:r>
          </w:p>
        </w:tc>
        <w:tc>
          <w:tcPr>
            <w:tcW w:w="774" w:type="dxa"/>
          </w:tcPr>
          <w:p w14:paraId="4BD9EA9B"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0.08</w:t>
            </w:r>
          </w:p>
        </w:tc>
        <w:tc>
          <w:tcPr>
            <w:tcW w:w="756" w:type="dxa"/>
          </w:tcPr>
          <w:p w14:paraId="020A1361"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0.03</w:t>
            </w:r>
          </w:p>
        </w:tc>
        <w:tc>
          <w:tcPr>
            <w:tcW w:w="844" w:type="dxa"/>
          </w:tcPr>
          <w:p w14:paraId="57962643"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0.67</w:t>
            </w:r>
          </w:p>
        </w:tc>
        <w:tc>
          <w:tcPr>
            <w:tcW w:w="841" w:type="dxa"/>
          </w:tcPr>
          <w:p w14:paraId="3646B0C2"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0.05</w:t>
            </w:r>
          </w:p>
        </w:tc>
        <w:tc>
          <w:tcPr>
            <w:tcW w:w="704" w:type="dxa"/>
          </w:tcPr>
          <w:p w14:paraId="50F7D9D8"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1.18</w:t>
            </w:r>
          </w:p>
        </w:tc>
        <w:tc>
          <w:tcPr>
            <w:tcW w:w="756" w:type="dxa"/>
          </w:tcPr>
          <w:p w14:paraId="4F6D055D"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1.26</w:t>
            </w:r>
          </w:p>
        </w:tc>
        <w:tc>
          <w:tcPr>
            <w:tcW w:w="802" w:type="dxa"/>
          </w:tcPr>
          <w:p w14:paraId="2473AF1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8.61</w:t>
            </w:r>
          </w:p>
        </w:tc>
        <w:tc>
          <w:tcPr>
            <w:tcW w:w="1456" w:type="dxa"/>
          </w:tcPr>
          <w:p w14:paraId="05107A7F" w14:textId="77777777"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Style w:val="FootnoteReference"/>
                <w:rFonts w:ascii="Times New Roman" w:eastAsia="Times New Roman" w:hAnsi="Times New Roman" w:cs="Times New Roman"/>
                <w:color w:val="000000"/>
                <w:sz w:val="24"/>
                <w:szCs w:val="24"/>
              </w:rPr>
              <w:fldChar w:fldCharType="begin" w:fldLock="1"/>
            </w:r>
            <w:r>
              <w:rPr>
                <w:rFonts w:ascii="Times New Roman" w:eastAsia="Times New Roman" w:hAnsi="Times New Roman" w:cs="Times New Roman"/>
                <w:color w:val="000000"/>
                <w:sz w:val="24"/>
                <w:szCs w:val="24"/>
              </w:rPr>
              <w:instrText>ADDIN CSL_CITATION {"citationItems":[{"id":"ITEM-1","itemData":{"DOI":"10.1016/J.UCLIM.2020.100663","ISSN":"2212-0955","abstract":"Although air pollution is a global problem, the densely populated developing countries, for instance, India, face severe air pollution. Rapid economic growth and poorly regulated developmental activities have further deteriorated the air quality in this region. Hence, a comprehensive investigation is essential to address the problems of air pollution in this region. In this study, we investigated the chemical composition and sources of PM10 and PM2.5 in 24 h particulate samples collected across seven urban sites (New Delhi, Kanpur, Prayagraj, Varanasi, Patna, Bhagalpur, and Kolkata) in Indo-Gangetic Plain of India during May–June 2017 in order to understand fate, sources and environmental effect of aerosols. Overall, the concentration of PM10 and PM2.5 (118–195 μg/m3 and 66–98 μg/m3, respectively) exceeded the National Ambient Air Quality Standard (100 μg/m3 and 60 μg/m3 for PM10 and PM2.5, respectively) set by the Central Pollution Control Board of India. The smaller cities (such as Bhagalpur and Varanasi) were relatively more polluted than some of the megacities (New Delhi and Kolkata). Carbonaceous aerosols (CAs) were more prevalent than water-soluble inorganic ions (WSIIs) irrespective of the particulate fraction. Generally, the NH4+, Na+, and Mg2+ were mostly dominated in PM10 and accounted for 35–67%, 1–17%, and 2–21% of WSIIs, respectively. While NH4+, K+, and SO42− were most abundant in PM2.5, and accounted for 24–57%, 10–35%, and 8–15% of WSIIs, respectively. Organic carbon (OC) was 3–5 times higher than elemental carbon (EC) for PM10 and PM2.5 in every one of the seven sites. The source assessment study indicated that the large part of air quality in IGP is affected by local sources as well as long-range atmospheric transport of continental and marine air mass from south-west India, central India, and the Bay of Bengal.","author":[{"dropping-particle":"","family":"Devi","given":"Ningombam Linthoingambi","non-dropping-particle":"","parse-names":false,"suffix":""},{"dropping-particle":"","family":"Kumar","given":"Amrendra","non-dropping-particle":"","parse-names":false,"suffix":""},{"dropping-particle":"","family":"Yadav","given":"Ishwar Chandra","non-dropping-particle":"","parse-names":false,"suffix":""}],"container-title":"Urban Climate","id":"ITEM-1","issued":{"date-parts":[["2020","9","1"]]},"page":"100663","publisher":"Elsevier","title":"PM10 and PM2.5 in Indo-Gangetic Plain (IGP) of India: Chemical characterization, source analysis, and transport pathways","type":"article-journal","volume":"33"},"uris":["http://www.mendeley.com/documents/?uuid=be4ecd85-99c5-3286-9846-4707fea57590"]}],"mendeley":{"formattedCitation":"(Devi et al., 2020)","manualFormatting":"Devi et al., 2020","plainTextFormattedCitation":"(Devi et al., 2020)","previouslyFormattedCitation":"(Devi et al., 2020)"},"properties":{"noteIndex":0},"schema":"https://github.com/citation-style-language/schema/raw/master/csl-citation.json"}</w:instrText>
            </w:r>
            <w:r>
              <w:rPr>
                <w:rStyle w:val="FootnoteReference"/>
                <w:rFonts w:ascii="Times New Roman" w:eastAsia="Times New Roman" w:hAnsi="Times New Roman" w:cs="Times New Roman"/>
                <w:color w:val="000000"/>
                <w:sz w:val="24"/>
                <w:szCs w:val="24"/>
              </w:rPr>
              <w:fldChar w:fldCharType="separate"/>
            </w:r>
            <w:r w:rsidRPr="0028707A">
              <w:rPr>
                <w:rFonts w:ascii="Times New Roman" w:eastAsia="Times New Roman" w:hAnsi="Times New Roman" w:cs="Times New Roman"/>
                <w:noProof/>
                <w:color w:val="000000"/>
                <w:sz w:val="24"/>
                <w:szCs w:val="24"/>
              </w:rPr>
              <w:t>Devi et al., 2020</w:t>
            </w:r>
            <w:r>
              <w:rPr>
                <w:rStyle w:val="FootnoteReference"/>
                <w:rFonts w:ascii="Times New Roman" w:eastAsia="Times New Roman" w:hAnsi="Times New Roman" w:cs="Times New Roman"/>
                <w:color w:val="000000"/>
                <w:sz w:val="24"/>
                <w:szCs w:val="24"/>
              </w:rPr>
              <w:fldChar w:fldCharType="end"/>
            </w:r>
          </w:p>
        </w:tc>
      </w:tr>
      <w:tr w:rsidR="003A15B8" w14:paraId="174F0387" w14:textId="77777777" w:rsidTr="002F6C15">
        <w:trPr>
          <w:trHeight w:val="467"/>
          <w:jc w:val="center"/>
        </w:trPr>
        <w:tc>
          <w:tcPr>
            <w:tcW w:w="2460" w:type="dxa"/>
          </w:tcPr>
          <w:p w14:paraId="537DC814"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Visakhapatnam</w:t>
            </w:r>
          </w:p>
        </w:tc>
        <w:tc>
          <w:tcPr>
            <w:tcW w:w="1221" w:type="dxa"/>
          </w:tcPr>
          <w:p w14:paraId="1B719710"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65.4 (PM</w:t>
            </w:r>
            <w:r>
              <w:rPr>
                <w:rFonts w:ascii="Times New Roman" w:eastAsia="Times New Roman" w:hAnsi="Times New Roman" w:cs="Times New Roman"/>
                <w:color w:val="000000"/>
                <w:sz w:val="24"/>
                <w:szCs w:val="24"/>
                <w:vertAlign w:val="subscript"/>
              </w:rPr>
              <w:t>10</w:t>
            </w:r>
            <w:r>
              <w:rPr>
                <w:rFonts w:ascii="Times New Roman" w:eastAsia="Times New Roman" w:hAnsi="Times New Roman" w:cs="Times New Roman"/>
                <w:color w:val="000000"/>
                <w:sz w:val="24"/>
                <w:szCs w:val="24"/>
              </w:rPr>
              <w:t>)</w:t>
            </w:r>
          </w:p>
        </w:tc>
        <w:tc>
          <w:tcPr>
            <w:tcW w:w="774" w:type="dxa"/>
          </w:tcPr>
          <w:p w14:paraId="6FBCF496"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c>
          <w:tcPr>
            <w:tcW w:w="756" w:type="dxa"/>
          </w:tcPr>
          <w:p w14:paraId="3F000C0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1.80</w:t>
            </w:r>
          </w:p>
        </w:tc>
        <w:tc>
          <w:tcPr>
            <w:tcW w:w="844" w:type="dxa"/>
          </w:tcPr>
          <w:p w14:paraId="7FDAA4AF"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2.85</w:t>
            </w:r>
          </w:p>
        </w:tc>
        <w:tc>
          <w:tcPr>
            <w:tcW w:w="841" w:type="dxa"/>
          </w:tcPr>
          <w:p w14:paraId="01ECD19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0.35</w:t>
            </w:r>
          </w:p>
        </w:tc>
        <w:tc>
          <w:tcPr>
            <w:tcW w:w="704" w:type="dxa"/>
          </w:tcPr>
          <w:p w14:paraId="7531B684"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3.15</w:t>
            </w:r>
          </w:p>
        </w:tc>
        <w:tc>
          <w:tcPr>
            <w:tcW w:w="756" w:type="dxa"/>
          </w:tcPr>
          <w:p w14:paraId="0F33E14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1.22</w:t>
            </w:r>
          </w:p>
        </w:tc>
        <w:tc>
          <w:tcPr>
            <w:tcW w:w="802" w:type="dxa"/>
          </w:tcPr>
          <w:p w14:paraId="54569DB0"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0.84</w:t>
            </w:r>
          </w:p>
        </w:tc>
        <w:tc>
          <w:tcPr>
            <w:tcW w:w="1456" w:type="dxa"/>
          </w:tcPr>
          <w:p w14:paraId="19EC3F8F" w14:textId="77777777"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Style w:val="FootnoteReference"/>
                <w:rFonts w:ascii="Times New Roman" w:eastAsia="Times New Roman" w:hAnsi="Times New Roman" w:cs="Times New Roman"/>
                <w:color w:val="000000"/>
                <w:sz w:val="24"/>
                <w:szCs w:val="24"/>
              </w:rPr>
              <w:fldChar w:fldCharType="begin" w:fldLock="1"/>
            </w:r>
            <w:r>
              <w:rPr>
                <w:rFonts w:ascii="Times New Roman" w:eastAsia="Times New Roman" w:hAnsi="Times New Roman" w:cs="Times New Roman"/>
                <w:color w:val="000000"/>
                <w:sz w:val="24"/>
                <w:szCs w:val="24"/>
              </w:rPr>
              <w:instrText>ADDIN CSL_CITATION {"citationItems":[{"id":"ITEM-1","itemData":{"DOI":"10.1016/j.apr.2016.03.007","ISSN":"1309-1042","author":[{"dropping-particle":"","family":"Police","given":"Sandeep","non-dropping-particle":"","parse-names":false,"suffix":""},{"dropping-particle":"","family":"Sahu","given":"Sanjay Kumar","non-dropping-particle":"","parse-names":false,"suffix":""},{"dropping-particle":"","family":"Pandit","given":"Gauri Girish","non-dropping-particle":"","parse-names":false,"suffix":""}],"container-title":"Atmospheric Pollution Research","id":"ITEM-1","issue":"4","issued":{"date-parts":[["2016"]]},"page":"725-733","publisher":"Elsevier Ltd","title":"Chemical characterization of atmospheric particulate matter and their source apportionment at an emerging industrial coastal city ,","type":"article-journal","volume":"7"},"uris":["http://www.mendeley.com/documents/?uuid=19aa7b18-40f2-4c02-809c-e93e15a67bdd"]}],"mendeley":{"formattedCitation":"(Police et al., 2016)","manualFormatting":"Police et al., 2016","plainTextFormattedCitation":"(Police et al., 2016)","previouslyFormattedCitation":"(Police et al., 2016)"},"properties":{"noteIndex":0},"schema":"https://github.com/citation-style-language/schema/raw/master/csl-citation.json"}</w:instrText>
            </w:r>
            <w:r>
              <w:rPr>
                <w:rStyle w:val="FootnoteReference"/>
                <w:rFonts w:ascii="Times New Roman" w:eastAsia="Times New Roman" w:hAnsi="Times New Roman" w:cs="Times New Roman"/>
                <w:color w:val="000000"/>
                <w:sz w:val="24"/>
                <w:szCs w:val="24"/>
              </w:rPr>
              <w:fldChar w:fldCharType="separate"/>
            </w:r>
            <w:r w:rsidRPr="0028707A">
              <w:rPr>
                <w:rFonts w:ascii="Times New Roman" w:eastAsia="Times New Roman" w:hAnsi="Times New Roman" w:cs="Times New Roman"/>
                <w:bCs/>
                <w:noProof/>
                <w:color w:val="000000"/>
                <w:sz w:val="24"/>
                <w:szCs w:val="24"/>
                <w:lang w:val="en-US"/>
              </w:rPr>
              <w:t>Police et al., 2016</w:t>
            </w:r>
            <w:r>
              <w:rPr>
                <w:rStyle w:val="FootnoteReference"/>
                <w:rFonts w:ascii="Times New Roman" w:eastAsia="Times New Roman" w:hAnsi="Times New Roman" w:cs="Times New Roman"/>
                <w:color w:val="000000"/>
                <w:sz w:val="24"/>
                <w:szCs w:val="24"/>
              </w:rPr>
              <w:fldChar w:fldCharType="end"/>
            </w:r>
          </w:p>
        </w:tc>
      </w:tr>
      <w:tr w:rsidR="003A15B8" w14:paraId="725AEE4B" w14:textId="77777777" w:rsidTr="002F6C15">
        <w:trPr>
          <w:trHeight w:val="467"/>
          <w:jc w:val="center"/>
        </w:trPr>
        <w:tc>
          <w:tcPr>
            <w:tcW w:w="2460" w:type="dxa"/>
          </w:tcPr>
          <w:p w14:paraId="4D471CD2"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Chennai</w:t>
            </w:r>
          </w:p>
        </w:tc>
        <w:tc>
          <w:tcPr>
            <w:tcW w:w="1221" w:type="dxa"/>
          </w:tcPr>
          <w:p w14:paraId="3C2988C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170 (SPM)</w:t>
            </w:r>
          </w:p>
        </w:tc>
        <w:tc>
          <w:tcPr>
            <w:tcW w:w="774" w:type="dxa"/>
          </w:tcPr>
          <w:p w14:paraId="2070B74C"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5.35</w:t>
            </w:r>
          </w:p>
        </w:tc>
        <w:tc>
          <w:tcPr>
            <w:tcW w:w="756" w:type="dxa"/>
          </w:tcPr>
          <w:p w14:paraId="1F34AE43"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3.47</w:t>
            </w:r>
          </w:p>
        </w:tc>
        <w:tc>
          <w:tcPr>
            <w:tcW w:w="844" w:type="dxa"/>
          </w:tcPr>
          <w:p w14:paraId="430DF70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10.88</w:t>
            </w:r>
          </w:p>
        </w:tc>
        <w:tc>
          <w:tcPr>
            <w:tcW w:w="841" w:type="dxa"/>
          </w:tcPr>
          <w:p w14:paraId="09CB050A"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0.25</w:t>
            </w:r>
          </w:p>
        </w:tc>
        <w:tc>
          <w:tcPr>
            <w:tcW w:w="704" w:type="dxa"/>
          </w:tcPr>
          <w:p w14:paraId="4C8D124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1.54</w:t>
            </w:r>
          </w:p>
        </w:tc>
        <w:tc>
          <w:tcPr>
            <w:tcW w:w="756" w:type="dxa"/>
          </w:tcPr>
          <w:p w14:paraId="5B02BF66"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4.35</w:t>
            </w:r>
          </w:p>
        </w:tc>
        <w:tc>
          <w:tcPr>
            <w:tcW w:w="802" w:type="dxa"/>
          </w:tcPr>
          <w:p w14:paraId="1375A032"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5.61</w:t>
            </w:r>
          </w:p>
        </w:tc>
        <w:tc>
          <w:tcPr>
            <w:tcW w:w="1456" w:type="dxa"/>
          </w:tcPr>
          <w:p w14:paraId="228F6679" w14:textId="77777777" w:rsidR="003A15B8" w:rsidRDefault="003A15B8" w:rsidP="00D1269F">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Style w:val="FootnoteReference"/>
                <w:rFonts w:ascii="Times New Roman" w:eastAsia="Times New Roman" w:hAnsi="Times New Roman" w:cs="Times New Roman"/>
                <w:color w:val="000000"/>
                <w:sz w:val="24"/>
                <w:szCs w:val="24"/>
                <w:highlight w:val="white"/>
              </w:rPr>
              <w:fldChar w:fldCharType="begin" w:fldLock="1"/>
            </w:r>
            <w:r>
              <w:rPr>
                <w:rFonts w:ascii="Times New Roman" w:eastAsia="Times New Roman" w:hAnsi="Times New Roman" w:cs="Times New Roman"/>
                <w:color w:val="000000"/>
                <w:sz w:val="24"/>
                <w:szCs w:val="24"/>
                <w:highlight w:val="white"/>
              </w:rPr>
              <w:instrText>ADDIN CSL_CITATION {"citationItems":[{"id":"ITEM-1","itemData":{"DOI":"10.1016/j.atmosenv.2013.05.044","ISSN":"1352-2310","author":[{"dropping-particle":"","family":"Chithra","given":"V S","non-dropping-particle":"","parse-names":false,"suffix":""},{"dropping-particle":"","family":"Nagendra","given":"S M Shiva","non-dropping-particle":"","parse-names":false,"suffix":""}],"container-title":"Atmospheric Environment","id":"ITEM-1","issued":{"date-parts":[["2013"]]},"page":"579-587","publisher":"Elsevier Ltd","title":"Chemical and morphological characteristics of indoor and outdoor particulate matter in an urban environment","type":"article-journal","volume":"77"},"uris":["http://www.mendeley.com/documents/?uuid=6927152a-70a8-416f-a0e8-9c2a366e0197"]}],"mendeley":{"formattedCitation":"(Chithra &amp; Nagendra, 2013)","manualFormatting":"Chithra &amp; Nagendra, 2013","plainTextFormattedCitation":"(Chithra &amp; Nagendra, 2013)","previouslyFormattedCitation":"(Chithra &amp; Nagendra, 2013)"},"properties":{"noteIndex":0},"schema":"https://github.com/citation-style-language/schema/raw/master/csl-citation.json"}</w:instrText>
            </w:r>
            <w:r>
              <w:rPr>
                <w:rStyle w:val="FootnoteReference"/>
                <w:rFonts w:ascii="Times New Roman" w:eastAsia="Times New Roman" w:hAnsi="Times New Roman" w:cs="Times New Roman"/>
                <w:color w:val="000000"/>
                <w:sz w:val="24"/>
                <w:szCs w:val="24"/>
                <w:highlight w:val="white"/>
              </w:rPr>
              <w:fldChar w:fldCharType="separate"/>
            </w:r>
            <w:r w:rsidRPr="0028707A">
              <w:rPr>
                <w:rFonts w:ascii="Times New Roman" w:eastAsia="Times New Roman" w:hAnsi="Times New Roman" w:cs="Times New Roman"/>
                <w:noProof/>
                <w:color w:val="000000"/>
                <w:sz w:val="24"/>
                <w:szCs w:val="24"/>
                <w:highlight w:val="white"/>
              </w:rPr>
              <w:t>Chithra &amp; Nagendra, 2013</w:t>
            </w:r>
            <w:r>
              <w:rPr>
                <w:rStyle w:val="FootnoteReference"/>
                <w:rFonts w:ascii="Times New Roman" w:eastAsia="Times New Roman" w:hAnsi="Times New Roman" w:cs="Times New Roman"/>
                <w:color w:val="000000"/>
                <w:sz w:val="24"/>
                <w:szCs w:val="24"/>
                <w:highlight w:val="white"/>
              </w:rPr>
              <w:fldChar w:fldCharType="end"/>
            </w:r>
          </w:p>
        </w:tc>
      </w:tr>
      <w:tr w:rsidR="003A15B8" w14:paraId="31D11AE0" w14:textId="77777777" w:rsidTr="002F6C15">
        <w:trPr>
          <w:trHeight w:val="467"/>
          <w:jc w:val="center"/>
        </w:trPr>
        <w:tc>
          <w:tcPr>
            <w:tcW w:w="2460" w:type="dxa"/>
          </w:tcPr>
          <w:p w14:paraId="2574B83F"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Mumbai (</w:t>
            </w:r>
            <w:proofErr w:type="spellStart"/>
            <w:r>
              <w:rPr>
                <w:rFonts w:ascii="Times New Roman" w:eastAsia="Times New Roman" w:hAnsi="Times New Roman" w:cs="Times New Roman"/>
                <w:color w:val="000000"/>
                <w:sz w:val="24"/>
                <w:szCs w:val="24"/>
              </w:rPr>
              <w:t>Sakinaka</w:t>
            </w:r>
            <w:proofErr w:type="spellEnd"/>
            <w:r>
              <w:rPr>
                <w:rFonts w:ascii="Times New Roman" w:eastAsia="Times New Roman" w:hAnsi="Times New Roman" w:cs="Times New Roman"/>
                <w:color w:val="000000"/>
                <w:sz w:val="24"/>
                <w:szCs w:val="24"/>
              </w:rPr>
              <w:t>, Traffic)</w:t>
            </w:r>
          </w:p>
        </w:tc>
        <w:tc>
          <w:tcPr>
            <w:tcW w:w="1221" w:type="dxa"/>
          </w:tcPr>
          <w:p w14:paraId="09CD0C40"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240</w:t>
            </w:r>
          </w:p>
        </w:tc>
        <w:tc>
          <w:tcPr>
            <w:tcW w:w="774" w:type="dxa"/>
          </w:tcPr>
          <w:p w14:paraId="1A5BB20B"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756" w:type="dxa"/>
          </w:tcPr>
          <w:p w14:paraId="4ACA0BB7"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Pr>
                <w:rFonts w:ascii="Times New Roman" w:eastAsia="Times New Roman" w:hAnsi="Times New Roman" w:cs="Times New Roman"/>
                <w:sz w:val="24"/>
                <w:szCs w:val="24"/>
              </w:rPr>
              <w:t>1</w:t>
            </w:r>
          </w:p>
        </w:tc>
        <w:tc>
          <w:tcPr>
            <w:tcW w:w="844" w:type="dxa"/>
          </w:tcPr>
          <w:p w14:paraId="44303C67"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r>
              <w:rPr>
                <w:rFonts w:ascii="Times New Roman" w:eastAsia="Times New Roman" w:hAnsi="Times New Roman" w:cs="Times New Roman"/>
                <w:sz w:val="24"/>
                <w:szCs w:val="24"/>
              </w:rPr>
              <w:t>2</w:t>
            </w:r>
          </w:p>
        </w:tc>
        <w:tc>
          <w:tcPr>
            <w:tcW w:w="841" w:type="dxa"/>
          </w:tcPr>
          <w:p w14:paraId="098A1BDB"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704" w:type="dxa"/>
          </w:tcPr>
          <w:p w14:paraId="125B4B45"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756" w:type="dxa"/>
          </w:tcPr>
          <w:p w14:paraId="53635E12"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802" w:type="dxa"/>
          </w:tcPr>
          <w:p w14:paraId="261CC7BC"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w:t>
            </w:r>
          </w:p>
        </w:tc>
        <w:tc>
          <w:tcPr>
            <w:tcW w:w="1456" w:type="dxa"/>
          </w:tcPr>
          <w:p w14:paraId="3927400E" w14:textId="77777777" w:rsidR="003A15B8" w:rsidRDefault="003A15B8" w:rsidP="00D1269F">
            <w:pPr>
              <w:jc w:val="center"/>
            </w:pPr>
            <w:r>
              <w:rPr>
                <w:rFonts w:ascii="Times New Roman" w:eastAsia="Times New Roman" w:hAnsi="Times New Roman" w:cs="Times New Roman"/>
                <w:color w:val="000000"/>
                <w:sz w:val="24"/>
                <w:szCs w:val="24"/>
              </w:rPr>
              <w:t>This Study</w:t>
            </w:r>
          </w:p>
        </w:tc>
      </w:tr>
      <w:tr w:rsidR="003A15B8" w14:paraId="0E930FF8" w14:textId="77777777" w:rsidTr="002F6C15">
        <w:trPr>
          <w:trHeight w:val="467"/>
          <w:jc w:val="center"/>
        </w:trPr>
        <w:tc>
          <w:tcPr>
            <w:tcW w:w="2460" w:type="dxa"/>
          </w:tcPr>
          <w:p w14:paraId="3E00C949"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Mumbai (YP-Gate, IITB Traffic)</w:t>
            </w:r>
          </w:p>
        </w:tc>
        <w:tc>
          <w:tcPr>
            <w:tcW w:w="1221" w:type="dxa"/>
          </w:tcPr>
          <w:p w14:paraId="3F36BB0E"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185</w:t>
            </w:r>
          </w:p>
        </w:tc>
        <w:tc>
          <w:tcPr>
            <w:tcW w:w="774" w:type="dxa"/>
          </w:tcPr>
          <w:p w14:paraId="31B2D124"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16</w:t>
            </w:r>
          </w:p>
        </w:tc>
        <w:tc>
          <w:tcPr>
            <w:tcW w:w="756" w:type="dxa"/>
          </w:tcPr>
          <w:p w14:paraId="340E2FBD"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17</w:t>
            </w:r>
          </w:p>
        </w:tc>
        <w:tc>
          <w:tcPr>
            <w:tcW w:w="844" w:type="dxa"/>
          </w:tcPr>
          <w:p w14:paraId="1F4A4173"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21</w:t>
            </w:r>
          </w:p>
        </w:tc>
        <w:tc>
          <w:tcPr>
            <w:tcW w:w="841" w:type="dxa"/>
          </w:tcPr>
          <w:p w14:paraId="7EBD9FCE"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704" w:type="dxa"/>
          </w:tcPr>
          <w:p w14:paraId="4BA8A988"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2.75</w:t>
            </w:r>
          </w:p>
        </w:tc>
        <w:tc>
          <w:tcPr>
            <w:tcW w:w="756" w:type="dxa"/>
          </w:tcPr>
          <w:p w14:paraId="207C9E73"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802" w:type="dxa"/>
          </w:tcPr>
          <w:p w14:paraId="67D765A9"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p>
        </w:tc>
        <w:tc>
          <w:tcPr>
            <w:tcW w:w="1456" w:type="dxa"/>
          </w:tcPr>
          <w:p w14:paraId="4D63F3F6" w14:textId="77777777" w:rsidR="003A15B8" w:rsidRDefault="003A15B8" w:rsidP="00D1269F">
            <w:pPr>
              <w:jc w:val="center"/>
            </w:pPr>
            <w:r>
              <w:rPr>
                <w:rFonts w:ascii="Times New Roman" w:eastAsia="Times New Roman" w:hAnsi="Times New Roman" w:cs="Times New Roman"/>
                <w:color w:val="000000"/>
                <w:sz w:val="24"/>
                <w:szCs w:val="24"/>
              </w:rPr>
              <w:t>This Study</w:t>
            </w:r>
          </w:p>
        </w:tc>
      </w:tr>
      <w:tr w:rsidR="003A15B8" w14:paraId="2BB09813" w14:textId="77777777" w:rsidTr="002F6C15">
        <w:trPr>
          <w:trHeight w:val="456"/>
          <w:jc w:val="center"/>
        </w:trPr>
        <w:tc>
          <w:tcPr>
            <w:tcW w:w="2460" w:type="dxa"/>
          </w:tcPr>
          <w:p w14:paraId="3AD84A47"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Mumbai (Hostel-14, IITB, Residential)</w:t>
            </w:r>
          </w:p>
        </w:tc>
        <w:tc>
          <w:tcPr>
            <w:tcW w:w="1221" w:type="dxa"/>
          </w:tcPr>
          <w:p w14:paraId="16A64D94"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130</w:t>
            </w:r>
          </w:p>
        </w:tc>
        <w:tc>
          <w:tcPr>
            <w:tcW w:w="774" w:type="dxa"/>
          </w:tcPr>
          <w:p w14:paraId="04FADAB2"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10.7</w:t>
            </w:r>
          </w:p>
        </w:tc>
        <w:tc>
          <w:tcPr>
            <w:tcW w:w="756" w:type="dxa"/>
          </w:tcPr>
          <w:p w14:paraId="26A48D6C"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19.</w:t>
            </w:r>
            <w:r>
              <w:rPr>
                <w:rFonts w:ascii="Times New Roman" w:eastAsia="Times New Roman" w:hAnsi="Times New Roman" w:cs="Times New Roman"/>
                <w:sz w:val="24"/>
                <w:szCs w:val="24"/>
              </w:rPr>
              <w:t>4</w:t>
            </w:r>
            <w:r>
              <w:rPr>
                <w:rFonts w:ascii="Times New Roman" w:eastAsia="Times New Roman" w:hAnsi="Times New Roman" w:cs="Times New Roman"/>
                <w:color w:val="000000"/>
                <w:sz w:val="24"/>
                <w:szCs w:val="24"/>
              </w:rPr>
              <w:t>2</w:t>
            </w:r>
          </w:p>
        </w:tc>
        <w:tc>
          <w:tcPr>
            <w:tcW w:w="844" w:type="dxa"/>
          </w:tcPr>
          <w:p w14:paraId="11D228E7"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28.4</w:t>
            </w:r>
          </w:p>
        </w:tc>
        <w:tc>
          <w:tcPr>
            <w:tcW w:w="841" w:type="dxa"/>
          </w:tcPr>
          <w:p w14:paraId="4677D007"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704" w:type="dxa"/>
          </w:tcPr>
          <w:p w14:paraId="7D747987"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c>
          <w:tcPr>
            <w:tcW w:w="756" w:type="dxa"/>
          </w:tcPr>
          <w:p w14:paraId="786719D7"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11.18</w:t>
            </w:r>
          </w:p>
        </w:tc>
        <w:tc>
          <w:tcPr>
            <w:tcW w:w="802" w:type="dxa"/>
          </w:tcPr>
          <w:p w14:paraId="2657393B" w14:textId="77777777" w:rsidR="003A15B8" w:rsidRDefault="003A15B8" w:rsidP="005F3A66">
            <w:pPr>
              <w:keepNext/>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1456" w:type="dxa"/>
          </w:tcPr>
          <w:p w14:paraId="7B3B441A" w14:textId="77777777" w:rsidR="003A15B8" w:rsidRDefault="003A15B8" w:rsidP="00D1269F">
            <w:pPr>
              <w:jc w:val="center"/>
            </w:pPr>
            <w:r>
              <w:rPr>
                <w:rFonts w:ascii="Times New Roman" w:eastAsia="Times New Roman" w:hAnsi="Times New Roman" w:cs="Times New Roman"/>
                <w:color w:val="000000"/>
                <w:sz w:val="24"/>
                <w:szCs w:val="24"/>
              </w:rPr>
              <w:t>This Study</w:t>
            </w:r>
          </w:p>
        </w:tc>
      </w:tr>
    </w:tbl>
    <w:p w14:paraId="629EC000" w14:textId="2FB0B38D" w:rsidR="003A15B8" w:rsidRDefault="003A15B8" w:rsidP="00AD1D93">
      <w:pPr>
        <w:keepNext/>
        <w:pBdr>
          <w:top w:val="nil"/>
          <w:left w:val="nil"/>
          <w:bottom w:val="nil"/>
          <w:right w:val="nil"/>
          <w:between w:val="nil"/>
        </w:pBdr>
        <w:spacing w:before="240" w:line="480" w:lineRule="auto"/>
        <w:rPr>
          <w:rFonts w:ascii="Times New Roman" w:eastAsia="Times New Roman" w:hAnsi="Times New Roman" w:cs="Times New Roman"/>
          <w:color w:val="000000"/>
          <w:sz w:val="24"/>
          <w:szCs w:val="24"/>
        </w:rPr>
      </w:pPr>
    </w:p>
    <w:p w14:paraId="28E4EA76" w14:textId="77777777" w:rsidR="003D0F20" w:rsidRDefault="003D0F20" w:rsidP="00AD1D93">
      <w:pPr>
        <w:keepNext/>
        <w:pBdr>
          <w:top w:val="nil"/>
          <w:left w:val="nil"/>
          <w:bottom w:val="nil"/>
          <w:right w:val="nil"/>
          <w:between w:val="nil"/>
        </w:pBdr>
        <w:spacing w:before="240" w:line="480" w:lineRule="auto"/>
        <w:rPr>
          <w:rFonts w:ascii="Times New Roman" w:eastAsia="Times New Roman" w:hAnsi="Times New Roman" w:cs="Times New Roman"/>
          <w:color w:val="000000"/>
          <w:sz w:val="24"/>
          <w:szCs w:val="24"/>
        </w:rPr>
      </w:pPr>
    </w:p>
    <w:p w14:paraId="4E267DFE" w14:textId="411E70CE" w:rsidR="0014506D" w:rsidRPr="000D4BCB" w:rsidRDefault="0014506D" w:rsidP="003B19D4">
      <w:pPr>
        <w:keepNext/>
        <w:pBdr>
          <w:top w:val="nil"/>
          <w:left w:val="nil"/>
          <w:bottom w:val="nil"/>
          <w:right w:val="nil"/>
          <w:between w:val="nil"/>
        </w:pBdr>
        <w:spacing w:before="240" w:line="276" w:lineRule="auto"/>
        <w:jc w:val="center"/>
        <w:rPr>
          <w:rFonts w:ascii="Times New Roman" w:eastAsia="Times New Roman" w:hAnsi="Times New Roman" w:cs="Times New Roman"/>
          <w:color w:val="000000"/>
          <w:sz w:val="24"/>
          <w:szCs w:val="24"/>
        </w:rPr>
      </w:pPr>
      <w:r w:rsidRPr="000D4BCB">
        <w:rPr>
          <w:rFonts w:ascii="Times New Roman" w:eastAsia="Times New Roman" w:hAnsi="Times New Roman" w:cs="Times New Roman"/>
          <w:color w:val="000000"/>
          <w:sz w:val="24"/>
          <w:szCs w:val="24"/>
        </w:rPr>
        <w:lastRenderedPageBreak/>
        <w:t xml:space="preserve">Table </w:t>
      </w:r>
      <w:r w:rsidR="003A15B8">
        <w:rPr>
          <w:rFonts w:ascii="Times New Roman" w:eastAsia="Times New Roman" w:hAnsi="Times New Roman" w:cs="Times New Roman"/>
          <w:color w:val="000000"/>
          <w:sz w:val="24"/>
          <w:szCs w:val="24"/>
        </w:rPr>
        <w:t xml:space="preserve">SI </w:t>
      </w:r>
      <w:r w:rsidR="00AD1D93">
        <w:rPr>
          <w:rFonts w:ascii="Times New Roman" w:eastAsia="Times New Roman" w:hAnsi="Times New Roman" w:cs="Times New Roman"/>
          <w:color w:val="000000"/>
          <w:sz w:val="24"/>
          <w:szCs w:val="24"/>
        </w:rPr>
        <w:t>4</w:t>
      </w:r>
      <w:r w:rsidRPr="000D4BCB">
        <w:rPr>
          <w:rFonts w:ascii="Times New Roman" w:eastAsia="Times New Roman" w:hAnsi="Times New Roman" w:cs="Times New Roman"/>
          <w:color w:val="000000"/>
          <w:sz w:val="24"/>
          <w:szCs w:val="24"/>
        </w:rPr>
        <w:t xml:space="preserve"> The organic carbon and elemental carbon fraction in PM</w:t>
      </w:r>
      <w:r w:rsidRPr="000D4BCB">
        <w:rPr>
          <w:rFonts w:ascii="Times New Roman" w:eastAsia="Times New Roman" w:hAnsi="Times New Roman" w:cs="Times New Roman"/>
          <w:color w:val="000000"/>
          <w:sz w:val="24"/>
          <w:szCs w:val="24"/>
          <w:vertAlign w:val="subscript"/>
        </w:rPr>
        <w:t xml:space="preserve">2.5 </w:t>
      </w:r>
      <w:r w:rsidRPr="000D4BCB">
        <w:rPr>
          <w:rFonts w:ascii="Times New Roman" w:eastAsia="Times New Roman" w:hAnsi="Times New Roman" w:cs="Times New Roman"/>
          <w:color w:val="000000"/>
          <w:sz w:val="24"/>
          <w:szCs w:val="24"/>
        </w:rPr>
        <w:t>samples at different study locations (concentration is in µg/m</w:t>
      </w:r>
      <w:r w:rsidRPr="000D4BCB">
        <w:rPr>
          <w:rFonts w:ascii="Times New Roman" w:eastAsia="Times New Roman" w:hAnsi="Times New Roman" w:cs="Times New Roman"/>
          <w:color w:val="000000"/>
          <w:sz w:val="24"/>
          <w:szCs w:val="24"/>
          <w:vertAlign w:val="superscript"/>
        </w:rPr>
        <w:t>3</w:t>
      </w:r>
      <w:r w:rsidRPr="000D4BCB">
        <w:rPr>
          <w:rFonts w:ascii="Times New Roman" w:eastAsia="Times New Roman" w:hAnsi="Times New Roman" w:cs="Times New Roman"/>
          <w:color w:val="000000"/>
          <w:sz w:val="24"/>
          <w:szCs w:val="24"/>
        </w:rPr>
        <w:t>)</w:t>
      </w:r>
    </w:p>
    <w:tbl>
      <w:tblPr>
        <w:tblW w:w="90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5"/>
        <w:gridCol w:w="874"/>
        <w:gridCol w:w="952"/>
        <w:gridCol w:w="899"/>
        <w:gridCol w:w="899"/>
        <w:gridCol w:w="896"/>
        <w:gridCol w:w="940"/>
        <w:gridCol w:w="880"/>
        <w:gridCol w:w="880"/>
      </w:tblGrid>
      <w:tr w:rsidR="0014506D" w:rsidRPr="000D4BCB" w14:paraId="17184A90" w14:textId="77777777" w:rsidTr="005F3A66">
        <w:trPr>
          <w:trHeight w:val="394"/>
          <w:jc w:val="center"/>
        </w:trPr>
        <w:tc>
          <w:tcPr>
            <w:tcW w:w="1805" w:type="dxa"/>
            <w:shd w:val="clear" w:color="auto" w:fill="E7E6E6"/>
          </w:tcPr>
          <w:p w14:paraId="35BC49BF"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Locations</w:t>
            </w:r>
          </w:p>
        </w:tc>
        <w:tc>
          <w:tcPr>
            <w:tcW w:w="874" w:type="dxa"/>
            <w:shd w:val="clear" w:color="auto" w:fill="E7E6E6"/>
          </w:tcPr>
          <w:p w14:paraId="13660160"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OC1</w:t>
            </w:r>
          </w:p>
        </w:tc>
        <w:tc>
          <w:tcPr>
            <w:tcW w:w="952" w:type="dxa"/>
            <w:shd w:val="clear" w:color="auto" w:fill="E7E6E6"/>
          </w:tcPr>
          <w:p w14:paraId="4B4F834F"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OC2</w:t>
            </w:r>
          </w:p>
        </w:tc>
        <w:tc>
          <w:tcPr>
            <w:tcW w:w="899" w:type="dxa"/>
            <w:shd w:val="clear" w:color="auto" w:fill="E7E6E6"/>
          </w:tcPr>
          <w:p w14:paraId="446D59D2"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OC3</w:t>
            </w:r>
          </w:p>
        </w:tc>
        <w:tc>
          <w:tcPr>
            <w:tcW w:w="899" w:type="dxa"/>
            <w:shd w:val="clear" w:color="auto" w:fill="E7E6E6"/>
          </w:tcPr>
          <w:p w14:paraId="321BAB40"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OC4</w:t>
            </w:r>
          </w:p>
        </w:tc>
        <w:tc>
          <w:tcPr>
            <w:tcW w:w="896" w:type="dxa"/>
            <w:shd w:val="clear" w:color="auto" w:fill="E7E6E6"/>
          </w:tcPr>
          <w:p w14:paraId="6A85878C"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EC1</w:t>
            </w:r>
          </w:p>
        </w:tc>
        <w:tc>
          <w:tcPr>
            <w:tcW w:w="940" w:type="dxa"/>
            <w:shd w:val="clear" w:color="auto" w:fill="E7E6E6"/>
          </w:tcPr>
          <w:p w14:paraId="1FADE2C6"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EC2</w:t>
            </w:r>
          </w:p>
        </w:tc>
        <w:tc>
          <w:tcPr>
            <w:tcW w:w="880" w:type="dxa"/>
            <w:shd w:val="clear" w:color="auto" w:fill="E7E6E6"/>
          </w:tcPr>
          <w:p w14:paraId="6CE18265"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EC3</w:t>
            </w:r>
          </w:p>
        </w:tc>
        <w:tc>
          <w:tcPr>
            <w:tcW w:w="880" w:type="dxa"/>
            <w:shd w:val="clear" w:color="auto" w:fill="E7E6E6"/>
          </w:tcPr>
          <w:p w14:paraId="22544CF0"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OP</w:t>
            </w:r>
          </w:p>
        </w:tc>
      </w:tr>
      <w:tr w:rsidR="0014506D" w:rsidRPr="000D4BCB" w14:paraId="55560916" w14:textId="77777777" w:rsidTr="005F3A66">
        <w:trPr>
          <w:trHeight w:val="185"/>
          <w:jc w:val="center"/>
        </w:trPr>
        <w:tc>
          <w:tcPr>
            <w:tcW w:w="1805" w:type="dxa"/>
          </w:tcPr>
          <w:p w14:paraId="19F132B5"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HP</w:t>
            </w:r>
          </w:p>
        </w:tc>
        <w:tc>
          <w:tcPr>
            <w:tcW w:w="874" w:type="dxa"/>
          </w:tcPr>
          <w:p w14:paraId="55330CAA"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0</w:t>
            </w:r>
          </w:p>
        </w:tc>
        <w:tc>
          <w:tcPr>
            <w:tcW w:w="952" w:type="dxa"/>
          </w:tcPr>
          <w:p w14:paraId="2279B777"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5.17</w:t>
            </w:r>
          </w:p>
        </w:tc>
        <w:tc>
          <w:tcPr>
            <w:tcW w:w="899" w:type="dxa"/>
          </w:tcPr>
          <w:p w14:paraId="328024AD"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5.34</w:t>
            </w:r>
          </w:p>
        </w:tc>
        <w:tc>
          <w:tcPr>
            <w:tcW w:w="899" w:type="dxa"/>
          </w:tcPr>
          <w:p w14:paraId="790BCF85"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3.5</w:t>
            </w:r>
          </w:p>
        </w:tc>
        <w:tc>
          <w:tcPr>
            <w:tcW w:w="896" w:type="dxa"/>
          </w:tcPr>
          <w:p w14:paraId="552516E1"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3.92</w:t>
            </w:r>
          </w:p>
        </w:tc>
        <w:tc>
          <w:tcPr>
            <w:tcW w:w="940" w:type="dxa"/>
          </w:tcPr>
          <w:p w14:paraId="0AEB8F6E"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1.07</w:t>
            </w:r>
          </w:p>
        </w:tc>
        <w:tc>
          <w:tcPr>
            <w:tcW w:w="880" w:type="dxa"/>
          </w:tcPr>
          <w:p w14:paraId="09EA32B3"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0.0</w:t>
            </w:r>
          </w:p>
        </w:tc>
        <w:tc>
          <w:tcPr>
            <w:tcW w:w="880" w:type="dxa"/>
          </w:tcPr>
          <w:p w14:paraId="78A7B84B"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1.49</w:t>
            </w:r>
          </w:p>
        </w:tc>
      </w:tr>
      <w:tr w:rsidR="0014506D" w:rsidRPr="000D4BCB" w14:paraId="767BE4D4" w14:textId="77777777" w:rsidTr="005F3A66">
        <w:trPr>
          <w:trHeight w:val="79"/>
          <w:jc w:val="center"/>
        </w:trPr>
        <w:tc>
          <w:tcPr>
            <w:tcW w:w="1805" w:type="dxa"/>
          </w:tcPr>
          <w:p w14:paraId="60A763F0" w14:textId="77777777" w:rsidR="0014506D" w:rsidRPr="000D4BCB" w:rsidRDefault="0014506D" w:rsidP="005F3A66">
            <w:pPr>
              <w:spacing w:line="276" w:lineRule="auto"/>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YP-Gate</w:t>
            </w:r>
          </w:p>
        </w:tc>
        <w:tc>
          <w:tcPr>
            <w:tcW w:w="874" w:type="dxa"/>
          </w:tcPr>
          <w:p w14:paraId="10B1CAF4"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0</w:t>
            </w:r>
          </w:p>
        </w:tc>
        <w:tc>
          <w:tcPr>
            <w:tcW w:w="952" w:type="dxa"/>
          </w:tcPr>
          <w:p w14:paraId="0FC3A12D"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5.93</w:t>
            </w:r>
          </w:p>
        </w:tc>
        <w:tc>
          <w:tcPr>
            <w:tcW w:w="899" w:type="dxa"/>
          </w:tcPr>
          <w:p w14:paraId="5F0AE71B"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5.98</w:t>
            </w:r>
          </w:p>
        </w:tc>
        <w:tc>
          <w:tcPr>
            <w:tcW w:w="899" w:type="dxa"/>
          </w:tcPr>
          <w:p w14:paraId="4050D3A5"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3.42</w:t>
            </w:r>
          </w:p>
        </w:tc>
        <w:tc>
          <w:tcPr>
            <w:tcW w:w="896" w:type="dxa"/>
          </w:tcPr>
          <w:p w14:paraId="77D43CCD"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5.9</w:t>
            </w:r>
          </w:p>
        </w:tc>
        <w:tc>
          <w:tcPr>
            <w:tcW w:w="940" w:type="dxa"/>
          </w:tcPr>
          <w:p w14:paraId="242D78D7"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2.78</w:t>
            </w:r>
          </w:p>
        </w:tc>
        <w:tc>
          <w:tcPr>
            <w:tcW w:w="880" w:type="dxa"/>
          </w:tcPr>
          <w:p w14:paraId="7F818706"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0.06</w:t>
            </w:r>
          </w:p>
        </w:tc>
        <w:tc>
          <w:tcPr>
            <w:tcW w:w="880" w:type="dxa"/>
          </w:tcPr>
          <w:p w14:paraId="2725F6DB"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0.17</w:t>
            </w:r>
          </w:p>
        </w:tc>
      </w:tr>
      <w:tr w:rsidR="0014506D" w:rsidRPr="000D4BCB" w14:paraId="2B23687A" w14:textId="77777777" w:rsidTr="005F3A66">
        <w:trPr>
          <w:trHeight w:val="18"/>
          <w:jc w:val="center"/>
        </w:trPr>
        <w:tc>
          <w:tcPr>
            <w:tcW w:w="1805" w:type="dxa"/>
          </w:tcPr>
          <w:p w14:paraId="0A069ED7" w14:textId="77777777" w:rsidR="0014506D" w:rsidRPr="000D4BCB" w:rsidRDefault="0014506D" w:rsidP="005F3A66">
            <w:pPr>
              <w:spacing w:line="276" w:lineRule="auto"/>
              <w:jc w:val="center"/>
              <w:rPr>
                <w:rFonts w:ascii="Times New Roman" w:eastAsia="Times New Roman" w:hAnsi="Times New Roman" w:cs="Times New Roman"/>
                <w:b/>
                <w:sz w:val="24"/>
                <w:szCs w:val="24"/>
              </w:rPr>
            </w:pPr>
            <w:proofErr w:type="spellStart"/>
            <w:r w:rsidRPr="000D4BCB">
              <w:rPr>
                <w:rFonts w:ascii="Times New Roman" w:eastAsia="Times New Roman" w:hAnsi="Times New Roman" w:cs="Times New Roman"/>
                <w:b/>
                <w:sz w:val="24"/>
                <w:szCs w:val="24"/>
              </w:rPr>
              <w:t>Sakinaka</w:t>
            </w:r>
            <w:proofErr w:type="spellEnd"/>
          </w:p>
        </w:tc>
        <w:tc>
          <w:tcPr>
            <w:tcW w:w="874" w:type="dxa"/>
          </w:tcPr>
          <w:p w14:paraId="3B086177"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0</w:t>
            </w:r>
          </w:p>
        </w:tc>
        <w:tc>
          <w:tcPr>
            <w:tcW w:w="952" w:type="dxa"/>
          </w:tcPr>
          <w:p w14:paraId="4B8FF762"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12.75</w:t>
            </w:r>
          </w:p>
        </w:tc>
        <w:tc>
          <w:tcPr>
            <w:tcW w:w="899" w:type="dxa"/>
          </w:tcPr>
          <w:p w14:paraId="6D124CAE"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14.9</w:t>
            </w:r>
          </w:p>
        </w:tc>
        <w:tc>
          <w:tcPr>
            <w:tcW w:w="899" w:type="dxa"/>
          </w:tcPr>
          <w:p w14:paraId="7214A67E"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6.9</w:t>
            </w:r>
          </w:p>
        </w:tc>
        <w:tc>
          <w:tcPr>
            <w:tcW w:w="896" w:type="dxa"/>
          </w:tcPr>
          <w:p w14:paraId="1D443692"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8.1</w:t>
            </w:r>
          </w:p>
        </w:tc>
        <w:tc>
          <w:tcPr>
            <w:tcW w:w="940" w:type="dxa"/>
          </w:tcPr>
          <w:p w14:paraId="5CEE502F"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4.9</w:t>
            </w:r>
          </w:p>
        </w:tc>
        <w:tc>
          <w:tcPr>
            <w:tcW w:w="880" w:type="dxa"/>
          </w:tcPr>
          <w:p w14:paraId="3D87106A"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0.0</w:t>
            </w:r>
          </w:p>
        </w:tc>
        <w:tc>
          <w:tcPr>
            <w:tcW w:w="880" w:type="dxa"/>
          </w:tcPr>
          <w:p w14:paraId="018D7739" w14:textId="77777777" w:rsidR="0014506D" w:rsidRPr="000D4BCB" w:rsidRDefault="0014506D" w:rsidP="005F3A66">
            <w:pPr>
              <w:spacing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0.0</w:t>
            </w:r>
          </w:p>
        </w:tc>
      </w:tr>
    </w:tbl>
    <w:p w14:paraId="74DE6AE0" w14:textId="78B1243F" w:rsidR="0014506D" w:rsidRDefault="0014506D">
      <w:pPr>
        <w:spacing w:after="200" w:line="240" w:lineRule="auto"/>
        <w:rPr>
          <w:rFonts w:ascii="Times New Roman" w:eastAsia="Times New Roman" w:hAnsi="Times New Roman" w:cs="Times New Roman"/>
          <w:sz w:val="24"/>
          <w:szCs w:val="24"/>
        </w:rPr>
      </w:pPr>
    </w:p>
    <w:p w14:paraId="50B44300" w14:textId="3EFA0794" w:rsidR="0014506D" w:rsidRPr="000D4BCB" w:rsidRDefault="0014506D" w:rsidP="0014506D">
      <w:pPr>
        <w:spacing w:line="240" w:lineRule="auto"/>
        <w:jc w:val="center"/>
        <w:rPr>
          <w:rFonts w:ascii="Times New Roman" w:eastAsia="Times New Roman" w:hAnsi="Times New Roman" w:cs="Times New Roman"/>
          <w:color w:val="000000"/>
          <w:sz w:val="24"/>
          <w:szCs w:val="24"/>
        </w:rPr>
      </w:pPr>
      <w:r w:rsidRPr="000D4BCB">
        <w:rPr>
          <w:rFonts w:ascii="Times New Roman" w:eastAsia="Times New Roman" w:hAnsi="Times New Roman" w:cs="Times New Roman"/>
          <w:color w:val="000000"/>
          <w:sz w:val="24"/>
          <w:szCs w:val="24"/>
        </w:rPr>
        <w:t xml:space="preserve">Table </w:t>
      </w:r>
      <w:r w:rsidR="003A15B8">
        <w:rPr>
          <w:rFonts w:ascii="Times New Roman" w:eastAsia="Times New Roman" w:hAnsi="Times New Roman" w:cs="Times New Roman"/>
          <w:color w:val="000000"/>
          <w:sz w:val="24"/>
          <w:szCs w:val="24"/>
        </w:rPr>
        <w:t xml:space="preserve">SI </w:t>
      </w:r>
      <w:r w:rsidR="00AD1D93">
        <w:rPr>
          <w:rFonts w:ascii="Times New Roman" w:eastAsia="Times New Roman" w:hAnsi="Times New Roman" w:cs="Times New Roman"/>
          <w:color w:val="000000"/>
          <w:sz w:val="24"/>
          <w:szCs w:val="24"/>
        </w:rPr>
        <w:t>5</w:t>
      </w:r>
      <w:r w:rsidRPr="000D4BCB">
        <w:rPr>
          <w:rFonts w:ascii="Times New Roman" w:eastAsia="Times New Roman" w:hAnsi="Times New Roman" w:cs="Times New Roman"/>
          <w:color w:val="000000"/>
          <w:sz w:val="24"/>
          <w:szCs w:val="24"/>
        </w:rPr>
        <w:t xml:space="preserve"> Comparison of OC/EC and Char-EC/Soot-EC ratios of this study and reported values from other Asian cities</w:t>
      </w:r>
    </w:p>
    <w:tbl>
      <w:tblPr>
        <w:tblW w:w="906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09"/>
        <w:gridCol w:w="1701"/>
        <w:gridCol w:w="1580"/>
        <w:gridCol w:w="2672"/>
      </w:tblGrid>
      <w:tr w:rsidR="0014506D" w:rsidRPr="000D4BCB" w14:paraId="7592B375" w14:textId="77777777" w:rsidTr="005F3A66">
        <w:trPr>
          <w:jc w:val="center"/>
        </w:trPr>
        <w:tc>
          <w:tcPr>
            <w:tcW w:w="3109" w:type="dxa"/>
            <w:shd w:val="clear" w:color="auto" w:fill="CCCCCC"/>
            <w:tcMar>
              <w:top w:w="100" w:type="dxa"/>
              <w:left w:w="100" w:type="dxa"/>
              <w:bottom w:w="100" w:type="dxa"/>
              <w:right w:w="100" w:type="dxa"/>
            </w:tcMar>
            <w:vAlign w:val="center"/>
          </w:tcPr>
          <w:p w14:paraId="2E7B3423" w14:textId="77777777" w:rsidR="0014506D" w:rsidRPr="000D4BCB" w:rsidRDefault="0014506D" w:rsidP="00AD1D93">
            <w:pPr>
              <w:widowControl w:val="0"/>
              <w:spacing w:after="0"/>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Study area</w:t>
            </w:r>
          </w:p>
        </w:tc>
        <w:tc>
          <w:tcPr>
            <w:tcW w:w="1701" w:type="dxa"/>
            <w:shd w:val="clear" w:color="auto" w:fill="CCCCCC"/>
            <w:tcMar>
              <w:top w:w="100" w:type="dxa"/>
              <w:left w:w="100" w:type="dxa"/>
              <w:bottom w:w="100" w:type="dxa"/>
              <w:right w:w="100" w:type="dxa"/>
            </w:tcMar>
            <w:vAlign w:val="center"/>
          </w:tcPr>
          <w:p w14:paraId="478BF416" w14:textId="77777777" w:rsidR="0014506D" w:rsidRPr="000D4BCB" w:rsidRDefault="0014506D" w:rsidP="00AD1D93">
            <w:pPr>
              <w:widowControl w:val="0"/>
              <w:spacing w:after="0"/>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OC/EC</w:t>
            </w:r>
          </w:p>
        </w:tc>
        <w:tc>
          <w:tcPr>
            <w:tcW w:w="1580" w:type="dxa"/>
            <w:shd w:val="clear" w:color="auto" w:fill="CCCCCC"/>
            <w:tcMar>
              <w:top w:w="100" w:type="dxa"/>
              <w:left w:w="100" w:type="dxa"/>
              <w:bottom w:w="100" w:type="dxa"/>
              <w:right w:w="100" w:type="dxa"/>
            </w:tcMar>
            <w:vAlign w:val="center"/>
          </w:tcPr>
          <w:p w14:paraId="5F1FD3DF" w14:textId="77777777" w:rsidR="0014506D" w:rsidRPr="000D4BCB" w:rsidRDefault="0014506D" w:rsidP="00AD1D93">
            <w:pPr>
              <w:widowControl w:val="0"/>
              <w:spacing w:after="0"/>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Char-EC/Soot-EC</w:t>
            </w:r>
          </w:p>
        </w:tc>
        <w:tc>
          <w:tcPr>
            <w:tcW w:w="2672" w:type="dxa"/>
            <w:shd w:val="clear" w:color="auto" w:fill="CCCCCC"/>
            <w:tcMar>
              <w:top w:w="100" w:type="dxa"/>
              <w:left w:w="100" w:type="dxa"/>
              <w:bottom w:w="100" w:type="dxa"/>
              <w:right w:w="100" w:type="dxa"/>
            </w:tcMar>
            <w:vAlign w:val="center"/>
          </w:tcPr>
          <w:p w14:paraId="630FF0B8" w14:textId="77777777" w:rsidR="0014506D" w:rsidRPr="000D4BCB" w:rsidRDefault="0014506D" w:rsidP="00AD1D93">
            <w:pPr>
              <w:widowControl w:val="0"/>
              <w:spacing w:after="0"/>
              <w:jc w:val="center"/>
              <w:rPr>
                <w:rFonts w:ascii="Times New Roman" w:eastAsia="Times New Roman" w:hAnsi="Times New Roman" w:cs="Times New Roman"/>
                <w:b/>
                <w:sz w:val="24"/>
                <w:szCs w:val="24"/>
              </w:rPr>
            </w:pPr>
            <w:r w:rsidRPr="000D4BCB">
              <w:rPr>
                <w:rFonts w:ascii="Times New Roman" w:eastAsia="Times New Roman" w:hAnsi="Times New Roman" w:cs="Times New Roman"/>
                <w:b/>
                <w:sz w:val="24"/>
                <w:szCs w:val="24"/>
              </w:rPr>
              <w:t>References</w:t>
            </w:r>
          </w:p>
        </w:tc>
      </w:tr>
      <w:tr w:rsidR="0014506D" w:rsidRPr="000D4BCB" w14:paraId="4F219B0E" w14:textId="77777777" w:rsidTr="005F3A66">
        <w:trPr>
          <w:trHeight w:val="367"/>
          <w:jc w:val="center"/>
        </w:trPr>
        <w:tc>
          <w:tcPr>
            <w:tcW w:w="3109" w:type="dxa"/>
            <w:shd w:val="clear" w:color="auto" w:fill="auto"/>
            <w:tcMar>
              <w:top w:w="100" w:type="dxa"/>
              <w:left w:w="100" w:type="dxa"/>
              <w:bottom w:w="100" w:type="dxa"/>
              <w:right w:w="100" w:type="dxa"/>
            </w:tcMar>
            <w:vAlign w:val="center"/>
          </w:tcPr>
          <w:p w14:paraId="17FB8FEF"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proofErr w:type="spellStart"/>
            <w:r w:rsidRPr="000D4BCB">
              <w:rPr>
                <w:rFonts w:ascii="Times New Roman" w:eastAsia="Times New Roman" w:hAnsi="Times New Roman" w:cs="Times New Roman"/>
                <w:sz w:val="24"/>
                <w:szCs w:val="24"/>
              </w:rPr>
              <w:t>Kangra</w:t>
            </w:r>
            <w:proofErr w:type="spellEnd"/>
            <w:r w:rsidRPr="000D4BCB">
              <w:rPr>
                <w:rFonts w:ascii="Times New Roman" w:eastAsia="Times New Roman" w:hAnsi="Times New Roman" w:cs="Times New Roman"/>
                <w:sz w:val="24"/>
                <w:szCs w:val="24"/>
              </w:rPr>
              <w:t>, Himachal Pradesh (India)</w:t>
            </w:r>
          </w:p>
        </w:tc>
        <w:tc>
          <w:tcPr>
            <w:tcW w:w="1701" w:type="dxa"/>
            <w:shd w:val="clear" w:color="auto" w:fill="auto"/>
            <w:tcMar>
              <w:top w:w="100" w:type="dxa"/>
              <w:left w:w="100" w:type="dxa"/>
              <w:bottom w:w="100" w:type="dxa"/>
              <w:right w:w="100" w:type="dxa"/>
            </w:tcMar>
            <w:vAlign w:val="center"/>
          </w:tcPr>
          <w:p w14:paraId="28CD8430"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2.29</w:t>
            </w:r>
          </w:p>
        </w:tc>
        <w:tc>
          <w:tcPr>
            <w:tcW w:w="1580" w:type="dxa"/>
            <w:shd w:val="clear" w:color="auto" w:fill="auto"/>
            <w:tcMar>
              <w:top w:w="100" w:type="dxa"/>
              <w:left w:w="100" w:type="dxa"/>
              <w:bottom w:w="100" w:type="dxa"/>
              <w:right w:w="100" w:type="dxa"/>
            </w:tcMar>
            <w:vAlign w:val="center"/>
          </w:tcPr>
          <w:p w14:paraId="6F550066"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40</w:t>
            </w:r>
          </w:p>
        </w:tc>
        <w:tc>
          <w:tcPr>
            <w:tcW w:w="2672" w:type="dxa"/>
            <w:shd w:val="clear" w:color="auto" w:fill="auto"/>
            <w:tcMar>
              <w:top w:w="100" w:type="dxa"/>
              <w:left w:w="100" w:type="dxa"/>
              <w:bottom w:w="100" w:type="dxa"/>
              <w:right w:w="100" w:type="dxa"/>
            </w:tcMar>
            <w:vAlign w:val="center"/>
          </w:tcPr>
          <w:p w14:paraId="2AFD3687" w14:textId="6F17FD44" w:rsidR="0014506D" w:rsidRPr="000D4BCB" w:rsidRDefault="0014506D" w:rsidP="00D1269F">
            <w:pPr>
              <w:widowControl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ADDIN CSL_CITATION {"citationItems":[{"id":"ITEM-1","itemData":{"DOI":"10.4209/aaqr.2015.05.0284","ISSN":"20711409","abstract":"Use of biomass combustion as primary energy source emit substantial amounts of carbonaceous aerosols (CA) in the Himalayan environment. Any understanding regarding the impact of CA on human health and climate requires a reliable estimation of compositional variability of CA associated carbon forms: Elemental carbon (EC), Organic carbon (OC), and Light absorbing organic carbon (LAOC). This investigation spanning over 14 months was undertaken in the rural part of the Western Himalayas to estimate temporal variability in the ambient aerosol load (PM10, PM2.5), CA associated carbon forms. All CA associated carbon forms were part of PM2.5 size fraction, their significantly high concentrations in winter corresponded with the high biomass combustion. Source apportionment of CA done on the basis of Char-EC/Soot-EC estimates showed that &gt; 90% of the EC was Char-EC contributed by biomass and coal combustion in winter. Estimates of K+ (tracer for biomass combustion) showed a strong association with CA associated carbon forms. The estimated values of CA associated carbon forms during winter matched with the reported values of emission factors for biomass burning. Both the mass and composition of ambient aerosol were predominantly contributed by biomass combustion in the region.","author":[{"dropping-particle":"","family":"Kumar","given":"Ajay","non-dropping-particle":"","parse-names":false,"suffix":""},{"dropping-particle":"","family":"Attri","given":"Arun K.","non-dropping-particle":"","parse-names":false,"suffix":""}],"container-title":"Aerosol and Air Quality Research","id":"ITEM-1","issue":"3","issued":{"date-parts":[["2016"]]},"page":"519-529","title":"Biomass combustion a dominant source of carbonaceous aerosols in the ambient environment of Western Himalayas","type":"article-journal","volume":"16"},"uris":["http://www.mendeley.com/documents/?uuid=75259f88-a23c-498e-806e-1136f890e606"]}],"mendeley":{"formattedCitation":"(A. Kumar &amp; Attri, 2016)","plainTextFormattedCitation":"(A. Kumar &amp; Attri, 2016)","previouslyFormattedCitation":"(A. Kumar &amp; Attri, 2016)"},"properties":{"noteIndex":0},"schema":"https://github.com/citation-style-language/schema/raw/master/csl-citation.json"}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00130F3A" w:rsidRPr="00130F3A">
              <w:rPr>
                <w:rFonts w:ascii="Times New Roman" w:eastAsia="Times New Roman" w:hAnsi="Times New Roman" w:cs="Times New Roman"/>
                <w:noProof/>
                <w:sz w:val="24"/>
                <w:szCs w:val="24"/>
              </w:rPr>
              <w:t>(A. Kumar &amp; Attri, 2016)</w:t>
            </w:r>
            <w:r>
              <w:rPr>
                <w:rFonts w:ascii="Times New Roman" w:eastAsia="Times New Roman" w:hAnsi="Times New Roman" w:cs="Times New Roman"/>
                <w:sz w:val="24"/>
                <w:szCs w:val="24"/>
              </w:rPr>
              <w:fldChar w:fldCharType="end"/>
            </w:r>
          </w:p>
        </w:tc>
      </w:tr>
      <w:tr w:rsidR="0014506D" w:rsidRPr="000D4BCB" w14:paraId="67816BFB" w14:textId="77777777" w:rsidTr="005F3A66">
        <w:trPr>
          <w:jc w:val="center"/>
        </w:trPr>
        <w:tc>
          <w:tcPr>
            <w:tcW w:w="3109" w:type="dxa"/>
            <w:shd w:val="clear" w:color="auto" w:fill="auto"/>
            <w:tcMar>
              <w:top w:w="100" w:type="dxa"/>
              <w:left w:w="100" w:type="dxa"/>
              <w:bottom w:w="100" w:type="dxa"/>
              <w:right w:w="100" w:type="dxa"/>
            </w:tcMar>
            <w:vAlign w:val="center"/>
          </w:tcPr>
          <w:p w14:paraId="574642E6"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Kanpur Uttar Pradesh (India)</w:t>
            </w:r>
          </w:p>
        </w:tc>
        <w:tc>
          <w:tcPr>
            <w:tcW w:w="1701" w:type="dxa"/>
            <w:shd w:val="clear" w:color="auto" w:fill="auto"/>
            <w:tcMar>
              <w:top w:w="100" w:type="dxa"/>
              <w:left w:w="100" w:type="dxa"/>
              <w:bottom w:w="100" w:type="dxa"/>
              <w:right w:w="100" w:type="dxa"/>
            </w:tcMar>
            <w:vAlign w:val="center"/>
          </w:tcPr>
          <w:p w14:paraId="3D815117"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2.27</w:t>
            </w:r>
          </w:p>
        </w:tc>
        <w:tc>
          <w:tcPr>
            <w:tcW w:w="1580" w:type="dxa"/>
            <w:shd w:val="clear" w:color="auto" w:fill="auto"/>
            <w:tcMar>
              <w:top w:w="100" w:type="dxa"/>
              <w:left w:w="100" w:type="dxa"/>
              <w:bottom w:w="100" w:type="dxa"/>
              <w:right w:w="100" w:type="dxa"/>
            </w:tcMar>
            <w:vAlign w:val="center"/>
          </w:tcPr>
          <w:p w14:paraId="2510A989"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47.25</w:t>
            </w:r>
          </w:p>
        </w:tc>
        <w:tc>
          <w:tcPr>
            <w:tcW w:w="2672" w:type="dxa"/>
            <w:shd w:val="clear" w:color="auto" w:fill="auto"/>
            <w:tcMar>
              <w:top w:w="100" w:type="dxa"/>
              <w:left w:w="100" w:type="dxa"/>
              <w:bottom w:w="100" w:type="dxa"/>
              <w:right w:w="100" w:type="dxa"/>
            </w:tcMar>
            <w:vAlign w:val="center"/>
          </w:tcPr>
          <w:p w14:paraId="0B44BFDE" w14:textId="2876D2D0" w:rsidR="0014506D" w:rsidRPr="000D4BCB" w:rsidRDefault="0014506D" w:rsidP="00D1269F">
            <w:pPr>
              <w:widowControl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ADDIN CSL_CITATION {"citationItems":[{"id":"ITEM-1","itemData":{"DOI":"10.1007/s11356-017-0954-6","ISBN":"1135601709546","ISSN":"16147499","PMID":"29243147","abstract":"Size distribution, water-soluble inorganic ions (WSII), and organic carbon (OC) and elemental carbon (EC) in size-segregated aerosols were investigated during a year-long sampling in 2010 over New Delhi. Among different size fractions of PM10, PM0.95 was the dominant fraction (45%) followed by PM3–7.2 (20%), PM7.2–10 (15%), PM0.95–1.5 (10%), and PM1.5–3 (10%). All size fractions exceeded the ambient air quality standards of India for PM2.5. Annual average mass size distributions of ions were specific to size and ion(s); Ca2+, Mg2+, K+, NO3−, and Cl− followed bimodal distribution while SO42− and NH4+ ions showed one mode in PM0.95. The concentrations of secondary WSII (NO3−, SO42−, and NH4+) increased in winters due to closed and moist atmosphere whereas open atmospheric conditions in summers lead to dispersal of pollutants. NH4+and Ca2+were dominant neutralization ions but in different size fractions. The summer-time dust transport from upwind region by S SW winds resulted in significantly high concentrations of PM0.95 and PM3–7.2 and PM7.2–10. This indicted influence of dust generation in Thar Desert and its transport is size selective in nature in downwind direction. The mixing of different sources (geogenic, coal combustions, biomass burning, plastic burning, incinerators, and vehicular emissions sources) for soluble ions in different size fractions was noticed in principle component analysis. Total carbon (TC = EC + OC) constituted 8–31% of the total PM0.95 mass, and OC dominated over EC. Among EC, char (EC1) dominated over soot (EC2 + EC3). High SOC contribution (82%) to OC and OC/EC ratio of 2.7 suggested possible role of mineral dust and high photochemical activity in SOC production. Mass concentrations of aerosols and WSII and their contributions to each size fraction of PM10 are governed by nature of sources, emission strength of source(s), and seasonality in meteorological parameters.","author":[{"dropping-particle":"","family":"Kumar","given":"Pawan","non-dropping-particle":"","parse-names":false,"suffix":""},{"dropping-particle":"","family":"Kumar","given":"Sushil","non-dropping-particle":"","parse-names":false,"suffix":""},{"dropping-particle":"","family":"Yadav","given":"Sudesh","non-dropping-particle":"","parse-names":false,"suffix":""}],"container-title":"Environmental Science and Pollution Research","id":"ITEM-1","issue":"6","issued":{"date-parts":[["2018"]]},"page":"6061-6078","publisher":"Environmental Science and Pollution Research","title":"Seasonal variations in size distribution, water-soluble ions, and carbon content of size-segregated aerosols over New Delhi","type":"article-journal","volume":"25"},"uris":["http://www.mendeley.com/documents/?uuid=84fb6b65-82d1-41ba-99c7-4f933a2c9e38"]}],"mendeley":{"formattedCitation":"(P. Kumar et al., 2018)","manualFormatting":"(Kumar, Kumar, and Yadav 2018)","plainTextFormattedCitation":"(P. Kumar et al., 2018)","previouslyFormattedCitation":"(P. Kumar et al., 2018)"},"properties":{"noteIndex":0},"schema":"https://github.com/citation-style-language/schema/raw/master/csl-citation.json"}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Pr="0024101D">
              <w:rPr>
                <w:rFonts w:ascii="Times New Roman" w:eastAsia="Times New Roman" w:hAnsi="Times New Roman" w:cs="Times New Roman"/>
                <w:noProof/>
                <w:sz w:val="24"/>
                <w:szCs w:val="24"/>
              </w:rPr>
              <w:t>(Kumar, Kumar, and Yadav 2018)</w:t>
            </w:r>
            <w:r>
              <w:rPr>
                <w:rFonts w:ascii="Times New Roman" w:eastAsia="Times New Roman" w:hAnsi="Times New Roman" w:cs="Times New Roman"/>
                <w:sz w:val="24"/>
                <w:szCs w:val="24"/>
              </w:rPr>
              <w:fldChar w:fldCharType="end"/>
            </w:r>
          </w:p>
        </w:tc>
      </w:tr>
      <w:tr w:rsidR="0014506D" w:rsidRPr="000D4BCB" w14:paraId="3D367383" w14:textId="77777777" w:rsidTr="005F3A66">
        <w:trPr>
          <w:trHeight w:val="229"/>
          <w:jc w:val="center"/>
        </w:trPr>
        <w:tc>
          <w:tcPr>
            <w:tcW w:w="3109" w:type="dxa"/>
            <w:shd w:val="clear" w:color="auto" w:fill="auto"/>
            <w:tcMar>
              <w:top w:w="100" w:type="dxa"/>
              <w:left w:w="100" w:type="dxa"/>
              <w:bottom w:w="100" w:type="dxa"/>
              <w:right w:w="100" w:type="dxa"/>
            </w:tcMar>
            <w:vAlign w:val="center"/>
          </w:tcPr>
          <w:p w14:paraId="6B186F32"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proofErr w:type="spellStart"/>
            <w:r w:rsidRPr="000D4BCB">
              <w:rPr>
                <w:rFonts w:ascii="Times New Roman" w:eastAsia="Times New Roman" w:hAnsi="Times New Roman" w:cs="Times New Roman"/>
                <w:sz w:val="24"/>
                <w:szCs w:val="24"/>
              </w:rPr>
              <w:t>Prayagraj</w:t>
            </w:r>
            <w:proofErr w:type="spellEnd"/>
            <w:r w:rsidRPr="000D4BCB">
              <w:rPr>
                <w:rFonts w:ascii="Times New Roman" w:eastAsia="Times New Roman" w:hAnsi="Times New Roman" w:cs="Times New Roman"/>
                <w:sz w:val="24"/>
                <w:szCs w:val="24"/>
              </w:rPr>
              <w:t>, Uttar Pradesh (India)</w:t>
            </w:r>
          </w:p>
        </w:tc>
        <w:tc>
          <w:tcPr>
            <w:tcW w:w="1701" w:type="dxa"/>
            <w:shd w:val="clear" w:color="auto" w:fill="auto"/>
            <w:tcMar>
              <w:top w:w="100" w:type="dxa"/>
              <w:left w:w="100" w:type="dxa"/>
              <w:bottom w:w="100" w:type="dxa"/>
              <w:right w:w="100" w:type="dxa"/>
            </w:tcMar>
            <w:vAlign w:val="center"/>
          </w:tcPr>
          <w:p w14:paraId="236ECA66"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1.4</w:t>
            </w:r>
          </w:p>
        </w:tc>
        <w:tc>
          <w:tcPr>
            <w:tcW w:w="1580" w:type="dxa"/>
            <w:shd w:val="clear" w:color="auto" w:fill="auto"/>
            <w:tcMar>
              <w:top w:w="100" w:type="dxa"/>
              <w:left w:w="100" w:type="dxa"/>
              <w:bottom w:w="100" w:type="dxa"/>
              <w:right w:w="100" w:type="dxa"/>
            </w:tcMar>
            <w:vAlign w:val="center"/>
          </w:tcPr>
          <w:p w14:paraId="6C5780FF"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3.1</w:t>
            </w:r>
          </w:p>
        </w:tc>
        <w:tc>
          <w:tcPr>
            <w:tcW w:w="2672" w:type="dxa"/>
            <w:shd w:val="clear" w:color="auto" w:fill="auto"/>
            <w:tcMar>
              <w:top w:w="100" w:type="dxa"/>
              <w:left w:w="100" w:type="dxa"/>
              <w:bottom w:w="100" w:type="dxa"/>
              <w:right w:w="100" w:type="dxa"/>
            </w:tcMar>
            <w:vAlign w:val="center"/>
          </w:tcPr>
          <w:p w14:paraId="73FC9D96" w14:textId="13D142F7" w:rsidR="0014506D" w:rsidRPr="000D4BCB" w:rsidRDefault="0014506D" w:rsidP="00D1269F">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ADDIN CSL_CITATION {"citationItems":[{"id":"ITEM-1","itemData":{"DOI":"10.4209/aaqr.200628","ISSN":"20711409","abstract":"This study measured the carbonaceous aerosols in the atmospheric fine particulate matter (fPM; dia. &lt; 2.5 µm, n = 102 samples) above an urban location (Prayagraj) on the central Indo-Gangetic Plain (IGP) for 1 year (December 2016–November 2017). During the study period, the fPM mass concentrations exhibited very high variability, ranging from 22 to 367 (avg. ± SD: 149 ± 87) µg m–3, and approximately 40% of the annual average consisted of carbonaceous aerosols (organic carbon [OC], water-soluble OC [WSOC], and elemental carbon [EC]). Furthermore, several diagnostic ratios (EC/fPM, OC/EC, char-EC/soot-EC, and WSOC/OC) indicated that the characteristics of the carbonaceous aerosols significantly differed between seasons, with emission sources, seasonal meteorology, and atmospheric chemistry driving the variation in abundance. Specifically, our trajectory analysis revealed an association between northwesterly air masses originating in northwestern India and higher concentrations of fPM and carbonaceous aerosols at the study site, which mainly occurred during the post-monsoon season and winter. However, anthropogenic emissions from local sources dominated the fPM and carbonaceous aerosols in summer and the monsoon season, during which we also observed the influence of air masses of mixed (continental/marine) origin. To identify the sources of the carbonaceous aerosols and evaluate their contributions, we analyzed the char-EC/soot-EC ratio in combination with the OC/EC ratio. Cross plots of these ratios identified biomass burning and fossil-fuel combustion as the largest sources during winter and the post-monsoon season, and summer and the monsoon season, respectively. Our results demonstrate the advantages of utilizing the char-EC/soot-EC ratio rather than the OC/EC ratio as a tracer of these two sources in the IGP region.","author":[{"dropping-particle":"","family":"Mishra","given":"Manisha","non-dropping-particle":"","parse-names":false,"suffix":""},{"dropping-particle":"","family":"Kulshrestha","given":"U. C.","non-dropping-particle":"","parse-names":false,"suffix":""}],"container-title":"Aerosol and Air Quality Research","id":"ITEM-1","issue":"9","issued":{"date-parts":[["2021"]]},"page":"1-17","title":"Source impact analysis using char-ec/soot-ec ratios in the central indo-gangetic plain (Igp) of India","type":"article-journal","volume":"21"},"uris":["http://www.mendeley.com/documents/?uuid=d5b6960e-e6e0-4d00-b69b-775bf9982048"]}],"mendeley":{"formattedCitation":"(Mishra &amp; Kulshrestha, 2021)","plainTextFormattedCitation":"(Mishra &amp; Kulshrestha, 2021)","previouslyFormattedCitation":"(Mishra &amp; Kulshrestha, 2021)"},"properties":{"noteIndex":0},"schema":"https://github.com/citation-style-language/schema/raw/master/csl-citation.json"}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00130F3A" w:rsidRPr="00130F3A">
              <w:rPr>
                <w:rFonts w:ascii="Times New Roman" w:eastAsia="Times New Roman" w:hAnsi="Times New Roman" w:cs="Times New Roman"/>
                <w:noProof/>
                <w:sz w:val="24"/>
                <w:szCs w:val="24"/>
              </w:rPr>
              <w:t>(Mishra &amp; Kulshrestha, 2021)</w:t>
            </w:r>
            <w:r>
              <w:rPr>
                <w:rFonts w:ascii="Times New Roman" w:eastAsia="Times New Roman" w:hAnsi="Times New Roman" w:cs="Times New Roman"/>
                <w:sz w:val="24"/>
                <w:szCs w:val="24"/>
              </w:rPr>
              <w:fldChar w:fldCharType="end"/>
            </w:r>
          </w:p>
        </w:tc>
      </w:tr>
      <w:tr w:rsidR="0014506D" w:rsidRPr="000D4BCB" w14:paraId="136BD028" w14:textId="77777777" w:rsidTr="005F3A66">
        <w:trPr>
          <w:trHeight w:val="139"/>
          <w:jc w:val="center"/>
        </w:trPr>
        <w:tc>
          <w:tcPr>
            <w:tcW w:w="3109" w:type="dxa"/>
            <w:shd w:val="clear" w:color="auto" w:fill="auto"/>
            <w:tcMar>
              <w:top w:w="100" w:type="dxa"/>
              <w:left w:w="100" w:type="dxa"/>
              <w:bottom w:w="100" w:type="dxa"/>
              <w:right w:w="100" w:type="dxa"/>
            </w:tcMar>
            <w:vAlign w:val="center"/>
          </w:tcPr>
          <w:p w14:paraId="6CFA3158"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Raipur (Chhattisgarh)</w:t>
            </w:r>
          </w:p>
        </w:tc>
        <w:tc>
          <w:tcPr>
            <w:tcW w:w="1701" w:type="dxa"/>
            <w:shd w:val="clear" w:color="auto" w:fill="auto"/>
            <w:tcMar>
              <w:top w:w="100" w:type="dxa"/>
              <w:left w:w="100" w:type="dxa"/>
              <w:bottom w:w="100" w:type="dxa"/>
              <w:right w:w="100" w:type="dxa"/>
            </w:tcMar>
            <w:vAlign w:val="center"/>
          </w:tcPr>
          <w:p w14:paraId="5543E51E"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3.52</w:t>
            </w:r>
          </w:p>
        </w:tc>
        <w:tc>
          <w:tcPr>
            <w:tcW w:w="1580" w:type="dxa"/>
            <w:shd w:val="clear" w:color="auto" w:fill="auto"/>
            <w:tcMar>
              <w:top w:w="100" w:type="dxa"/>
              <w:left w:w="100" w:type="dxa"/>
              <w:bottom w:w="100" w:type="dxa"/>
              <w:right w:w="100" w:type="dxa"/>
            </w:tcMar>
            <w:vAlign w:val="center"/>
          </w:tcPr>
          <w:p w14:paraId="28B99C52"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3.56</w:t>
            </w:r>
          </w:p>
        </w:tc>
        <w:tc>
          <w:tcPr>
            <w:tcW w:w="2672" w:type="dxa"/>
            <w:shd w:val="clear" w:color="auto" w:fill="auto"/>
            <w:tcMar>
              <w:top w:w="100" w:type="dxa"/>
              <w:left w:w="100" w:type="dxa"/>
              <w:bottom w:w="100" w:type="dxa"/>
              <w:right w:w="100" w:type="dxa"/>
            </w:tcMar>
            <w:vAlign w:val="center"/>
          </w:tcPr>
          <w:p w14:paraId="73AEC942" w14:textId="0A4B59B4" w:rsidR="0014506D" w:rsidRPr="000D4BCB" w:rsidRDefault="0014506D" w:rsidP="00D1269F">
            <w:pPr>
              <w:widowControl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ADDIN CSL_CITATION {"citationItems":[{"id":"ITEM-1","itemData":{"DOI":"10.1007/s10653-018-0093-0","ISBN":"0123456789","ISSN":"15732983","PMID":"29603086","abstract":"This study describes spatiotemporal patterns from October 2015 to September 2016 for PM2.5 mass and carbon measurements in rural (Kosmarra), urban (Raipur), and industrial (Bhilai) environments, in Chhattisgarh, Central India. Twenty-four-hour samples were acquired once every other week at the rural and industrial sites. Twelve-hour daytime and nighttime samples were acquired either a once a week or once every other week at the urban site. Each site was equipped with two portable, battery-powered, miniVol air samplers with PM2.5 inlets. Annual average PM2.5 mass concentrations were 71.8 ± 27 µg m−3 at the rural site, 133 ± 51 µg m−3 at the urban site, and 244.5 ± 63.3 µg m−3 at the industrial site, ~ 2–6 times higher than the Indian Annual National Ambient Air Quality Standard of 40 µg m−3. Average monthly nighttime PM2.5 and carbon concentrations at the urban site were consistently higher than those of daytime from November 2015 to April 2016, when temperatures were low. Annual average total carbon (TC = OC + EC) at the urban (46.8 ± 23.8 µg m−3) and industrial (98.0 ± 17.2 µg m−3) sites also exceeded the Indian PM2.5 NAAQS. TC accounted for 30–40% of PM2.5 mass. Annual average OC ranged from 17.8 ± 6.1 µg m−3 at the rural site to 64 ± 9.4 µg m−3 at the industrial site, with EC ranging from 4.51 ± 2.2 to 34.01 ± 7.8 µg m−3. The average OC/EC ratio at the industrial site (1.88) was 18% lower than that at the urban site and 52% lower than that at the rural site. OC was attributed to 43.0% of secondary organic carbon (SOC) at the rural site, twice that estimated for the urban and industrial sites. Mortality burden estimates for PM2.5 EC are 4416 and 6196 excess deaths at the urban and industrial sites, respectively, during 2015–2016.","author":[{"dropping-particle":"","family":"Sahu","given":"Rakesh Kumar","non-dropping-particle":"","parse-names":false,"suffix":""},{"dropping-particle":"","family":"Pervez","given":"Shamsh","non-dropping-particle":"","parse-names":false,"suffix":""},{"dropping-particle":"","family":"Chow","given":"Judith C.","non-dropping-particle":"","parse-names":false,"suffix":""},{"dropping-particle":"","family":"Watson","given":"John G.","non-dropping-particle":"","parse-names":false,"suffix":""},{"dropping-particle":"","family":"Tiwari","given":"Suresh","non-dropping-particle":"","parse-names":false,"suffix":""},{"dropping-particle":"","family":"Panicker","given":"Abhilash S.","non-dropping-particle":"","parse-names":false,"suffix":""},{"dropping-particle":"","family":"Chakrabarty","given":"Rajan K.","non-dropping-particle":"","parse-names":false,"suffix":""},{"dropping-particle":"","family":"Pervez","given":"Yasmeen Fatima","non-dropping-particle":"","parse-names":false,"suffix":""}],"container-title":"Environmental Geochemistry and Health","id":"ITEM-1","issue":"5","issued":{"date-parts":[["2018"]]},"page":"2205-2222","publisher":"Springer Netherlands","title":"Temporal and spatial variations of PM2.5 organic and elemental carbon in Central India","type":"article-journal","volume":"40"},"uris":["http://www.mendeley.com/documents/?uuid=00a8dbe8-fdd5-462a-8794-eb4db93b4854"]}],"mendeley":{"formattedCitation":"(Sahu et al., 2018)","plainTextFormattedCitation":"(Sahu et al., 2018)","previouslyFormattedCitation":"(Sahu et al., 2018)"},"properties":{"noteIndex":0},"schema":"https://github.com/citation-style-language/schema/raw/master/csl-citation.json"}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00130F3A" w:rsidRPr="00130F3A">
              <w:rPr>
                <w:rFonts w:ascii="Times New Roman" w:eastAsia="Times New Roman" w:hAnsi="Times New Roman" w:cs="Times New Roman"/>
                <w:noProof/>
                <w:sz w:val="24"/>
                <w:szCs w:val="24"/>
              </w:rPr>
              <w:t>(Sahu et al., 2018)</w:t>
            </w:r>
            <w:r>
              <w:rPr>
                <w:rFonts w:ascii="Times New Roman" w:eastAsia="Times New Roman" w:hAnsi="Times New Roman" w:cs="Times New Roman"/>
                <w:sz w:val="24"/>
                <w:szCs w:val="24"/>
              </w:rPr>
              <w:fldChar w:fldCharType="end"/>
            </w:r>
          </w:p>
        </w:tc>
      </w:tr>
      <w:tr w:rsidR="0014506D" w:rsidRPr="000D4BCB" w14:paraId="53FA295B" w14:textId="77777777" w:rsidTr="005F3A66">
        <w:trPr>
          <w:trHeight w:val="139"/>
          <w:jc w:val="center"/>
        </w:trPr>
        <w:tc>
          <w:tcPr>
            <w:tcW w:w="3109" w:type="dxa"/>
            <w:shd w:val="clear" w:color="auto" w:fill="auto"/>
            <w:tcMar>
              <w:top w:w="100" w:type="dxa"/>
              <w:left w:w="100" w:type="dxa"/>
              <w:bottom w:w="100" w:type="dxa"/>
              <w:right w:w="100" w:type="dxa"/>
            </w:tcMar>
            <w:vAlign w:val="center"/>
          </w:tcPr>
          <w:p w14:paraId="2A1D46A7"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proofErr w:type="spellStart"/>
            <w:r w:rsidRPr="000D4BCB">
              <w:rPr>
                <w:rFonts w:ascii="Times New Roman" w:eastAsia="Times New Roman" w:hAnsi="Times New Roman" w:cs="Times New Roman"/>
                <w:sz w:val="24"/>
                <w:szCs w:val="24"/>
              </w:rPr>
              <w:t>Sakinaka</w:t>
            </w:r>
            <w:proofErr w:type="spellEnd"/>
            <w:r w:rsidRPr="000D4BCB">
              <w:rPr>
                <w:rFonts w:ascii="Times New Roman" w:eastAsia="Times New Roman" w:hAnsi="Times New Roman" w:cs="Times New Roman"/>
                <w:sz w:val="24"/>
                <w:szCs w:val="24"/>
              </w:rPr>
              <w:t>, Mumbai (India)</w:t>
            </w:r>
          </w:p>
        </w:tc>
        <w:tc>
          <w:tcPr>
            <w:tcW w:w="1701" w:type="dxa"/>
            <w:shd w:val="clear" w:color="auto" w:fill="auto"/>
            <w:tcMar>
              <w:top w:w="100" w:type="dxa"/>
              <w:left w:w="100" w:type="dxa"/>
              <w:bottom w:w="100" w:type="dxa"/>
              <w:right w:w="100" w:type="dxa"/>
            </w:tcMar>
            <w:vAlign w:val="center"/>
          </w:tcPr>
          <w:p w14:paraId="402C5061"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2.8</w:t>
            </w:r>
          </w:p>
        </w:tc>
        <w:tc>
          <w:tcPr>
            <w:tcW w:w="1580" w:type="dxa"/>
            <w:shd w:val="clear" w:color="auto" w:fill="auto"/>
            <w:tcMar>
              <w:top w:w="100" w:type="dxa"/>
              <w:left w:w="100" w:type="dxa"/>
              <w:bottom w:w="100" w:type="dxa"/>
              <w:right w:w="100" w:type="dxa"/>
            </w:tcMar>
            <w:vAlign w:val="center"/>
          </w:tcPr>
          <w:p w14:paraId="7F147FA9"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1.6</w:t>
            </w:r>
          </w:p>
        </w:tc>
        <w:tc>
          <w:tcPr>
            <w:tcW w:w="2672" w:type="dxa"/>
            <w:shd w:val="clear" w:color="auto" w:fill="auto"/>
            <w:tcMar>
              <w:top w:w="100" w:type="dxa"/>
              <w:left w:w="100" w:type="dxa"/>
              <w:bottom w:w="100" w:type="dxa"/>
              <w:right w:w="100" w:type="dxa"/>
            </w:tcMar>
            <w:vAlign w:val="center"/>
          </w:tcPr>
          <w:p w14:paraId="50728236" w14:textId="77777777" w:rsidR="0014506D" w:rsidRPr="000D4BCB" w:rsidRDefault="0014506D" w:rsidP="00D1269F">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This Study</w:t>
            </w:r>
          </w:p>
        </w:tc>
      </w:tr>
      <w:tr w:rsidR="0014506D" w:rsidRPr="000D4BCB" w14:paraId="2736CAF1" w14:textId="77777777" w:rsidTr="005F3A66">
        <w:trPr>
          <w:trHeight w:val="345"/>
          <w:jc w:val="center"/>
        </w:trPr>
        <w:tc>
          <w:tcPr>
            <w:tcW w:w="3109" w:type="dxa"/>
            <w:shd w:val="clear" w:color="auto" w:fill="auto"/>
            <w:tcMar>
              <w:top w:w="100" w:type="dxa"/>
              <w:left w:w="100" w:type="dxa"/>
              <w:bottom w:w="100" w:type="dxa"/>
              <w:right w:w="100" w:type="dxa"/>
            </w:tcMar>
            <w:vAlign w:val="center"/>
          </w:tcPr>
          <w:p w14:paraId="3F117CCC"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YP-Gate, IITB, Mumbai (India)</w:t>
            </w:r>
          </w:p>
        </w:tc>
        <w:tc>
          <w:tcPr>
            <w:tcW w:w="1701" w:type="dxa"/>
            <w:shd w:val="clear" w:color="auto" w:fill="auto"/>
            <w:tcMar>
              <w:top w:w="100" w:type="dxa"/>
              <w:left w:w="100" w:type="dxa"/>
              <w:bottom w:w="100" w:type="dxa"/>
              <w:right w:w="100" w:type="dxa"/>
            </w:tcMar>
            <w:vAlign w:val="center"/>
          </w:tcPr>
          <w:p w14:paraId="1CED77CD"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2.5</w:t>
            </w:r>
          </w:p>
        </w:tc>
        <w:tc>
          <w:tcPr>
            <w:tcW w:w="1580" w:type="dxa"/>
            <w:shd w:val="clear" w:color="auto" w:fill="auto"/>
            <w:tcMar>
              <w:top w:w="100" w:type="dxa"/>
              <w:left w:w="100" w:type="dxa"/>
              <w:bottom w:w="100" w:type="dxa"/>
              <w:right w:w="100" w:type="dxa"/>
            </w:tcMar>
            <w:vAlign w:val="center"/>
          </w:tcPr>
          <w:p w14:paraId="5D19B735" w14:textId="77777777" w:rsidR="0014506D" w:rsidRPr="000D4BCB" w:rsidRDefault="0014506D" w:rsidP="00AD1D93">
            <w:pPr>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w:t>
            </w:r>
          </w:p>
        </w:tc>
        <w:tc>
          <w:tcPr>
            <w:tcW w:w="2672" w:type="dxa"/>
            <w:shd w:val="clear" w:color="auto" w:fill="auto"/>
            <w:tcMar>
              <w:top w:w="100" w:type="dxa"/>
              <w:left w:w="100" w:type="dxa"/>
              <w:bottom w:w="100" w:type="dxa"/>
              <w:right w:w="100" w:type="dxa"/>
            </w:tcMar>
            <w:vAlign w:val="center"/>
          </w:tcPr>
          <w:p w14:paraId="3E964DE3" w14:textId="77777777" w:rsidR="0014506D" w:rsidRPr="000D4BCB" w:rsidRDefault="0014506D" w:rsidP="00D1269F">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This Study</w:t>
            </w:r>
          </w:p>
        </w:tc>
      </w:tr>
      <w:tr w:rsidR="0014506D" w:rsidRPr="000D4BCB" w14:paraId="6C5970CD" w14:textId="77777777" w:rsidTr="005F3A66">
        <w:trPr>
          <w:trHeight w:val="393"/>
          <w:jc w:val="center"/>
        </w:trPr>
        <w:tc>
          <w:tcPr>
            <w:tcW w:w="3109" w:type="dxa"/>
            <w:shd w:val="clear" w:color="auto" w:fill="auto"/>
            <w:tcMar>
              <w:top w:w="100" w:type="dxa"/>
              <w:left w:w="100" w:type="dxa"/>
              <w:bottom w:w="100" w:type="dxa"/>
              <w:right w:w="100" w:type="dxa"/>
            </w:tcMar>
            <w:vAlign w:val="center"/>
          </w:tcPr>
          <w:p w14:paraId="7C145258"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Hostel Premises, IITB, Mumbai (India)</w:t>
            </w:r>
          </w:p>
        </w:tc>
        <w:tc>
          <w:tcPr>
            <w:tcW w:w="1701" w:type="dxa"/>
            <w:shd w:val="clear" w:color="auto" w:fill="auto"/>
            <w:tcMar>
              <w:top w:w="100" w:type="dxa"/>
              <w:left w:w="100" w:type="dxa"/>
              <w:bottom w:w="100" w:type="dxa"/>
              <w:right w:w="100" w:type="dxa"/>
            </w:tcMar>
            <w:vAlign w:val="center"/>
          </w:tcPr>
          <w:p w14:paraId="32A7EF28"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4.5</w:t>
            </w:r>
          </w:p>
        </w:tc>
        <w:tc>
          <w:tcPr>
            <w:tcW w:w="1580" w:type="dxa"/>
            <w:shd w:val="clear" w:color="auto" w:fill="auto"/>
            <w:tcMar>
              <w:top w:w="100" w:type="dxa"/>
              <w:left w:w="100" w:type="dxa"/>
              <w:bottom w:w="100" w:type="dxa"/>
              <w:right w:w="100" w:type="dxa"/>
            </w:tcMar>
            <w:vAlign w:val="center"/>
          </w:tcPr>
          <w:p w14:paraId="6F8EAEAA"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2.4</w:t>
            </w:r>
          </w:p>
        </w:tc>
        <w:tc>
          <w:tcPr>
            <w:tcW w:w="2672" w:type="dxa"/>
            <w:shd w:val="clear" w:color="auto" w:fill="auto"/>
            <w:tcMar>
              <w:top w:w="100" w:type="dxa"/>
              <w:left w:w="100" w:type="dxa"/>
              <w:bottom w:w="100" w:type="dxa"/>
              <w:right w:w="100" w:type="dxa"/>
            </w:tcMar>
            <w:vAlign w:val="center"/>
          </w:tcPr>
          <w:p w14:paraId="4FCFA77E" w14:textId="77777777" w:rsidR="0014506D" w:rsidRPr="000D4BCB" w:rsidRDefault="0014506D" w:rsidP="00D1269F">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This Study</w:t>
            </w:r>
          </w:p>
        </w:tc>
      </w:tr>
      <w:tr w:rsidR="0014506D" w:rsidRPr="000D4BCB" w14:paraId="6C1D6C1B" w14:textId="77777777" w:rsidTr="005F3A66">
        <w:trPr>
          <w:trHeight w:val="177"/>
          <w:jc w:val="center"/>
        </w:trPr>
        <w:tc>
          <w:tcPr>
            <w:tcW w:w="3109" w:type="dxa"/>
            <w:shd w:val="clear" w:color="auto" w:fill="auto"/>
            <w:tcMar>
              <w:top w:w="100" w:type="dxa"/>
              <w:left w:w="100" w:type="dxa"/>
              <w:bottom w:w="100" w:type="dxa"/>
              <w:right w:w="100" w:type="dxa"/>
            </w:tcMar>
            <w:vAlign w:val="center"/>
          </w:tcPr>
          <w:p w14:paraId="3E49551E"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proofErr w:type="spellStart"/>
            <w:r w:rsidRPr="000D4BCB">
              <w:rPr>
                <w:rFonts w:ascii="Times New Roman" w:eastAsia="Times New Roman" w:hAnsi="Times New Roman" w:cs="Times New Roman"/>
                <w:sz w:val="24"/>
                <w:szCs w:val="24"/>
              </w:rPr>
              <w:t>Gosan</w:t>
            </w:r>
            <w:proofErr w:type="spellEnd"/>
            <w:r w:rsidRPr="000D4BCB">
              <w:rPr>
                <w:rFonts w:ascii="Times New Roman" w:eastAsia="Times New Roman" w:hAnsi="Times New Roman" w:cs="Times New Roman"/>
                <w:sz w:val="24"/>
                <w:szCs w:val="24"/>
              </w:rPr>
              <w:t xml:space="preserve"> (South Korea)</w:t>
            </w:r>
          </w:p>
        </w:tc>
        <w:tc>
          <w:tcPr>
            <w:tcW w:w="1701" w:type="dxa"/>
            <w:shd w:val="clear" w:color="auto" w:fill="auto"/>
            <w:tcMar>
              <w:top w:w="100" w:type="dxa"/>
              <w:left w:w="100" w:type="dxa"/>
              <w:bottom w:w="100" w:type="dxa"/>
              <w:right w:w="100" w:type="dxa"/>
            </w:tcMar>
            <w:vAlign w:val="center"/>
          </w:tcPr>
          <w:p w14:paraId="1E53486D"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2.3</w:t>
            </w:r>
          </w:p>
        </w:tc>
        <w:tc>
          <w:tcPr>
            <w:tcW w:w="1580" w:type="dxa"/>
            <w:shd w:val="clear" w:color="auto" w:fill="auto"/>
            <w:tcMar>
              <w:top w:w="100" w:type="dxa"/>
              <w:left w:w="100" w:type="dxa"/>
              <w:bottom w:w="100" w:type="dxa"/>
              <w:right w:w="100" w:type="dxa"/>
            </w:tcMar>
            <w:vAlign w:val="center"/>
          </w:tcPr>
          <w:p w14:paraId="7C0E3FFB"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rPr>
              <w:t>4</w:t>
            </w:r>
          </w:p>
        </w:tc>
        <w:tc>
          <w:tcPr>
            <w:tcW w:w="2672" w:type="dxa"/>
            <w:shd w:val="clear" w:color="auto" w:fill="auto"/>
            <w:tcMar>
              <w:top w:w="100" w:type="dxa"/>
              <w:left w:w="100" w:type="dxa"/>
              <w:bottom w:w="100" w:type="dxa"/>
              <w:right w:w="100" w:type="dxa"/>
            </w:tcMar>
            <w:vAlign w:val="center"/>
          </w:tcPr>
          <w:p w14:paraId="49B97DD7" w14:textId="0D781E00" w:rsidR="0014506D" w:rsidRPr="000D4BCB" w:rsidRDefault="0014506D" w:rsidP="00D1269F">
            <w:pPr>
              <w:widowControl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ADDIN CSL_CITATION {"citationItems":[{"id":"ITEM-1","itemData":{"DOI":"10.5194/acp-12-2007-2012","ISSN":"16807316","abstract":"PM1.0, PM2.5, and PM10 were sampled at Gosan ABC Superstation on Jeju Island from August 2007 to September 2008. The carbonaceous aerosols were quantified with the thermal/optical reflectance (TOR) method, which produced five organic carbon (OC) fractions, OC1, OC2, OC3, OC4, and pyrolyzed organic carbon (OP), and three elemental carbon (EC) fractions, EC1, EC2, and EC3. The mean mass concentrations of PM1.0, PM 2.5, and PM10 were 13.7 μg m-3, 17.2 μg m-3, and 28.4 μg m-3, respectively. The averaged mass fractions of OC and EC were 23.0% and 10.4% for PM1.0, 22.9% and 9.8% for PM2.5, and 16.4% and 6.0% for PM10. Among the OC and EC sub-components, OC2 and EC2+3 were enriched in the fine mode, but OC3 and OC4 in the coarse mode. The filter-based PM1.0 EC agreed well with black carbon (BC) measured by an Aethalometer, and PM10 EC was higher than BC, implying less light absorption by larger particles. EC was well correlated with sulfate, resulting in good relationships of sulfate with both aerosol scattering coefficient measured by Nephelometer and BC concentration. Our measurements of EC confirmed the definition of EC1 as char-EC emitted from smoldering combustion and EC2+3 as soot-EC generated from higher-temperature combustion such as motor vehicle exhaust and coal combustion (Han et al., 2010). In particular, EC1 was strongly correlated with potassium, a traditional biomass burning indicator, except during the summer, when the ratio of EC1 to EC2+3 was the lowest. We also found the ratios of major chemical species to be a useful tool to constrain the main sources of aerosols, by which the five air masses were well distinguished: Siberia, Beijing, Shanghai, Yellow Sea, and East Sea types. Except Siberian air, the continental background of the study region, Beijing plumes showed the highest EC1 (and OP) to sulfate ratio, which implies that this air mass had the highest net warming by aerosols of the four air masses. Shanghai-type air, which was heavily influenced by southern China, showed the highest sulfate enhancement. The highest EC2+3/EC1 ratio was found in aged East Sea air, demonstrating a significant influence of motor vehicle emissions from South Korea and Japan and less influence from industrial regions of China. The high ratio results from the longer residence time and less sensitivity to wet scavenging of EC2+3 compared to EC1, indicating that soot-EC could have greater consequence in regional-scale warming © 2012 Author(s).","author":[{"dropping-particle":"","family":"Lim","given":"S.","non-dropping-particle":"","parse-names":false,"suffix":""},{"dropping-particle":"","family":"Lee","given":"M.","non-dropping-particle":"","parse-names":false,"suffix":""},{"dropping-particle":"","family":"Lee","given":"G.","non-dropping-particle":"","parse-names":false,"suffix":""},{"dropping-particle":"","family":"Kim","given":"S.","non-dropping-particle":"","parse-names":false,"suffix":""},{"dropping-particle":"","family":"Yoon","given":"S.","non-dropping-particle":"","parse-names":false,"suffix":""},{"dropping-particle":"","family":"Kang","given":"K.","non-dropping-particle":"","parse-names":false,"suffix":""}],"container-title":"Atmospheric Chemistry and Physics","id":"ITEM-1","issue":"4","issued":{"date-parts":[["2012"]]},"page":"2007-2024","title":"Ionic and carbonaceous compositions of PM10, PM2.5 and PM1.0 at Gosan ABC Superstation and their ratios as source signature","type":"article-journal","volume":"12"},"uris":["http://www.mendeley.com/documents/?uuid=64a1816c-c8cd-4aa1-9723-b832cb77444a"]}],"mendeley":{"formattedCitation":"(Lim et al., 2012)","plainTextFormattedCitation":"(Lim et al., 2012)","previouslyFormattedCitation":"(Lim et al., 2012)"},"properties":{"noteIndex":0},"schema":"https://github.com/citation-style-language/schema/raw/master/csl-citation.json"}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00130F3A" w:rsidRPr="00130F3A">
              <w:rPr>
                <w:rFonts w:ascii="Times New Roman" w:eastAsia="Times New Roman" w:hAnsi="Times New Roman" w:cs="Times New Roman"/>
                <w:noProof/>
                <w:sz w:val="24"/>
                <w:szCs w:val="24"/>
              </w:rPr>
              <w:t>(Lim et al., 2012)</w:t>
            </w:r>
            <w:r>
              <w:rPr>
                <w:rFonts w:ascii="Times New Roman" w:eastAsia="Times New Roman" w:hAnsi="Times New Roman" w:cs="Times New Roman"/>
                <w:sz w:val="24"/>
                <w:szCs w:val="24"/>
              </w:rPr>
              <w:fldChar w:fldCharType="end"/>
            </w:r>
          </w:p>
        </w:tc>
      </w:tr>
      <w:tr w:rsidR="0014506D" w:rsidRPr="000D4BCB" w14:paraId="1E54BF92" w14:textId="77777777" w:rsidTr="005F3A66">
        <w:trPr>
          <w:trHeight w:val="57"/>
          <w:jc w:val="center"/>
        </w:trPr>
        <w:tc>
          <w:tcPr>
            <w:tcW w:w="3109" w:type="dxa"/>
            <w:shd w:val="clear" w:color="auto" w:fill="auto"/>
            <w:tcMar>
              <w:top w:w="100" w:type="dxa"/>
              <w:left w:w="100" w:type="dxa"/>
              <w:bottom w:w="100" w:type="dxa"/>
              <w:right w:w="100" w:type="dxa"/>
            </w:tcMar>
            <w:vAlign w:val="center"/>
          </w:tcPr>
          <w:p w14:paraId="3FC94131"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Pathum Thani (Thailand)</w:t>
            </w:r>
          </w:p>
        </w:tc>
        <w:tc>
          <w:tcPr>
            <w:tcW w:w="1701" w:type="dxa"/>
            <w:shd w:val="clear" w:color="auto" w:fill="auto"/>
            <w:tcMar>
              <w:top w:w="100" w:type="dxa"/>
              <w:left w:w="100" w:type="dxa"/>
              <w:bottom w:w="100" w:type="dxa"/>
              <w:right w:w="100" w:type="dxa"/>
            </w:tcMar>
            <w:vAlign w:val="center"/>
          </w:tcPr>
          <w:p w14:paraId="26D6D888"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3.52</w:t>
            </w:r>
          </w:p>
        </w:tc>
        <w:tc>
          <w:tcPr>
            <w:tcW w:w="1580" w:type="dxa"/>
            <w:shd w:val="clear" w:color="auto" w:fill="auto"/>
            <w:tcMar>
              <w:top w:w="100" w:type="dxa"/>
              <w:left w:w="100" w:type="dxa"/>
              <w:bottom w:w="100" w:type="dxa"/>
              <w:right w:w="100" w:type="dxa"/>
            </w:tcMar>
            <w:vAlign w:val="center"/>
          </w:tcPr>
          <w:p w14:paraId="1B3DAA2E" w14:textId="77777777" w:rsidR="0014506D" w:rsidRPr="000D4BCB" w:rsidRDefault="0014506D" w:rsidP="00AD1D93">
            <w:pPr>
              <w:widowControl w:val="0"/>
              <w:spacing w:after="0"/>
              <w:jc w:val="center"/>
              <w:rPr>
                <w:rFonts w:ascii="Times New Roman" w:eastAsia="Times New Roman" w:hAnsi="Times New Roman" w:cs="Times New Roman"/>
              </w:rPr>
            </w:pPr>
            <w:r w:rsidRPr="000D4BCB">
              <w:rPr>
                <w:rFonts w:ascii="Times New Roman" w:eastAsia="Times New Roman" w:hAnsi="Times New Roman" w:cs="Times New Roman"/>
                <w:sz w:val="24"/>
                <w:szCs w:val="24"/>
              </w:rPr>
              <w:t>6.94</w:t>
            </w:r>
          </w:p>
        </w:tc>
        <w:tc>
          <w:tcPr>
            <w:tcW w:w="2672" w:type="dxa"/>
            <w:shd w:val="clear" w:color="auto" w:fill="auto"/>
            <w:tcMar>
              <w:top w:w="100" w:type="dxa"/>
              <w:left w:w="100" w:type="dxa"/>
              <w:bottom w:w="100" w:type="dxa"/>
              <w:right w:w="100" w:type="dxa"/>
            </w:tcMar>
            <w:vAlign w:val="center"/>
          </w:tcPr>
          <w:p w14:paraId="27B67935" w14:textId="5F34C7E8" w:rsidR="0014506D" w:rsidRPr="000D4BCB" w:rsidRDefault="0014506D" w:rsidP="00D1269F">
            <w:pPr>
              <w:widowControl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ADDIN CSL_CITATION {"citationItems":[{"id":"ITEM-1","itemData":{"DOI":"10.4209/aaqr.2020.03.0120","ISSN":"20711409","abstract":"This study investigated atmospheric particulate matter (PM) with an aerodynamic diameter of &lt; 2.5 µm (PM2.5) observed at the Prince of Songkla University (Phuket Campus) in southern Thailand. All samples (n = 75) were collected using MiniVol™ portable air samplers from March 2017 to February 2018. Carbonaceous aerosol compositions, i.e., organic carbon (OC) and elemental carbon (EC), water-soluble ionic species (WSIS), and polycyclic aromatic hydrocarbons (PAHs) in the PM2.5 samples were identified and quantified. We found that the average PM2.5 concentration was 42.26 ± 13.45 µg m–3, while the average concentrations of OC and EC were 3.05 ± 1.70 and 0.63 ± 0.58 µg m–3, respectively. The OC/EC ratio was in the range of 2.69–16.9 (mean: 6.05 ± 2.70), and the average concentration of 10 selected ions was 6.91 ± 3.54 µg m–3. The average concentration of SO42– was the highest throughout the entire study period (2.33 ± 1.73 µg m–3); the average contribution of SO42– to the major ionic components was 34%. Surprisingly, the average concentrations of NO3– and NH4+ were relatively low. The mean ratio of [NO3–]/[SO42–] was 0.33 ± 0.24. Strong positive correlation was found between K+ and both OC and EC (r = 0.90 and r = 0.93, respectively). It is also precious to highlight that biomass burning (BB) is the major source of OC, EC and K+, which multiple studies have confirmed that the role of K+ as a biomass marker. Results showed that BB episodes might play a major role in producing the observed high levels of OC. The relatively high abundance of both B[g,h,i]P and Ind suggests that motor vehicles, petroleum/oil combustion, and industrial waste burning are the primary emission sources of PAHs in the ambient air of Phuket. Interestingly, principal component analysis (PCA) indicated that vehicular exhausts are the main source of carbonaceous aerosol compositions found in the ambient air of Phuket, whereas the contributions of biomass burning, diesel emissions, sea salt aerosols and industrial emissions were also important.","author":[{"dropping-particle":"","family":"Choochuay","given":"Chomsri","non-dropping-particle":"","parse-names":false,"suffix":""},{"dropping-particle":"","family":"Pongpiachan","given":"Siwatt","non-dropping-particle":"","parse-names":false,"suffix":""},{"dropping-particle":"","family":"Tipmanee","given":"Danai","non-dropping-particle":"","parse-names":false,"suffix":""},{"dropping-particle":"","family":"Deelaman","given":"Woranuch","non-dropping-particle":"","parse-names":false,"suffix":""},{"dropping-particle":"","family":"Suttinun","given":"Oramas","non-dropping-particle":"","parse-names":false,"suffix":""},{"dropping-particle":"","family":"Wang","given":"Qiyuan","non-dropping-particle":"","parse-names":false,"suffix":""},{"dropping-particle":"","family":"Xing","given":"Li","non-dropping-particle":"","parse-names":false,"suffix":""},{"dropping-particle":"","family":"Li","given":"Guohui","non-dropping-particle":"","parse-names":false,"suffix":""},{"dropping-particle":"","family":"Han","given":"Yongming","non-dropping-particle":"","parse-names":false,"suffix":""},{"dropping-particle":"","family":"Palakun","given":"Jittree","non-dropping-particle":"","parse-names":false,"suffix":""},{"dropping-particle":"","family":"Poshyachinda","given":"Saran","non-dropping-particle":"","parse-names":false,"suffix":""},{"dropping-particle":"","family":"Aukkaravittayapun","given":"Suparerk","non-dropping-particle":"","parse-names":false,"suffix":""},{"dropping-particle":"","family":"Surapipith","given":"Vanisa","non-dropping-particle":"","parse-names":false,"suffix":""},{"dropping-particle":"","family":"Cao","given":"Junji","non-dropping-particle":"","parse-names":false,"suffix":""}],"container-title":"Aerosol and Air Quality Research","id":"ITEM-1","issue":"7","issued":{"date-parts":[["2020"]]},"page":"1591-1606","title":"Long-range transboundary atmospheric transport of polycyclic aromatic hydrocarbons, carbonaceous compositions, and water-soluble ionic species in southern thailand","type":"article-journal","volume":"20"},"uris":["http://www.mendeley.com/documents/?uuid=5578e968-8de3-4069-983f-32dae29460b5"]}],"mendeley":{"formattedCitation":"(Choochuay et al., 2020)","plainTextFormattedCitation":"(Choochuay et al., 2020)","previouslyFormattedCitation":"(Choochuay et al., 2020)"},"properties":{"noteIndex":0},"schema":"https://github.com/citation-style-language/schema/raw/master/csl-citation.json"}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00130F3A" w:rsidRPr="00130F3A">
              <w:rPr>
                <w:rFonts w:ascii="Times New Roman" w:eastAsia="Times New Roman" w:hAnsi="Times New Roman" w:cs="Times New Roman"/>
                <w:noProof/>
                <w:sz w:val="24"/>
                <w:szCs w:val="24"/>
              </w:rPr>
              <w:t>(Choochuay et al., 2020)</w:t>
            </w:r>
            <w:r>
              <w:rPr>
                <w:rFonts w:ascii="Times New Roman" w:eastAsia="Times New Roman" w:hAnsi="Times New Roman" w:cs="Times New Roman"/>
                <w:sz w:val="24"/>
                <w:szCs w:val="24"/>
              </w:rPr>
              <w:fldChar w:fldCharType="end"/>
            </w:r>
          </w:p>
        </w:tc>
      </w:tr>
      <w:tr w:rsidR="0014506D" w:rsidRPr="000D4BCB" w14:paraId="5C6A76C0" w14:textId="77777777" w:rsidTr="005F3A66">
        <w:trPr>
          <w:trHeight w:val="35"/>
          <w:jc w:val="center"/>
        </w:trPr>
        <w:tc>
          <w:tcPr>
            <w:tcW w:w="3109" w:type="dxa"/>
            <w:shd w:val="clear" w:color="auto" w:fill="auto"/>
            <w:tcMar>
              <w:top w:w="100" w:type="dxa"/>
              <w:left w:w="100" w:type="dxa"/>
              <w:bottom w:w="100" w:type="dxa"/>
              <w:right w:w="100" w:type="dxa"/>
            </w:tcMar>
            <w:vAlign w:val="center"/>
          </w:tcPr>
          <w:p w14:paraId="34460B4C"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Hanoi (Vietnam)</w:t>
            </w:r>
          </w:p>
        </w:tc>
        <w:tc>
          <w:tcPr>
            <w:tcW w:w="1701" w:type="dxa"/>
            <w:shd w:val="clear" w:color="auto" w:fill="auto"/>
            <w:tcMar>
              <w:top w:w="100" w:type="dxa"/>
              <w:left w:w="100" w:type="dxa"/>
              <w:bottom w:w="100" w:type="dxa"/>
              <w:right w:w="100" w:type="dxa"/>
            </w:tcMar>
            <w:vAlign w:val="center"/>
          </w:tcPr>
          <w:p w14:paraId="7E2C327B"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4.28</w:t>
            </w:r>
          </w:p>
        </w:tc>
        <w:tc>
          <w:tcPr>
            <w:tcW w:w="1580" w:type="dxa"/>
            <w:shd w:val="clear" w:color="auto" w:fill="auto"/>
            <w:tcMar>
              <w:top w:w="100" w:type="dxa"/>
              <w:left w:w="100" w:type="dxa"/>
              <w:bottom w:w="100" w:type="dxa"/>
              <w:right w:w="100" w:type="dxa"/>
            </w:tcMar>
            <w:vAlign w:val="center"/>
          </w:tcPr>
          <w:p w14:paraId="00998AA7"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2.69</w:t>
            </w:r>
          </w:p>
        </w:tc>
        <w:tc>
          <w:tcPr>
            <w:tcW w:w="2672" w:type="dxa"/>
            <w:shd w:val="clear" w:color="auto" w:fill="auto"/>
            <w:tcMar>
              <w:top w:w="100" w:type="dxa"/>
              <w:left w:w="100" w:type="dxa"/>
              <w:bottom w:w="100" w:type="dxa"/>
              <w:right w:w="100" w:type="dxa"/>
            </w:tcMar>
            <w:vAlign w:val="center"/>
          </w:tcPr>
          <w:p w14:paraId="1D68E6C9" w14:textId="40AFC9A4" w:rsidR="0014506D" w:rsidRPr="000D4BCB" w:rsidRDefault="0014506D" w:rsidP="00D1269F">
            <w:pPr>
              <w:widowControl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ADDIN CSL_CITATION {"citationItems":[{"id":"ITEM-1","itemData":{"DOI":"10.4209/aaqr.2017.11.0502","author":[{"dropping-particle":"","family":"Thi","given":"Nguyen","non-dropping-particle":"","parse-names":false,"suffix":""},{"dropping-particle":"","family":"Thuy","given":"Thu","non-dropping-particle":"","parse-names":false,"suffix":""},{"dropping-particle":"","family":"Dung","given":"Nghiem Trung","non-dropping-particle":"","parse-names":false,"suffix":""},{"dropping-particle":"","family":"Sekiguchi","given":"Kazuhiko","non-dropping-particle":"","parse-names":false,"suffix":""},{"dropping-particle":"","family":"Thuy","given":"Ly Bich","non-dropping-particle":"","parse-names":false,"suffix":""},{"dropping-particle":"","family":"Thi","given":"Nguyen","non-dropping-particle":"","parse-names":false,"suffix":""},{"dropping-particle":"","family":"Hien","given":"Thu","non-dropping-particle":"","parse-names":false,"suffix":""},{"dropping-particle":"","family":"Yamaguchi","given":"Ryosuke","non-dropping-particle":"","parse-names":false,"suffix":""}],"id":"ITEM-1","issued":{"date-parts":[["2018"]]},"page":"1591-1605","title":"at Urban Locations in Hanoi , Vietnam","type":"article-journal"},"uris":["http://www.mendeley.com/documents/?uuid=3d1a8382-2561-4c01-a78f-3d60147efa7f"]}],"mendeley":{"formattedCitation":"(Thi et al., 2018)","plainTextFormattedCitation":"(Thi et al., 2018)","previouslyFormattedCitation":"(Thi et al., 2018)"},"properties":{"noteIndex":0},"schema":"https://github.com/citation-style-language/schema/raw/master/csl-citation.json"}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00130F3A" w:rsidRPr="00130F3A">
              <w:rPr>
                <w:rFonts w:ascii="Times New Roman" w:eastAsia="Times New Roman" w:hAnsi="Times New Roman" w:cs="Times New Roman"/>
                <w:noProof/>
                <w:sz w:val="24"/>
                <w:szCs w:val="24"/>
              </w:rPr>
              <w:t>(Thi et al., 2018)</w:t>
            </w:r>
            <w:r>
              <w:rPr>
                <w:rFonts w:ascii="Times New Roman" w:eastAsia="Times New Roman" w:hAnsi="Times New Roman" w:cs="Times New Roman"/>
                <w:sz w:val="24"/>
                <w:szCs w:val="24"/>
              </w:rPr>
              <w:fldChar w:fldCharType="end"/>
            </w:r>
          </w:p>
        </w:tc>
      </w:tr>
      <w:tr w:rsidR="0014506D" w:rsidRPr="000D4BCB" w14:paraId="764E4CD0" w14:textId="77777777" w:rsidTr="005F3A66">
        <w:trPr>
          <w:trHeight w:val="99"/>
          <w:jc w:val="center"/>
        </w:trPr>
        <w:tc>
          <w:tcPr>
            <w:tcW w:w="3109" w:type="dxa"/>
            <w:shd w:val="clear" w:color="auto" w:fill="auto"/>
            <w:tcMar>
              <w:top w:w="100" w:type="dxa"/>
              <w:left w:w="100" w:type="dxa"/>
              <w:bottom w:w="100" w:type="dxa"/>
              <w:right w:w="100" w:type="dxa"/>
            </w:tcMar>
            <w:vAlign w:val="center"/>
          </w:tcPr>
          <w:p w14:paraId="7B5A7EE6"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Nanjing (China)</w:t>
            </w:r>
          </w:p>
        </w:tc>
        <w:tc>
          <w:tcPr>
            <w:tcW w:w="1701" w:type="dxa"/>
            <w:shd w:val="clear" w:color="auto" w:fill="auto"/>
            <w:tcMar>
              <w:top w:w="100" w:type="dxa"/>
              <w:left w:w="100" w:type="dxa"/>
              <w:bottom w:w="100" w:type="dxa"/>
              <w:right w:w="100" w:type="dxa"/>
            </w:tcMar>
            <w:vAlign w:val="center"/>
          </w:tcPr>
          <w:p w14:paraId="59C3294D"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2.74</w:t>
            </w:r>
          </w:p>
        </w:tc>
        <w:tc>
          <w:tcPr>
            <w:tcW w:w="1580" w:type="dxa"/>
            <w:shd w:val="clear" w:color="auto" w:fill="auto"/>
            <w:tcMar>
              <w:top w:w="100" w:type="dxa"/>
              <w:left w:w="100" w:type="dxa"/>
              <w:bottom w:w="100" w:type="dxa"/>
              <w:right w:w="100" w:type="dxa"/>
            </w:tcMar>
            <w:vAlign w:val="center"/>
          </w:tcPr>
          <w:p w14:paraId="2F14509B" w14:textId="77777777" w:rsidR="0014506D" w:rsidRPr="000D4BCB" w:rsidRDefault="0014506D" w:rsidP="00AD1D93">
            <w:pPr>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84</w:t>
            </w:r>
          </w:p>
        </w:tc>
        <w:tc>
          <w:tcPr>
            <w:tcW w:w="2672" w:type="dxa"/>
            <w:shd w:val="clear" w:color="auto" w:fill="auto"/>
            <w:tcMar>
              <w:top w:w="100" w:type="dxa"/>
              <w:left w:w="100" w:type="dxa"/>
              <w:bottom w:w="100" w:type="dxa"/>
              <w:right w:w="100" w:type="dxa"/>
            </w:tcMar>
            <w:vAlign w:val="center"/>
          </w:tcPr>
          <w:p w14:paraId="396517C9" w14:textId="100DE44D" w:rsidR="0014506D" w:rsidRPr="000D4BCB" w:rsidRDefault="0014506D" w:rsidP="00D1269F">
            <w:pPr>
              <w:widowControl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ADDIN CSL_CITATION {"citationItems":[{"id":"ITEM-1","itemData":{"DOI":"10.1016/j.atmosenv.2015.01.064","ISSN":"18732844","abstract":"The Yangtze River Delta (YRD) is one of the regions with the most dynamic economy and severe atmospheric pollution in China. In order to characterize the particle features, especially the carbonaceous component in the YRD, particulate matter smaller than 2.5μm (PM2.5) and 10μm (PM10) samples in each season were collected in urban Nanjing, a typical city that locates in the west part of the YRD. The organic carbon (OC) and elemental carbon (EC) was differentiated using the thermal optical reflectance method. The average concentrations of PM2.5, OC and EC during the study periods were observed to be 117.6, 13.8, and 5.3μg/m3 respectively, with all the highest levels in winter. The mass fraction of the Total carbonaceous aerosol (TCA) in PM2.5 was estimated at 23% on average, lower than those reported for other cities in the YRD. The OC and EC correlated well in all the seasons, especially in spring and winter, implying that OC and EC were attributed to common emission sources. Good correlation was observed between OC and estimated K+ from biomass burning in the harvest season in autumn and summer, indicating biomass burning a significant source of carbonaceous aerosols. This could also be confirmed by the lower fraction of OC3+OC4 in OC during autumn and summer. The secondary organic carbon (SOC) estimated by EC-tracer method was the highest in winter (7.3μg/m3) followed by autumn (6.7μg/m3), summer (3.7μg/m3) and spring (2.0μg/m3). However, the SOC/OC in winter was not as high as that in summer and autumn, implying the high concentration of OC in winter was probably due to the stable weather but not mainly caused by SOC formation. The high SOC/OC ratio in summer was attributed to stronger oxidation, which could be suggested by higher sulfur oxidation ratio (SOR).","author":[{"dropping-particle":"","family":"Li","given":"Bing","non-dropping-particle":"","parse-names":false,"suffix":""},{"dropping-particle":"","family":"Zhang","given":"Jie","non-dropping-particle":"","parse-names":false,"suffix":""},{"dropping-particle":"","family":"Zhao","given":"Yu","non-dropping-particle":"","parse-names":false,"suffix":""},{"dropping-particle":"","family":"Yuan","given":"Siyu","non-dropping-particle":"","parse-names":false,"suffix":""},{"dropping-particle":"","family":"Zhao","given":"Qiuyue","non-dropping-particle":"","parse-names":false,"suffix":""},{"dropping-particle":"","family":"Shen","given":"Guofeng","non-dropping-particle":"","parse-names":false,"suffix":""},{"dropping-particle":"","family":"Wu","given":"Haisuo","non-dropping-particle":"","parse-names":false,"suffix":""}],"container-title":"Atmospheric Environment","id":"ITEM-1","issued":{"date-parts":[["2015"]]},"page":"223-231","publisher":"Elsevier Ltd","title":"Seasonal variation of urban carbonaceous aerosols in a typical city Nanjing in Yangtze River Delta, China","type":"article-journal","volume":"106"},"uris":["http://www.mendeley.com/documents/?uuid=5dfb7695-c5da-4551-a872-3e9ca41a8860"]}],"mendeley":{"formattedCitation":"(B. Li et al., 2015)","plainTextFormattedCitation":"(B. Li et al., 2015)","previouslyFormattedCitation":"(B. Li et al., 2015)"},"properties":{"noteIndex":0},"schema":"https://github.com/citation-style-language/schema/raw/master/csl-citation.json"}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00130F3A" w:rsidRPr="00130F3A">
              <w:rPr>
                <w:rFonts w:ascii="Times New Roman" w:eastAsia="Times New Roman" w:hAnsi="Times New Roman" w:cs="Times New Roman"/>
                <w:noProof/>
                <w:sz w:val="24"/>
                <w:szCs w:val="24"/>
              </w:rPr>
              <w:t>(B. Li et al., 2015)</w:t>
            </w:r>
            <w:r>
              <w:rPr>
                <w:rFonts w:ascii="Times New Roman" w:eastAsia="Times New Roman" w:hAnsi="Times New Roman" w:cs="Times New Roman"/>
                <w:sz w:val="24"/>
                <w:szCs w:val="24"/>
              </w:rPr>
              <w:fldChar w:fldCharType="end"/>
            </w:r>
          </w:p>
        </w:tc>
      </w:tr>
      <w:tr w:rsidR="0014506D" w:rsidRPr="000D4BCB" w14:paraId="2F765637" w14:textId="77777777" w:rsidTr="005F3A66">
        <w:trPr>
          <w:trHeight w:val="20"/>
          <w:jc w:val="center"/>
        </w:trPr>
        <w:tc>
          <w:tcPr>
            <w:tcW w:w="3109" w:type="dxa"/>
            <w:shd w:val="clear" w:color="auto" w:fill="auto"/>
            <w:tcMar>
              <w:top w:w="100" w:type="dxa"/>
              <w:left w:w="100" w:type="dxa"/>
              <w:bottom w:w="100" w:type="dxa"/>
              <w:right w:w="100" w:type="dxa"/>
            </w:tcMar>
            <w:vAlign w:val="center"/>
          </w:tcPr>
          <w:p w14:paraId="34E5BCC0"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Saitama (Japan)</w:t>
            </w:r>
          </w:p>
        </w:tc>
        <w:tc>
          <w:tcPr>
            <w:tcW w:w="1701" w:type="dxa"/>
            <w:shd w:val="clear" w:color="auto" w:fill="auto"/>
            <w:tcMar>
              <w:top w:w="100" w:type="dxa"/>
              <w:left w:w="100" w:type="dxa"/>
              <w:bottom w:w="100" w:type="dxa"/>
              <w:right w:w="100" w:type="dxa"/>
            </w:tcMar>
            <w:vAlign w:val="center"/>
          </w:tcPr>
          <w:p w14:paraId="6C86EEE2"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1.98</w:t>
            </w:r>
          </w:p>
        </w:tc>
        <w:tc>
          <w:tcPr>
            <w:tcW w:w="1580" w:type="dxa"/>
            <w:shd w:val="clear" w:color="auto" w:fill="auto"/>
            <w:tcMar>
              <w:top w:w="100" w:type="dxa"/>
              <w:left w:w="100" w:type="dxa"/>
              <w:bottom w:w="100" w:type="dxa"/>
              <w:right w:w="100" w:type="dxa"/>
            </w:tcMar>
            <w:vAlign w:val="center"/>
          </w:tcPr>
          <w:p w14:paraId="0F874BD7"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12.8</w:t>
            </w:r>
          </w:p>
        </w:tc>
        <w:tc>
          <w:tcPr>
            <w:tcW w:w="2672" w:type="dxa"/>
            <w:shd w:val="clear" w:color="auto" w:fill="auto"/>
            <w:tcMar>
              <w:top w:w="100" w:type="dxa"/>
              <w:left w:w="100" w:type="dxa"/>
              <w:bottom w:w="100" w:type="dxa"/>
              <w:right w:w="100" w:type="dxa"/>
            </w:tcMar>
            <w:vAlign w:val="center"/>
          </w:tcPr>
          <w:p w14:paraId="547534C5" w14:textId="607A3BEA" w:rsidR="0014506D" w:rsidRPr="000D4BCB" w:rsidRDefault="0014506D" w:rsidP="00D1269F">
            <w:pPr>
              <w:widowControl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ADDIN CSL_CITATION {"citationItems":[{"id":"ITEM-1","itemData":{"DOI":"10.4209/aaqr.2010.07.0061","ISSN":"16808584","abstract":"ABSTRACTAtmospheric carbonaceous components, particularly char and soot in ultrafine particles (UFPs; Dp &lt; 0.1 μm) and fine particles (FPs; Dp &lt; 2.5 μm), were measured four times during one year in Saitama City, Japan, to observe the concentrations of elemental carbon (EC) and the relationship between the EC concentrations in UFPs and FPs, and to examine the possible emission sources of char and soot that constitute UFPs and FPs in a roadside environment. It was found that EC accounts for 33–37% of total carbon (TC) in FPs, whereas EC accounts for 12–20% of TC in UFPs. Both char-EC and soot-EC account for similar proportions of the total EC concentration in UFPs, while soot-EC accounts for only a small amount of the total EC in FPs. Positive and negative correlations between OC and soot-EC were observed for UFPs and FPs, respectively. The observed positive correlation in the case of UFPs possibly reflects the compactness (high density) of UFPs coated with condensed material, such as unburned fuel or lubricating oil emitted by motor vehicles, whereas the negative correlation in the case of FPs possibly indicates that whether or not the spaces between primary soot particles in FPs can be filled depends on the engine load of diesel vehicles operated near the sampling site. The positive and negative correlations were stronger for UFPs (r2 = 0.69, n = 29, p &lt; 0.001) and FPs (r2 = –0.62, n = 29, p &lt; 0.001) when the data collected at wind speeds greater than 2.5 m/s were excluded. The different morphological characteristics of the particles observed by transmission electron microscopy also support the observed correlations between OC and soot-EC. The possible emission of char or char-like particles from motor vehicles was shown and discussed in this study.","author":[{"dropping-particle":"","family":"Kim","given":"Kyung Hwan","non-dropping-particle":"","parse-names":false,"suffix":""},{"dropping-particle":"","family":"Sekiguchi","given":"Kazuhiko","non-dropping-particle":"","parse-names":false,"suffix":""},{"dropping-particle":"","family":"Kudo","given":"Shinji","non-dropping-particle":"","parse-names":false,"suffix":""},{"dropping-particle":"","family":"Sakamoto","given":"Kazuhiko","non-dropping-particle":"","parse-names":false,"suffix":""}],"container-title":"Aerosol and Air Quality Research","id":"ITEM-1","issue":"1","issued":{"date-parts":[["2011"]]},"page":"1-12","publisher":"Taiwan Association for Aerosol Research","title":"Characteristics of Atmospheric Elemental Carbon (Char and Soot) in Ultrafine and Fine Particles in a Roadside Environment, Japan","type":"article-journal","volume":"11"},"uris":["http://www.mendeley.com/documents/?uuid=a4851f70-3c6a-3a41-9f66-1b14921be9a0"]}],"mendeley":{"formattedCitation":"(Kim et al., 2011)","manualFormatting":"(Kim et al. 2011)","plainTextFormattedCitation":"(Kim et al., 2011)","previouslyFormattedCitation":"(Kim et al., 2011)"},"properties":{"noteIndex":0},"schema":"https://github.com/citation-style-language/schema/raw/master/csl-citation.json"}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Pr="0024101D">
              <w:rPr>
                <w:rFonts w:ascii="Times New Roman" w:eastAsia="Times New Roman" w:hAnsi="Times New Roman" w:cs="Times New Roman"/>
                <w:noProof/>
                <w:sz w:val="24"/>
                <w:szCs w:val="24"/>
              </w:rPr>
              <w:t>(Kim et al. 2011)</w:t>
            </w:r>
            <w:r>
              <w:rPr>
                <w:rFonts w:ascii="Times New Roman" w:eastAsia="Times New Roman" w:hAnsi="Times New Roman" w:cs="Times New Roman"/>
                <w:sz w:val="24"/>
                <w:szCs w:val="24"/>
              </w:rPr>
              <w:fldChar w:fldCharType="end"/>
            </w:r>
          </w:p>
        </w:tc>
      </w:tr>
      <w:tr w:rsidR="0014506D" w:rsidRPr="000D4BCB" w14:paraId="5C4C55CD" w14:textId="77777777" w:rsidTr="005F3A66">
        <w:trPr>
          <w:trHeight w:val="113"/>
          <w:jc w:val="center"/>
        </w:trPr>
        <w:tc>
          <w:tcPr>
            <w:tcW w:w="3109" w:type="dxa"/>
            <w:shd w:val="clear" w:color="auto" w:fill="auto"/>
            <w:tcMar>
              <w:top w:w="100" w:type="dxa"/>
              <w:left w:w="100" w:type="dxa"/>
              <w:bottom w:w="100" w:type="dxa"/>
              <w:right w:w="100" w:type="dxa"/>
            </w:tcMar>
            <w:vAlign w:val="center"/>
          </w:tcPr>
          <w:p w14:paraId="69D63DFD"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Singapore</w:t>
            </w:r>
          </w:p>
        </w:tc>
        <w:tc>
          <w:tcPr>
            <w:tcW w:w="1701" w:type="dxa"/>
            <w:shd w:val="clear" w:color="auto" w:fill="auto"/>
            <w:tcMar>
              <w:top w:w="100" w:type="dxa"/>
              <w:left w:w="100" w:type="dxa"/>
              <w:bottom w:w="100" w:type="dxa"/>
              <w:right w:w="100" w:type="dxa"/>
            </w:tcMar>
            <w:vAlign w:val="center"/>
          </w:tcPr>
          <w:p w14:paraId="5B151416"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0.2</w:t>
            </w:r>
          </w:p>
        </w:tc>
        <w:tc>
          <w:tcPr>
            <w:tcW w:w="1580" w:type="dxa"/>
            <w:shd w:val="clear" w:color="auto" w:fill="auto"/>
            <w:tcMar>
              <w:top w:w="100" w:type="dxa"/>
              <w:left w:w="100" w:type="dxa"/>
              <w:bottom w:w="100" w:type="dxa"/>
              <w:right w:w="100" w:type="dxa"/>
            </w:tcMar>
            <w:vAlign w:val="center"/>
          </w:tcPr>
          <w:p w14:paraId="52B06F86"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rPr>
              <w:t>1.6</w:t>
            </w:r>
          </w:p>
        </w:tc>
        <w:tc>
          <w:tcPr>
            <w:tcW w:w="2672" w:type="dxa"/>
            <w:shd w:val="clear" w:color="auto" w:fill="auto"/>
            <w:tcMar>
              <w:top w:w="100" w:type="dxa"/>
              <w:left w:w="100" w:type="dxa"/>
              <w:bottom w:w="100" w:type="dxa"/>
              <w:right w:w="100" w:type="dxa"/>
            </w:tcMar>
            <w:vAlign w:val="center"/>
          </w:tcPr>
          <w:p w14:paraId="55B35839" w14:textId="3DAE0C3C" w:rsidR="0014506D" w:rsidRPr="000D4BCB" w:rsidRDefault="0014506D" w:rsidP="00D1269F">
            <w:pPr>
              <w:widowControl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 xml:space="preserve">ADDIN CSL_CITATION {"citationItems":[{"id":"ITEM-1","itemData":{"DOI":"10.1016/j.envpol.2019.02.049","ISSN":"18736424","PMID":"30831346","abstract":"This study characterizes impacts of peat-forest (PF) smoke on an urban environment through carbonaceous profiles of &gt;260 daily PM2.5 samples collected during 2012, 2013 and 2015. Organic carbon (OC) and elemental carbon (EC) comprising eight carbonaceous fractions are examined for four sample groups – non-smoke-dominant (NSD), smoke-dominant (SD), episodic PM2.5 samples at the urban receptor, and near-source samples collected close to PF burning sites. PF smoke introduced much larger amounts of OC than EC, with OC accounting for up to 94% of total carbon (TC), or increasing by up to 20 times in receptor PM2.5. SD PM2.5 at the receptor site and near-source samples have OC3 and EC1 as the dominant fractions. Both sample classes also exhibit char-EC &gt;1.4 times of soot-EC, characterizing smoldering-dominant PF smoke, unlike episodic PM2.5 at the receptor site featuring large amounts of pyrolyzed organic carbon (POC) and soot-EC. Relative to the mean NSD PM2.5 at the receptor, increasing strength of transboundary PF smoke enriches OC3 and OC4 fractions, on average, by factors of &gt;3 for SD samples, and &gt;14 for episodic samples. A peat-forest smoke (PFS) indicator, representing the concentration ratio of (OC2+OC3+POC) to soot-EC, shows a temporal trend satisfactorily correlating with an organic marker (levoglucosan) of biomass burning. The PFS indicator systematically differentiates influences of PF smoke from source to urban receptor sites, with a progressive mean of 3.6, 13.4 and 20.1 for NSD, SD and episodic samples respectively at the receptor site, and 54.7 for the near-source PM2.5. A PFS indicator of ≥5.0 is proposed to determine dominant influence of transboundary PF smoke on receptor urban PM2.5 in the equatorial Asia with </w:instrText>
            </w:r>
            <w:r w:rsidR="00130F3A">
              <w:rPr>
                <w:rFonts w:ascii="Cambria Math" w:eastAsia="Times New Roman" w:hAnsi="Cambria Math" w:cs="Cambria Math"/>
                <w:sz w:val="24"/>
                <w:szCs w:val="24"/>
              </w:rPr>
              <w:instrText>∼</w:instrText>
            </w:r>
            <w:r w:rsidR="00130F3A">
              <w:rPr>
                <w:rFonts w:ascii="Times New Roman" w:eastAsia="Times New Roman" w:hAnsi="Times New Roman" w:cs="Times New Roman"/>
                <w:sz w:val="24"/>
                <w:szCs w:val="24"/>
              </w:rPr>
              <w:instrText>90% confidence. Assessing &gt;2900 hourly OCEC data in 2017–2018 supports the applicability of the PFS indicator to evaluate hourly impacts of PF smoke on receptor urban PM2.5 in the Maritime Continent.","author":[{"dropping-particle":"","family":"Tham","given":"Jackson","non-dropping-particle":"","parse-names":false,"suffix":""},{"dropping-particle":"","family":"Sarkar","given":"Sayantan","non-dropping-particle":"","parse-names":false,"suffix":""},{"dropping-particle":"","family":"Jia","given":"Shiguo","non-dropping-particle":"","parse-names":false,"suffix":""},{"dropping-particle":"","family":"Reid","given":"Jeffrey S.","non-dropping-particle":"","parse-names":false,"suffix":""},{"dropping-particle":"","family":"Mishra","given":"Shailendra","non-dropping-particle":"","parse-names":false,"suffix":""},{"dropping-particle":"","family":"Sudiana","given":"I. M.","non-dropping-particle":"","parse-names":false,"suffix":""},{"dropping-particle":"","family":"Swarup","given":"Sanjay","non-dropping-particle":"","parse-names":false,"suffix":""},{"dropping-particle":"","family":"Ong","given":"Choon Nam","non-dropping-particle":"","parse-names":false,"suffix":""},{"dropping-particle":"","family":"Yu","given":"Liya E.","non-dropping-particle":"","parse-names":false,"suffix":""}],"container-title":"Environmental Pollution","id":"ITEM-1","issued":{"date-parts":[["2019"]]},"page":"496-505","publisher":"Elsevier Ltd","title":"Impacts of peat-forest smoke on urban PM2.5 in the Maritime Continent during 2012–2015: Carbonaceous profiles and indicators","type":"article-journal","volume":"248"},"uris":["http://www.mendeley.com/documents/?uuid=116630dd-e3e5-4d3e-aa5d-e8038af0a3b3"]}],"mendeley":{"formattedCitation":"(Tham et al., 2019)","plainTextFormattedCitation":"(Tham et al., 2019)","previouslyFormattedCitation":"(Tham et al., 2019)"},"properties":{"noteIndex":0},"schema":"https://github.com/citation-style-language/schema/raw/master/csl-citation.json"}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00130F3A" w:rsidRPr="00130F3A">
              <w:rPr>
                <w:rFonts w:ascii="Times New Roman" w:eastAsia="Times New Roman" w:hAnsi="Times New Roman" w:cs="Times New Roman"/>
                <w:noProof/>
                <w:sz w:val="24"/>
                <w:szCs w:val="24"/>
              </w:rPr>
              <w:t>(Tham et al., 2019)</w:t>
            </w:r>
            <w:r>
              <w:rPr>
                <w:rFonts w:ascii="Times New Roman" w:eastAsia="Times New Roman" w:hAnsi="Times New Roman" w:cs="Times New Roman"/>
                <w:sz w:val="24"/>
                <w:szCs w:val="24"/>
              </w:rPr>
              <w:fldChar w:fldCharType="end"/>
            </w:r>
          </w:p>
        </w:tc>
      </w:tr>
      <w:tr w:rsidR="0014506D" w:rsidRPr="000D4BCB" w14:paraId="517F5713" w14:textId="77777777" w:rsidTr="005F3A66">
        <w:trPr>
          <w:trHeight w:val="167"/>
          <w:jc w:val="center"/>
        </w:trPr>
        <w:tc>
          <w:tcPr>
            <w:tcW w:w="3109" w:type="dxa"/>
            <w:shd w:val="clear" w:color="auto" w:fill="auto"/>
            <w:tcMar>
              <w:top w:w="100" w:type="dxa"/>
              <w:left w:w="100" w:type="dxa"/>
              <w:bottom w:w="100" w:type="dxa"/>
              <w:right w:w="100" w:type="dxa"/>
            </w:tcMar>
            <w:vAlign w:val="center"/>
          </w:tcPr>
          <w:p w14:paraId="7784842B"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Selangor (Malaysia)</w:t>
            </w:r>
          </w:p>
        </w:tc>
        <w:tc>
          <w:tcPr>
            <w:tcW w:w="1701" w:type="dxa"/>
            <w:shd w:val="clear" w:color="auto" w:fill="auto"/>
            <w:tcMar>
              <w:top w:w="100" w:type="dxa"/>
              <w:left w:w="100" w:type="dxa"/>
              <w:bottom w:w="100" w:type="dxa"/>
              <w:right w:w="100" w:type="dxa"/>
            </w:tcMar>
            <w:vAlign w:val="center"/>
          </w:tcPr>
          <w:p w14:paraId="31CF58A3"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2.6</w:t>
            </w:r>
          </w:p>
        </w:tc>
        <w:tc>
          <w:tcPr>
            <w:tcW w:w="1580" w:type="dxa"/>
            <w:shd w:val="clear" w:color="auto" w:fill="auto"/>
            <w:tcMar>
              <w:top w:w="100" w:type="dxa"/>
              <w:left w:w="100" w:type="dxa"/>
              <w:bottom w:w="100" w:type="dxa"/>
              <w:right w:w="100" w:type="dxa"/>
            </w:tcMar>
            <w:vAlign w:val="center"/>
          </w:tcPr>
          <w:p w14:paraId="7A883828" w14:textId="77777777" w:rsidR="0014506D" w:rsidRPr="000D4BCB" w:rsidRDefault="0014506D" w:rsidP="00AD1D93">
            <w:pPr>
              <w:widowControl w:val="0"/>
              <w:spacing w:after="0"/>
              <w:jc w:val="center"/>
              <w:rPr>
                <w:rFonts w:ascii="Times New Roman" w:eastAsia="Times New Roman" w:hAnsi="Times New Roman" w:cs="Times New Roman"/>
                <w:sz w:val="24"/>
                <w:szCs w:val="24"/>
              </w:rPr>
            </w:pPr>
            <w:r w:rsidRPr="000D4BCB">
              <w:rPr>
                <w:rFonts w:ascii="Times New Roman" w:eastAsia="Times New Roman" w:hAnsi="Times New Roman" w:cs="Times New Roman"/>
                <w:sz w:val="24"/>
                <w:szCs w:val="24"/>
              </w:rPr>
              <w:t>14.8</w:t>
            </w:r>
          </w:p>
        </w:tc>
        <w:tc>
          <w:tcPr>
            <w:tcW w:w="2672" w:type="dxa"/>
            <w:shd w:val="clear" w:color="auto" w:fill="auto"/>
            <w:tcMar>
              <w:top w:w="100" w:type="dxa"/>
              <w:left w:w="100" w:type="dxa"/>
              <w:bottom w:w="100" w:type="dxa"/>
              <w:right w:w="100" w:type="dxa"/>
            </w:tcMar>
            <w:vAlign w:val="center"/>
          </w:tcPr>
          <w:p w14:paraId="56DF59A8" w14:textId="061F1112" w:rsidR="0014506D" w:rsidRPr="000D4BCB" w:rsidRDefault="0014506D" w:rsidP="00D1269F">
            <w:pPr>
              <w:widowControl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fldLock="1"/>
            </w:r>
            <w:r w:rsidR="00130F3A">
              <w:rPr>
                <w:rFonts w:ascii="Times New Roman" w:eastAsia="Times New Roman" w:hAnsi="Times New Roman" w:cs="Times New Roman"/>
                <w:sz w:val="24"/>
                <w:szCs w:val="24"/>
              </w:rPr>
              <w:instrText>ADDIN CSL_CITATION {"citationItems":[{"id":"ITEM-1","itemData":{"DOI":"10.4209/aaqr.2015.04.0277","author":[{"dropping-particle":"","family":"Fujii","given":"Yusuke","non-dropping-particle":"","parse-names":false,"suffix":""},{"dropping-particle":"","family":"Mahmud","given":"Mastura","non-dropping-particle":"","parse-names":false,"suffix":""},{"dropping-particle":"","family":"Tohno","given":"Susumu","non-dropping-particle":"","parse-names":false,"suffix":""},{"dropping-particle":"","family":"Okuda","given":"Tomoaki","non-dropping-particle":"","parse-names":false,"suffix":""},{"dropping-particle":"","family":"Mizohata","given":"Akira","non-dropping-particle":"","parse-names":false,"suffix":""}],"id":"ITEM-1","issue":"Mahmud 2009","issued":{"date-parts":[["2016"]]},"page":"2685-2691","title":"A Case Study of PM 2 . 5 Characterization in Bangi , Selangor , Malaysia during the Southwest Monsoon Season","type":"article-journal"},"uris":["http://www.mendeley.com/documents/?uuid=c5d8209e-8306-49f1-bf43-be8787f88201"]}],"mendeley":{"formattedCitation":"(Fujii et al., 2016)","plainTextFormattedCitation":"(Fujii et al., 2016)","previouslyFormattedCitation":"(Fujii et al., 2016)"},"properties":{"noteIndex":0},"schema":"https://github.com/citation-style-language/schema/raw/master/csl-citation.json"}</w:instrText>
            </w:r>
            <w:r>
              <w:rPr>
                <w:rFonts w:ascii="Times New Roman" w:eastAsia="Times New Roman" w:hAnsi="Times New Roman" w:cs="Times New Roman"/>
                <w:sz w:val="24"/>
                <w:szCs w:val="24"/>
              </w:rPr>
              <w:fldChar w:fldCharType="separate"/>
            </w:r>
            <w:r w:rsidR="00130F3A" w:rsidRPr="00130F3A">
              <w:rPr>
                <w:rFonts w:ascii="Times New Roman" w:eastAsia="Times New Roman" w:hAnsi="Times New Roman" w:cs="Times New Roman"/>
                <w:noProof/>
                <w:sz w:val="24"/>
                <w:szCs w:val="24"/>
              </w:rPr>
              <w:t>(Fujii et al., 2016)</w:t>
            </w:r>
            <w:r>
              <w:rPr>
                <w:rFonts w:ascii="Times New Roman" w:eastAsia="Times New Roman" w:hAnsi="Times New Roman" w:cs="Times New Roman"/>
                <w:sz w:val="24"/>
                <w:szCs w:val="24"/>
              </w:rPr>
              <w:fldChar w:fldCharType="end"/>
            </w:r>
          </w:p>
        </w:tc>
      </w:tr>
    </w:tbl>
    <w:p w14:paraId="3EC88F0E" w14:textId="60D1D5C7" w:rsidR="0014506D" w:rsidRDefault="0014506D">
      <w:pPr>
        <w:spacing w:after="200" w:line="240" w:lineRule="auto"/>
        <w:rPr>
          <w:rFonts w:ascii="Times New Roman" w:eastAsia="Times New Roman" w:hAnsi="Times New Roman" w:cs="Times New Roman"/>
          <w:sz w:val="24"/>
          <w:szCs w:val="24"/>
        </w:rPr>
      </w:pPr>
    </w:p>
    <w:p w14:paraId="4100AD6F" w14:textId="77777777" w:rsidR="0014506D" w:rsidRPr="000D4BCB" w:rsidRDefault="0014506D" w:rsidP="0014506D">
      <w:pPr>
        <w:pBdr>
          <w:top w:val="nil"/>
          <w:left w:val="nil"/>
          <w:bottom w:val="nil"/>
          <w:right w:val="nil"/>
          <w:between w:val="nil"/>
        </w:pBdr>
        <w:spacing w:after="0" w:line="480" w:lineRule="auto"/>
        <w:jc w:val="center"/>
        <w:rPr>
          <w:rFonts w:ascii="Times New Roman" w:eastAsia="Times New Roman" w:hAnsi="Times New Roman" w:cs="Times New Roman"/>
          <w:sz w:val="24"/>
          <w:szCs w:val="24"/>
        </w:rPr>
      </w:pPr>
      <w:r w:rsidRPr="00CC6258">
        <w:rPr>
          <w:noProof/>
        </w:rPr>
        <w:lastRenderedPageBreak/>
        <w:drawing>
          <wp:inline distT="0" distB="0" distL="0" distR="0" wp14:anchorId="71104253" wp14:editId="17CD5C92">
            <wp:extent cx="5438570" cy="46710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2230" b="3116"/>
                    <a:stretch/>
                  </pic:blipFill>
                  <pic:spPr bwMode="auto">
                    <a:xfrm>
                      <a:off x="0" y="0"/>
                      <a:ext cx="5458805" cy="4688439"/>
                    </a:xfrm>
                    <a:prstGeom prst="rect">
                      <a:avLst/>
                    </a:prstGeom>
                    <a:noFill/>
                    <a:ln>
                      <a:noFill/>
                    </a:ln>
                    <a:extLst>
                      <a:ext uri="{53640926-AAD7-44D8-BBD7-CCE9431645EC}">
                        <a14:shadowObscured xmlns:a14="http://schemas.microsoft.com/office/drawing/2010/main"/>
                      </a:ext>
                    </a:extLst>
                  </pic:spPr>
                </pic:pic>
              </a:graphicData>
            </a:graphic>
          </wp:inline>
        </w:drawing>
      </w:r>
    </w:p>
    <w:p w14:paraId="520A529D" w14:textId="192D4F35" w:rsidR="0014506D" w:rsidRPr="000D4BCB" w:rsidRDefault="0014506D" w:rsidP="0014506D">
      <w:pPr>
        <w:pBdr>
          <w:top w:val="nil"/>
          <w:left w:val="nil"/>
          <w:bottom w:val="nil"/>
          <w:right w:val="nil"/>
          <w:between w:val="nil"/>
        </w:pBdr>
        <w:spacing w:after="200" w:line="276" w:lineRule="auto"/>
        <w:jc w:val="center"/>
        <w:rPr>
          <w:rFonts w:ascii="Times New Roman" w:eastAsia="Times New Roman" w:hAnsi="Times New Roman" w:cs="Times New Roman"/>
          <w:sz w:val="24"/>
          <w:szCs w:val="24"/>
        </w:rPr>
      </w:pPr>
      <w:r w:rsidRPr="000D4BCB">
        <w:rPr>
          <w:rFonts w:ascii="Times New Roman" w:eastAsia="Times New Roman" w:hAnsi="Times New Roman" w:cs="Times New Roman"/>
          <w:color w:val="000000"/>
          <w:sz w:val="24"/>
          <w:szCs w:val="24"/>
        </w:rPr>
        <w:t>Fig</w:t>
      </w:r>
      <w:r w:rsidR="006C1364">
        <w:rPr>
          <w:rFonts w:ascii="Times New Roman" w:eastAsia="Times New Roman" w:hAnsi="Times New Roman" w:cs="Times New Roman"/>
          <w:color w:val="000000"/>
          <w:sz w:val="24"/>
          <w:szCs w:val="24"/>
        </w:rPr>
        <w:t xml:space="preserve">. </w:t>
      </w:r>
      <w:r w:rsidR="00AD1D93">
        <w:rPr>
          <w:rFonts w:ascii="Times New Roman" w:eastAsia="Times New Roman" w:hAnsi="Times New Roman" w:cs="Times New Roman"/>
          <w:color w:val="000000"/>
          <w:sz w:val="24"/>
          <w:szCs w:val="24"/>
        </w:rPr>
        <w:t>SI 4</w:t>
      </w:r>
      <w:r w:rsidRPr="000D4BCB">
        <w:rPr>
          <w:rFonts w:ascii="Times New Roman" w:eastAsia="Times New Roman" w:hAnsi="Times New Roman" w:cs="Times New Roman"/>
          <w:color w:val="000000"/>
          <w:sz w:val="24"/>
          <w:szCs w:val="24"/>
        </w:rPr>
        <w:t xml:space="preserve"> The correlation between Char-EC and Soot-EC at </w:t>
      </w:r>
      <w:proofErr w:type="spellStart"/>
      <w:r w:rsidRPr="000D4BCB">
        <w:rPr>
          <w:rFonts w:ascii="Times New Roman" w:eastAsia="Times New Roman" w:hAnsi="Times New Roman" w:cs="Times New Roman"/>
          <w:color w:val="000000"/>
          <w:sz w:val="24"/>
          <w:szCs w:val="24"/>
        </w:rPr>
        <w:t>Sakinaka</w:t>
      </w:r>
      <w:proofErr w:type="spellEnd"/>
      <w:r w:rsidRPr="000D4BCB">
        <w:rPr>
          <w:rFonts w:ascii="Times New Roman" w:eastAsia="Times New Roman" w:hAnsi="Times New Roman" w:cs="Times New Roman"/>
          <w:color w:val="000000"/>
          <w:sz w:val="24"/>
          <w:szCs w:val="24"/>
        </w:rPr>
        <w:t xml:space="preserve"> (a), YP-Gate (b), and HP (c); the red line is for regression.</w:t>
      </w:r>
    </w:p>
    <w:p w14:paraId="4D3DDB26" w14:textId="77777777" w:rsidR="0014506D" w:rsidRDefault="0014506D" w:rsidP="0014506D">
      <w:pPr>
        <w:spacing w:after="200" w:line="240" w:lineRule="auto"/>
        <w:rPr>
          <w:rFonts w:ascii="Times New Roman" w:eastAsia="Times New Roman" w:hAnsi="Times New Roman" w:cs="Times New Roman"/>
          <w:sz w:val="24"/>
          <w:szCs w:val="24"/>
        </w:rPr>
      </w:pPr>
    </w:p>
    <w:p w14:paraId="1804C561" w14:textId="22116625" w:rsidR="00685D34" w:rsidRDefault="00000000" w:rsidP="00A5185C">
      <w:pPr>
        <w:keepNext/>
        <w:spacing w:before="200" w:after="200" w:line="276"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Table SI </w:t>
      </w:r>
      <w:r w:rsidR="00AD1D93">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Metal concentration in PM</w:t>
      </w:r>
      <w:r>
        <w:rPr>
          <w:rFonts w:ascii="Times New Roman" w:eastAsia="Times New Roman" w:hAnsi="Times New Roman" w:cs="Times New Roman"/>
          <w:sz w:val="16"/>
          <w:szCs w:val="16"/>
        </w:rPr>
        <w:t>2.5</w:t>
      </w:r>
      <w:r>
        <w:rPr>
          <w:rFonts w:ascii="Times New Roman" w:eastAsia="Times New Roman" w:hAnsi="Times New Roman" w:cs="Times New Roman"/>
          <w:sz w:val="24"/>
          <w:szCs w:val="24"/>
        </w:rPr>
        <w:t xml:space="preserve"> at all three locations</w:t>
      </w:r>
    </w:p>
    <w:tbl>
      <w:tblPr>
        <w:tblStyle w:val="a4"/>
        <w:tblW w:w="954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87"/>
        <w:gridCol w:w="2385"/>
        <w:gridCol w:w="2385"/>
        <w:gridCol w:w="2385"/>
      </w:tblGrid>
      <w:tr w:rsidR="00685D34" w14:paraId="69D7F7C5" w14:textId="77777777">
        <w:trPr>
          <w:cantSplit/>
          <w:trHeight w:val="211"/>
          <w:jc w:val="center"/>
        </w:trPr>
        <w:tc>
          <w:tcPr>
            <w:tcW w:w="2387" w:type="dxa"/>
            <w:shd w:val="clear" w:color="auto" w:fill="D9D9D9"/>
            <w:tcMar>
              <w:top w:w="100" w:type="dxa"/>
              <w:left w:w="100" w:type="dxa"/>
              <w:bottom w:w="100" w:type="dxa"/>
              <w:right w:w="100" w:type="dxa"/>
            </w:tcMar>
          </w:tcPr>
          <w:p w14:paraId="0A14E7A5"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Metals </w:t>
            </w:r>
          </w:p>
        </w:tc>
        <w:tc>
          <w:tcPr>
            <w:tcW w:w="2385" w:type="dxa"/>
            <w:shd w:val="clear" w:color="auto" w:fill="D9D9D9"/>
            <w:tcMar>
              <w:top w:w="100" w:type="dxa"/>
              <w:left w:w="100" w:type="dxa"/>
              <w:bottom w:w="100" w:type="dxa"/>
              <w:right w:w="100" w:type="dxa"/>
            </w:tcMar>
          </w:tcPr>
          <w:p w14:paraId="5F074A67"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Hostel Premise (Residential) (ng/m</w:t>
            </w:r>
            <w:r>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w:t>
            </w:r>
          </w:p>
        </w:tc>
        <w:tc>
          <w:tcPr>
            <w:tcW w:w="2385" w:type="dxa"/>
            <w:shd w:val="clear" w:color="auto" w:fill="D9D9D9"/>
            <w:tcMar>
              <w:top w:w="100" w:type="dxa"/>
              <w:left w:w="100" w:type="dxa"/>
              <w:bottom w:w="100" w:type="dxa"/>
              <w:right w:w="100" w:type="dxa"/>
            </w:tcMar>
          </w:tcPr>
          <w:p w14:paraId="35BE4ABA"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YP-Gate (Low traffic density) (ng/m</w:t>
            </w:r>
            <w:r>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w:t>
            </w:r>
          </w:p>
        </w:tc>
        <w:tc>
          <w:tcPr>
            <w:tcW w:w="2385" w:type="dxa"/>
            <w:shd w:val="clear" w:color="auto" w:fill="D9D9D9"/>
            <w:tcMar>
              <w:top w:w="100" w:type="dxa"/>
              <w:left w:w="100" w:type="dxa"/>
              <w:bottom w:w="100" w:type="dxa"/>
              <w:right w:w="100" w:type="dxa"/>
            </w:tcMar>
          </w:tcPr>
          <w:p w14:paraId="60459E54" w14:textId="77777777" w:rsidR="00685D34" w:rsidRDefault="00000000" w:rsidP="00A5185C">
            <w:pPr>
              <w:keepNext/>
              <w:jc w:val="cente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Sakinaka</w:t>
            </w:r>
            <w:proofErr w:type="spellEnd"/>
            <w:r>
              <w:rPr>
                <w:rFonts w:ascii="Times New Roman" w:eastAsia="Times New Roman" w:hAnsi="Times New Roman" w:cs="Times New Roman"/>
                <w:b/>
                <w:sz w:val="24"/>
                <w:szCs w:val="24"/>
              </w:rPr>
              <w:t xml:space="preserve"> (High traffic density) (ng/m</w:t>
            </w:r>
            <w:r>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w:t>
            </w:r>
          </w:p>
        </w:tc>
      </w:tr>
      <w:tr w:rsidR="00685D34" w14:paraId="4A9ACB86" w14:textId="77777777" w:rsidTr="00A5185C">
        <w:trPr>
          <w:cantSplit/>
          <w:trHeight w:val="157"/>
          <w:jc w:val="center"/>
        </w:trPr>
        <w:tc>
          <w:tcPr>
            <w:tcW w:w="2387" w:type="dxa"/>
            <w:tcMar>
              <w:top w:w="100" w:type="dxa"/>
              <w:left w:w="100" w:type="dxa"/>
              <w:bottom w:w="100" w:type="dxa"/>
              <w:right w:w="100" w:type="dxa"/>
            </w:tcMar>
          </w:tcPr>
          <w:p w14:paraId="1D49390E"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Al</w:t>
            </w:r>
          </w:p>
        </w:tc>
        <w:tc>
          <w:tcPr>
            <w:tcW w:w="2385" w:type="dxa"/>
            <w:tcMar>
              <w:top w:w="40" w:type="dxa"/>
              <w:left w:w="40" w:type="dxa"/>
              <w:bottom w:w="40" w:type="dxa"/>
              <w:right w:w="40" w:type="dxa"/>
            </w:tcMar>
            <w:vAlign w:val="center"/>
          </w:tcPr>
          <w:p w14:paraId="1D1E8490"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429.45</w:t>
            </w:r>
          </w:p>
        </w:tc>
        <w:tc>
          <w:tcPr>
            <w:tcW w:w="2385" w:type="dxa"/>
            <w:tcMar>
              <w:top w:w="40" w:type="dxa"/>
              <w:left w:w="40" w:type="dxa"/>
              <w:bottom w:w="40" w:type="dxa"/>
              <w:right w:w="40" w:type="dxa"/>
            </w:tcMar>
            <w:vAlign w:val="center"/>
          </w:tcPr>
          <w:p w14:paraId="36D03DD0"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763</w:t>
            </w:r>
          </w:p>
        </w:tc>
        <w:tc>
          <w:tcPr>
            <w:tcW w:w="2385" w:type="dxa"/>
            <w:tcMar>
              <w:top w:w="40" w:type="dxa"/>
              <w:left w:w="40" w:type="dxa"/>
              <w:bottom w:w="40" w:type="dxa"/>
              <w:right w:w="40" w:type="dxa"/>
            </w:tcMar>
            <w:vAlign w:val="center"/>
          </w:tcPr>
          <w:p w14:paraId="6DE0228F"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1712.16</w:t>
            </w:r>
          </w:p>
        </w:tc>
      </w:tr>
      <w:tr w:rsidR="00685D34" w14:paraId="451FA7E6" w14:textId="77777777" w:rsidTr="00A5185C">
        <w:trPr>
          <w:cantSplit/>
          <w:trHeight w:val="79"/>
          <w:jc w:val="center"/>
        </w:trPr>
        <w:tc>
          <w:tcPr>
            <w:tcW w:w="2387" w:type="dxa"/>
            <w:tcMar>
              <w:top w:w="100" w:type="dxa"/>
              <w:left w:w="100" w:type="dxa"/>
              <w:bottom w:w="100" w:type="dxa"/>
              <w:right w:w="100" w:type="dxa"/>
            </w:tcMar>
          </w:tcPr>
          <w:p w14:paraId="2F7EAC05"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Ca</w:t>
            </w:r>
          </w:p>
        </w:tc>
        <w:tc>
          <w:tcPr>
            <w:tcW w:w="2385" w:type="dxa"/>
            <w:tcMar>
              <w:top w:w="40" w:type="dxa"/>
              <w:left w:w="40" w:type="dxa"/>
              <w:bottom w:w="40" w:type="dxa"/>
              <w:right w:w="40" w:type="dxa"/>
            </w:tcMar>
            <w:vAlign w:val="center"/>
          </w:tcPr>
          <w:p w14:paraId="299A1B94"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451.12</w:t>
            </w:r>
          </w:p>
        </w:tc>
        <w:tc>
          <w:tcPr>
            <w:tcW w:w="2385" w:type="dxa"/>
            <w:tcMar>
              <w:top w:w="40" w:type="dxa"/>
              <w:left w:w="40" w:type="dxa"/>
              <w:bottom w:w="40" w:type="dxa"/>
              <w:right w:w="40" w:type="dxa"/>
            </w:tcMar>
            <w:vAlign w:val="center"/>
          </w:tcPr>
          <w:p w14:paraId="1820B57D"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1263.94</w:t>
            </w:r>
          </w:p>
        </w:tc>
        <w:tc>
          <w:tcPr>
            <w:tcW w:w="2385" w:type="dxa"/>
            <w:tcMar>
              <w:top w:w="40" w:type="dxa"/>
              <w:left w:w="40" w:type="dxa"/>
              <w:bottom w:w="40" w:type="dxa"/>
              <w:right w:w="40" w:type="dxa"/>
            </w:tcMar>
            <w:vAlign w:val="center"/>
          </w:tcPr>
          <w:p w14:paraId="39DF4325"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4257.85</w:t>
            </w:r>
          </w:p>
        </w:tc>
      </w:tr>
      <w:tr w:rsidR="00685D34" w14:paraId="7E4B0D1B" w14:textId="77777777" w:rsidTr="00A5185C">
        <w:trPr>
          <w:cantSplit/>
          <w:trHeight w:val="20"/>
          <w:jc w:val="center"/>
        </w:trPr>
        <w:tc>
          <w:tcPr>
            <w:tcW w:w="2387" w:type="dxa"/>
            <w:tcMar>
              <w:top w:w="100" w:type="dxa"/>
              <w:left w:w="100" w:type="dxa"/>
              <w:bottom w:w="100" w:type="dxa"/>
              <w:right w:w="100" w:type="dxa"/>
            </w:tcMar>
          </w:tcPr>
          <w:p w14:paraId="6A790B01"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Fe</w:t>
            </w:r>
          </w:p>
        </w:tc>
        <w:tc>
          <w:tcPr>
            <w:tcW w:w="2385" w:type="dxa"/>
            <w:tcMar>
              <w:top w:w="40" w:type="dxa"/>
              <w:left w:w="40" w:type="dxa"/>
              <w:bottom w:w="40" w:type="dxa"/>
              <w:right w:w="40" w:type="dxa"/>
            </w:tcMar>
            <w:vAlign w:val="center"/>
          </w:tcPr>
          <w:p w14:paraId="40A80725"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463.8</w:t>
            </w:r>
          </w:p>
        </w:tc>
        <w:tc>
          <w:tcPr>
            <w:tcW w:w="2385" w:type="dxa"/>
            <w:tcMar>
              <w:top w:w="40" w:type="dxa"/>
              <w:left w:w="40" w:type="dxa"/>
              <w:bottom w:w="40" w:type="dxa"/>
              <w:right w:w="40" w:type="dxa"/>
            </w:tcMar>
            <w:vAlign w:val="center"/>
          </w:tcPr>
          <w:p w14:paraId="0926F1DC"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1127.87</w:t>
            </w:r>
          </w:p>
        </w:tc>
        <w:tc>
          <w:tcPr>
            <w:tcW w:w="2385" w:type="dxa"/>
            <w:tcMar>
              <w:top w:w="40" w:type="dxa"/>
              <w:left w:w="40" w:type="dxa"/>
              <w:bottom w:w="40" w:type="dxa"/>
              <w:right w:w="40" w:type="dxa"/>
            </w:tcMar>
            <w:vAlign w:val="center"/>
          </w:tcPr>
          <w:p w14:paraId="3619291D"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2669.05</w:t>
            </w:r>
          </w:p>
        </w:tc>
      </w:tr>
      <w:tr w:rsidR="00685D34" w14:paraId="75DD9AF9" w14:textId="77777777" w:rsidTr="00A5185C">
        <w:trPr>
          <w:cantSplit/>
          <w:trHeight w:val="93"/>
          <w:jc w:val="center"/>
        </w:trPr>
        <w:tc>
          <w:tcPr>
            <w:tcW w:w="2387" w:type="dxa"/>
            <w:tcMar>
              <w:top w:w="100" w:type="dxa"/>
              <w:left w:w="100" w:type="dxa"/>
              <w:bottom w:w="100" w:type="dxa"/>
              <w:right w:w="100" w:type="dxa"/>
            </w:tcMar>
          </w:tcPr>
          <w:p w14:paraId="2042C144"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Ba</w:t>
            </w:r>
          </w:p>
        </w:tc>
        <w:tc>
          <w:tcPr>
            <w:tcW w:w="2385" w:type="dxa"/>
            <w:tcMar>
              <w:top w:w="40" w:type="dxa"/>
              <w:left w:w="40" w:type="dxa"/>
              <w:bottom w:w="40" w:type="dxa"/>
              <w:right w:w="40" w:type="dxa"/>
            </w:tcMar>
            <w:vAlign w:val="center"/>
          </w:tcPr>
          <w:p w14:paraId="3BFD1C4E"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c>
          <w:tcPr>
            <w:tcW w:w="2385" w:type="dxa"/>
            <w:tcMar>
              <w:top w:w="40" w:type="dxa"/>
              <w:left w:w="40" w:type="dxa"/>
              <w:bottom w:w="40" w:type="dxa"/>
              <w:right w:w="40" w:type="dxa"/>
            </w:tcMar>
            <w:vAlign w:val="center"/>
          </w:tcPr>
          <w:p w14:paraId="7833A490"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44.16</w:t>
            </w:r>
          </w:p>
        </w:tc>
        <w:tc>
          <w:tcPr>
            <w:tcW w:w="2385" w:type="dxa"/>
            <w:tcMar>
              <w:top w:w="40" w:type="dxa"/>
              <w:left w:w="40" w:type="dxa"/>
              <w:bottom w:w="40" w:type="dxa"/>
              <w:right w:w="40" w:type="dxa"/>
            </w:tcMar>
            <w:vAlign w:val="center"/>
          </w:tcPr>
          <w:p w14:paraId="703D2C69"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63.48</w:t>
            </w:r>
          </w:p>
        </w:tc>
      </w:tr>
      <w:tr w:rsidR="00685D34" w14:paraId="61DB6F63" w14:textId="77777777">
        <w:trPr>
          <w:cantSplit/>
          <w:trHeight w:val="272"/>
          <w:jc w:val="center"/>
        </w:trPr>
        <w:tc>
          <w:tcPr>
            <w:tcW w:w="2387" w:type="dxa"/>
            <w:tcMar>
              <w:top w:w="100" w:type="dxa"/>
              <w:left w:w="100" w:type="dxa"/>
              <w:bottom w:w="100" w:type="dxa"/>
              <w:right w:w="100" w:type="dxa"/>
            </w:tcMar>
          </w:tcPr>
          <w:p w14:paraId="518F32C6"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Cu</w:t>
            </w:r>
          </w:p>
        </w:tc>
        <w:tc>
          <w:tcPr>
            <w:tcW w:w="2385" w:type="dxa"/>
            <w:tcMar>
              <w:top w:w="40" w:type="dxa"/>
              <w:left w:w="40" w:type="dxa"/>
              <w:bottom w:w="40" w:type="dxa"/>
              <w:right w:w="40" w:type="dxa"/>
            </w:tcMar>
            <w:vAlign w:val="center"/>
          </w:tcPr>
          <w:p w14:paraId="7D9BBA8E"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4.55</w:t>
            </w:r>
          </w:p>
        </w:tc>
        <w:tc>
          <w:tcPr>
            <w:tcW w:w="2385" w:type="dxa"/>
            <w:tcMar>
              <w:top w:w="40" w:type="dxa"/>
              <w:left w:w="40" w:type="dxa"/>
              <w:bottom w:w="40" w:type="dxa"/>
              <w:right w:w="40" w:type="dxa"/>
            </w:tcMar>
            <w:vAlign w:val="center"/>
          </w:tcPr>
          <w:p w14:paraId="5A50D79D"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3.45</w:t>
            </w:r>
          </w:p>
        </w:tc>
        <w:tc>
          <w:tcPr>
            <w:tcW w:w="2385" w:type="dxa"/>
            <w:tcMar>
              <w:top w:w="40" w:type="dxa"/>
              <w:left w:w="40" w:type="dxa"/>
              <w:bottom w:w="40" w:type="dxa"/>
              <w:right w:w="40" w:type="dxa"/>
            </w:tcMar>
            <w:vAlign w:val="center"/>
          </w:tcPr>
          <w:p w14:paraId="6A6C8FF4"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54.51</w:t>
            </w:r>
          </w:p>
        </w:tc>
      </w:tr>
      <w:tr w:rsidR="00685D34" w14:paraId="6A2A4A83" w14:textId="77777777" w:rsidTr="00A5185C">
        <w:trPr>
          <w:cantSplit/>
          <w:trHeight w:val="93"/>
          <w:jc w:val="center"/>
        </w:trPr>
        <w:tc>
          <w:tcPr>
            <w:tcW w:w="2387" w:type="dxa"/>
            <w:tcMar>
              <w:top w:w="100" w:type="dxa"/>
              <w:left w:w="100" w:type="dxa"/>
              <w:bottom w:w="100" w:type="dxa"/>
              <w:right w:w="100" w:type="dxa"/>
            </w:tcMar>
          </w:tcPr>
          <w:p w14:paraId="3A4D0A72"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Pb</w:t>
            </w:r>
          </w:p>
        </w:tc>
        <w:tc>
          <w:tcPr>
            <w:tcW w:w="2385" w:type="dxa"/>
            <w:tcMar>
              <w:top w:w="40" w:type="dxa"/>
              <w:left w:w="40" w:type="dxa"/>
              <w:bottom w:w="40" w:type="dxa"/>
              <w:right w:w="40" w:type="dxa"/>
            </w:tcMar>
            <w:vAlign w:val="center"/>
          </w:tcPr>
          <w:p w14:paraId="38969D51"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84.45</w:t>
            </w:r>
          </w:p>
        </w:tc>
        <w:tc>
          <w:tcPr>
            <w:tcW w:w="2385" w:type="dxa"/>
            <w:tcMar>
              <w:top w:w="40" w:type="dxa"/>
              <w:left w:w="40" w:type="dxa"/>
              <w:bottom w:w="40" w:type="dxa"/>
              <w:right w:w="40" w:type="dxa"/>
            </w:tcMar>
            <w:vAlign w:val="center"/>
          </w:tcPr>
          <w:p w14:paraId="051E0778"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57.13</w:t>
            </w:r>
          </w:p>
        </w:tc>
        <w:tc>
          <w:tcPr>
            <w:tcW w:w="2385" w:type="dxa"/>
            <w:tcMar>
              <w:top w:w="40" w:type="dxa"/>
              <w:left w:w="40" w:type="dxa"/>
              <w:bottom w:w="40" w:type="dxa"/>
              <w:right w:w="40" w:type="dxa"/>
            </w:tcMar>
            <w:vAlign w:val="center"/>
          </w:tcPr>
          <w:p w14:paraId="6C112E4E"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652.60</w:t>
            </w:r>
          </w:p>
        </w:tc>
      </w:tr>
      <w:tr w:rsidR="00685D34" w14:paraId="46F1531F" w14:textId="77777777" w:rsidTr="00A5185C">
        <w:trPr>
          <w:cantSplit/>
          <w:trHeight w:val="20"/>
          <w:jc w:val="center"/>
        </w:trPr>
        <w:tc>
          <w:tcPr>
            <w:tcW w:w="2387" w:type="dxa"/>
            <w:tcMar>
              <w:top w:w="100" w:type="dxa"/>
              <w:left w:w="100" w:type="dxa"/>
              <w:bottom w:w="100" w:type="dxa"/>
              <w:right w:w="100" w:type="dxa"/>
            </w:tcMar>
          </w:tcPr>
          <w:p w14:paraId="73797E3F"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Mn</w:t>
            </w:r>
          </w:p>
        </w:tc>
        <w:tc>
          <w:tcPr>
            <w:tcW w:w="2385" w:type="dxa"/>
            <w:tcMar>
              <w:top w:w="40" w:type="dxa"/>
              <w:left w:w="40" w:type="dxa"/>
              <w:bottom w:w="40" w:type="dxa"/>
              <w:right w:w="40" w:type="dxa"/>
            </w:tcMar>
            <w:vAlign w:val="center"/>
          </w:tcPr>
          <w:p w14:paraId="16ED1DFE"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129.03</w:t>
            </w:r>
          </w:p>
        </w:tc>
        <w:tc>
          <w:tcPr>
            <w:tcW w:w="2385" w:type="dxa"/>
            <w:tcMar>
              <w:top w:w="40" w:type="dxa"/>
              <w:left w:w="40" w:type="dxa"/>
              <w:bottom w:w="40" w:type="dxa"/>
              <w:right w:w="40" w:type="dxa"/>
            </w:tcMar>
            <w:vAlign w:val="center"/>
          </w:tcPr>
          <w:p w14:paraId="21A44A5B"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61.82</w:t>
            </w:r>
          </w:p>
        </w:tc>
        <w:tc>
          <w:tcPr>
            <w:tcW w:w="2385" w:type="dxa"/>
            <w:tcMar>
              <w:top w:w="40" w:type="dxa"/>
              <w:left w:w="40" w:type="dxa"/>
              <w:bottom w:w="40" w:type="dxa"/>
              <w:right w:w="40" w:type="dxa"/>
            </w:tcMar>
            <w:vAlign w:val="center"/>
          </w:tcPr>
          <w:p w14:paraId="36C53790"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53.68</w:t>
            </w:r>
          </w:p>
        </w:tc>
      </w:tr>
      <w:tr w:rsidR="00685D34" w14:paraId="0E241B9F" w14:textId="77777777">
        <w:trPr>
          <w:cantSplit/>
          <w:trHeight w:val="20"/>
          <w:jc w:val="center"/>
        </w:trPr>
        <w:tc>
          <w:tcPr>
            <w:tcW w:w="2387" w:type="dxa"/>
            <w:tcMar>
              <w:top w:w="100" w:type="dxa"/>
              <w:left w:w="100" w:type="dxa"/>
              <w:bottom w:w="100" w:type="dxa"/>
              <w:right w:w="100" w:type="dxa"/>
            </w:tcMar>
          </w:tcPr>
          <w:p w14:paraId="330EB4DD"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Zn</w:t>
            </w:r>
          </w:p>
        </w:tc>
        <w:tc>
          <w:tcPr>
            <w:tcW w:w="2385" w:type="dxa"/>
            <w:tcMar>
              <w:top w:w="40" w:type="dxa"/>
              <w:left w:w="40" w:type="dxa"/>
              <w:bottom w:w="40" w:type="dxa"/>
              <w:right w:w="40" w:type="dxa"/>
            </w:tcMar>
            <w:vAlign w:val="center"/>
          </w:tcPr>
          <w:p w14:paraId="563D4BA4"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513.36</w:t>
            </w:r>
          </w:p>
        </w:tc>
        <w:tc>
          <w:tcPr>
            <w:tcW w:w="2385" w:type="dxa"/>
            <w:tcMar>
              <w:top w:w="40" w:type="dxa"/>
              <w:left w:w="40" w:type="dxa"/>
              <w:bottom w:w="40" w:type="dxa"/>
              <w:right w:w="40" w:type="dxa"/>
            </w:tcMar>
            <w:vAlign w:val="center"/>
          </w:tcPr>
          <w:p w14:paraId="088BA5C1"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622.93</w:t>
            </w:r>
          </w:p>
        </w:tc>
        <w:tc>
          <w:tcPr>
            <w:tcW w:w="2385" w:type="dxa"/>
            <w:tcMar>
              <w:top w:w="40" w:type="dxa"/>
              <w:left w:w="40" w:type="dxa"/>
              <w:bottom w:w="40" w:type="dxa"/>
              <w:right w:w="40" w:type="dxa"/>
            </w:tcMar>
            <w:vAlign w:val="center"/>
          </w:tcPr>
          <w:p w14:paraId="7062820D"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679.37</w:t>
            </w:r>
          </w:p>
        </w:tc>
      </w:tr>
      <w:tr w:rsidR="00685D34" w14:paraId="67A73906" w14:textId="77777777">
        <w:trPr>
          <w:cantSplit/>
          <w:trHeight w:val="20"/>
          <w:jc w:val="center"/>
        </w:trPr>
        <w:tc>
          <w:tcPr>
            <w:tcW w:w="2387" w:type="dxa"/>
            <w:tcMar>
              <w:top w:w="100" w:type="dxa"/>
              <w:left w:w="100" w:type="dxa"/>
              <w:bottom w:w="100" w:type="dxa"/>
              <w:right w:w="100" w:type="dxa"/>
            </w:tcMar>
          </w:tcPr>
          <w:p w14:paraId="1A444FA5" w14:textId="77777777" w:rsidR="00685D34" w:rsidRDefault="00000000" w:rsidP="00A5185C">
            <w:pPr>
              <w:keepNex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As</w:t>
            </w:r>
          </w:p>
        </w:tc>
        <w:tc>
          <w:tcPr>
            <w:tcW w:w="2385" w:type="dxa"/>
            <w:tcMar>
              <w:top w:w="40" w:type="dxa"/>
              <w:left w:w="40" w:type="dxa"/>
              <w:bottom w:w="40" w:type="dxa"/>
              <w:right w:w="40" w:type="dxa"/>
            </w:tcMar>
            <w:vAlign w:val="center"/>
          </w:tcPr>
          <w:p w14:paraId="49B03F36" w14:textId="7DA3A24A" w:rsidR="00685D34" w:rsidRDefault="00A5185C"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385" w:type="dxa"/>
            <w:tcMar>
              <w:top w:w="40" w:type="dxa"/>
              <w:left w:w="40" w:type="dxa"/>
              <w:bottom w:w="40" w:type="dxa"/>
              <w:right w:w="40" w:type="dxa"/>
            </w:tcMar>
            <w:vAlign w:val="center"/>
          </w:tcPr>
          <w:p w14:paraId="0975E565"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56.30</w:t>
            </w:r>
          </w:p>
        </w:tc>
        <w:tc>
          <w:tcPr>
            <w:tcW w:w="2385" w:type="dxa"/>
            <w:tcMar>
              <w:top w:w="40" w:type="dxa"/>
              <w:left w:w="40" w:type="dxa"/>
              <w:bottom w:w="40" w:type="dxa"/>
              <w:right w:w="40" w:type="dxa"/>
            </w:tcMar>
            <w:vAlign w:val="center"/>
          </w:tcPr>
          <w:p w14:paraId="0AEE00F4" w14:textId="77777777" w:rsidR="00685D34" w:rsidRDefault="00000000" w:rsidP="00A5185C">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381.84</w:t>
            </w:r>
          </w:p>
        </w:tc>
      </w:tr>
    </w:tbl>
    <w:p w14:paraId="5D1FF69C" w14:textId="06038F90" w:rsidR="00685D34" w:rsidRDefault="00000000">
      <w:pPr>
        <w:pBdr>
          <w:top w:val="nil"/>
          <w:left w:val="nil"/>
          <w:bottom w:val="nil"/>
          <w:right w:val="nil"/>
          <w:between w:val="nil"/>
        </w:pBdr>
        <w:spacing w:before="240" w:after="0" w:line="276" w:lineRule="auto"/>
        <w:ind w:firstLine="36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Table SI </w:t>
      </w:r>
      <w:r w:rsidR="00D46DB4">
        <w:rPr>
          <w:rFonts w:ascii="Times New Roman" w:eastAsia="Times New Roman" w:hAnsi="Times New Roman" w:cs="Times New Roman"/>
          <w:color w:val="000000"/>
          <w:sz w:val="24"/>
          <w:szCs w:val="24"/>
        </w:rPr>
        <w:t>7</w:t>
      </w:r>
      <w:r>
        <w:rPr>
          <w:rFonts w:ascii="Times New Roman" w:eastAsia="Times New Roman" w:hAnsi="Times New Roman" w:cs="Times New Roman"/>
          <w:color w:val="000000"/>
          <w:sz w:val="24"/>
          <w:szCs w:val="24"/>
        </w:rPr>
        <w:t xml:space="preserve"> Hazard and cancer risk index for </w:t>
      </w:r>
      <w:r>
        <w:rPr>
          <w:rFonts w:ascii="Times New Roman" w:eastAsia="Times New Roman" w:hAnsi="Times New Roman" w:cs="Times New Roman"/>
          <w:color w:val="000000"/>
          <w:sz w:val="24"/>
          <w:szCs w:val="24"/>
          <w:u w:val="single"/>
        </w:rPr>
        <w:t>DAD</w:t>
      </w:r>
      <w:r>
        <w:rPr>
          <w:rFonts w:ascii="Times New Roman" w:eastAsia="Times New Roman" w:hAnsi="Times New Roman" w:cs="Times New Roman"/>
          <w:color w:val="000000"/>
          <w:sz w:val="24"/>
          <w:szCs w:val="24"/>
        </w:rPr>
        <w:t xml:space="preserve"> at all three locations for adults and Children</w:t>
      </w:r>
    </w:p>
    <w:tbl>
      <w:tblPr>
        <w:tblStyle w:val="a5"/>
        <w:tblW w:w="94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85"/>
        <w:gridCol w:w="1455"/>
        <w:gridCol w:w="1500"/>
        <w:gridCol w:w="1215"/>
        <w:gridCol w:w="1545"/>
        <w:gridCol w:w="1170"/>
        <w:gridCol w:w="1350"/>
      </w:tblGrid>
      <w:tr w:rsidR="00685D34" w14:paraId="1A0E7A95" w14:textId="77777777">
        <w:trPr>
          <w:trHeight w:val="397"/>
          <w:jc w:val="center"/>
        </w:trPr>
        <w:tc>
          <w:tcPr>
            <w:tcW w:w="9420" w:type="dxa"/>
            <w:gridSpan w:val="7"/>
            <w:shd w:val="clear" w:color="auto" w:fill="F2F2F2"/>
          </w:tcPr>
          <w:p w14:paraId="2E44A22E" w14:textId="77777777" w:rsidR="00685D34" w:rsidRDefault="00000000">
            <w:pPr>
              <w:spacing w:line="276"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Hazard Index for DAD</w:t>
            </w:r>
          </w:p>
        </w:tc>
      </w:tr>
      <w:tr w:rsidR="00685D34" w:rsidRPr="00890B9A" w14:paraId="11F4310B" w14:textId="77777777">
        <w:trPr>
          <w:trHeight w:val="397"/>
          <w:jc w:val="center"/>
        </w:trPr>
        <w:tc>
          <w:tcPr>
            <w:tcW w:w="1185" w:type="dxa"/>
          </w:tcPr>
          <w:p w14:paraId="38815EA0"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Metals</w:t>
            </w:r>
          </w:p>
        </w:tc>
        <w:tc>
          <w:tcPr>
            <w:tcW w:w="2955" w:type="dxa"/>
            <w:gridSpan w:val="2"/>
          </w:tcPr>
          <w:p w14:paraId="5617F851" w14:textId="77777777" w:rsidR="00685D34" w:rsidRPr="00890B9A" w:rsidRDefault="00000000">
            <w:pPr>
              <w:spacing w:line="276" w:lineRule="auto"/>
              <w:jc w:val="center"/>
              <w:rPr>
                <w:rFonts w:ascii="Times New Roman" w:eastAsia="Times New Roman" w:hAnsi="Times New Roman" w:cs="Times New Roman"/>
                <w:b/>
                <w:sz w:val="24"/>
                <w:szCs w:val="24"/>
              </w:rPr>
            </w:pPr>
            <w:proofErr w:type="spellStart"/>
            <w:r w:rsidRPr="00890B9A">
              <w:rPr>
                <w:rFonts w:ascii="Times New Roman" w:eastAsia="Times New Roman" w:hAnsi="Times New Roman" w:cs="Times New Roman"/>
                <w:b/>
                <w:sz w:val="24"/>
                <w:szCs w:val="24"/>
              </w:rPr>
              <w:t>Sakinaka</w:t>
            </w:r>
            <w:proofErr w:type="spellEnd"/>
            <w:r w:rsidRPr="00890B9A">
              <w:rPr>
                <w:rFonts w:ascii="Times New Roman" w:eastAsia="Times New Roman" w:hAnsi="Times New Roman" w:cs="Times New Roman"/>
                <w:b/>
                <w:sz w:val="24"/>
                <w:szCs w:val="24"/>
              </w:rPr>
              <w:t xml:space="preserve"> Junction</w:t>
            </w:r>
          </w:p>
        </w:tc>
        <w:tc>
          <w:tcPr>
            <w:tcW w:w="2760" w:type="dxa"/>
            <w:gridSpan w:val="2"/>
          </w:tcPr>
          <w:p w14:paraId="709E0D3F"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YP-Gate</w:t>
            </w:r>
          </w:p>
        </w:tc>
        <w:tc>
          <w:tcPr>
            <w:tcW w:w="2520" w:type="dxa"/>
            <w:gridSpan w:val="2"/>
          </w:tcPr>
          <w:p w14:paraId="7A6F1136"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HP</w:t>
            </w:r>
          </w:p>
        </w:tc>
      </w:tr>
      <w:tr w:rsidR="00685D34" w:rsidRPr="00890B9A" w14:paraId="5FA0C629" w14:textId="77777777">
        <w:trPr>
          <w:trHeight w:val="397"/>
          <w:jc w:val="center"/>
        </w:trPr>
        <w:tc>
          <w:tcPr>
            <w:tcW w:w="1185" w:type="dxa"/>
          </w:tcPr>
          <w:p w14:paraId="600A202D" w14:textId="77777777" w:rsidR="00685D34" w:rsidRPr="00890B9A" w:rsidRDefault="00685D34">
            <w:pPr>
              <w:spacing w:line="276" w:lineRule="auto"/>
              <w:jc w:val="center"/>
              <w:rPr>
                <w:rFonts w:ascii="Times New Roman" w:eastAsia="Times New Roman" w:hAnsi="Times New Roman" w:cs="Times New Roman"/>
                <w:b/>
                <w:sz w:val="24"/>
                <w:szCs w:val="24"/>
              </w:rPr>
            </w:pPr>
          </w:p>
        </w:tc>
        <w:tc>
          <w:tcPr>
            <w:tcW w:w="1455" w:type="dxa"/>
          </w:tcPr>
          <w:p w14:paraId="7F814C7D"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(Adult)</w:t>
            </w:r>
          </w:p>
        </w:tc>
        <w:tc>
          <w:tcPr>
            <w:tcW w:w="1500" w:type="dxa"/>
          </w:tcPr>
          <w:p w14:paraId="1E605810"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(Children)</w:t>
            </w:r>
          </w:p>
        </w:tc>
        <w:tc>
          <w:tcPr>
            <w:tcW w:w="1215" w:type="dxa"/>
          </w:tcPr>
          <w:p w14:paraId="711F3301"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(Adult)</w:t>
            </w:r>
          </w:p>
        </w:tc>
        <w:tc>
          <w:tcPr>
            <w:tcW w:w="1545" w:type="dxa"/>
          </w:tcPr>
          <w:p w14:paraId="54F49B5B"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(Children)</w:t>
            </w:r>
          </w:p>
        </w:tc>
        <w:tc>
          <w:tcPr>
            <w:tcW w:w="1170" w:type="dxa"/>
          </w:tcPr>
          <w:p w14:paraId="46F8E4C6"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(Adult)</w:t>
            </w:r>
          </w:p>
        </w:tc>
        <w:tc>
          <w:tcPr>
            <w:tcW w:w="1350" w:type="dxa"/>
          </w:tcPr>
          <w:p w14:paraId="556D5D4A"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(Children)</w:t>
            </w:r>
          </w:p>
        </w:tc>
      </w:tr>
      <w:tr w:rsidR="00685D34" w:rsidRPr="00890B9A" w14:paraId="7361AC35" w14:textId="77777777">
        <w:trPr>
          <w:trHeight w:val="397"/>
          <w:jc w:val="center"/>
        </w:trPr>
        <w:tc>
          <w:tcPr>
            <w:tcW w:w="1185" w:type="dxa"/>
          </w:tcPr>
          <w:p w14:paraId="35DEEA69"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Cr</w:t>
            </w:r>
          </w:p>
        </w:tc>
        <w:tc>
          <w:tcPr>
            <w:tcW w:w="1455" w:type="dxa"/>
          </w:tcPr>
          <w:p w14:paraId="43D39DFA"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3.0E-04</w:t>
            </w:r>
          </w:p>
        </w:tc>
        <w:tc>
          <w:tcPr>
            <w:tcW w:w="1500" w:type="dxa"/>
          </w:tcPr>
          <w:p w14:paraId="286065E0"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3.0E-04</w:t>
            </w:r>
          </w:p>
        </w:tc>
        <w:tc>
          <w:tcPr>
            <w:tcW w:w="1215" w:type="dxa"/>
          </w:tcPr>
          <w:p w14:paraId="153104FD"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4.3E-06</w:t>
            </w:r>
          </w:p>
        </w:tc>
        <w:tc>
          <w:tcPr>
            <w:tcW w:w="1545" w:type="dxa"/>
          </w:tcPr>
          <w:p w14:paraId="149923BF"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4.2E-06</w:t>
            </w:r>
          </w:p>
        </w:tc>
        <w:tc>
          <w:tcPr>
            <w:tcW w:w="1170" w:type="dxa"/>
          </w:tcPr>
          <w:p w14:paraId="51FD14F3" w14:textId="0DCC037E" w:rsidR="00685D34" w:rsidRPr="00890B9A" w:rsidRDefault="003D0F20" w:rsidP="003D0F20">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4.0E-06</w:t>
            </w:r>
          </w:p>
        </w:tc>
        <w:tc>
          <w:tcPr>
            <w:tcW w:w="1350" w:type="dxa"/>
          </w:tcPr>
          <w:p w14:paraId="7519A1D0" w14:textId="02BB3BC0" w:rsidR="00685D34" w:rsidRPr="00890B9A" w:rsidRDefault="003D0F20" w:rsidP="003D0F20">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4.0E-06</w:t>
            </w:r>
          </w:p>
        </w:tc>
      </w:tr>
      <w:tr w:rsidR="003D0F20" w:rsidRPr="00890B9A" w14:paraId="73D7DF56" w14:textId="77777777" w:rsidTr="00796AF1">
        <w:trPr>
          <w:trHeight w:val="397"/>
          <w:jc w:val="center"/>
        </w:trPr>
        <w:tc>
          <w:tcPr>
            <w:tcW w:w="1185" w:type="dxa"/>
          </w:tcPr>
          <w:p w14:paraId="05187301" w14:textId="77777777"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Mn</w:t>
            </w:r>
          </w:p>
        </w:tc>
        <w:tc>
          <w:tcPr>
            <w:tcW w:w="1455" w:type="dxa"/>
          </w:tcPr>
          <w:p w14:paraId="1600A9AF" w14:textId="0896C3A1" w:rsidR="003D0F20" w:rsidRPr="00890B9A" w:rsidRDefault="003F41CE"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5.6</w:t>
            </w:r>
            <w:r w:rsidR="003D0F20" w:rsidRPr="00890B9A">
              <w:rPr>
                <w:rFonts w:ascii="Times New Roman" w:eastAsia="Times New Roman" w:hAnsi="Times New Roman" w:cs="Times New Roman"/>
                <w:sz w:val="24"/>
                <w:szCs w:val="24"/>
              </w:rPr>
              <w:t>E-09</w:t>
            </w:r>
          </w:p>
        </w:tc>
        <w:tc>
          <w:tcPr>
            <w:tcW w:w="1500" w:type="dxa"/>
          </w:tcPr>
          <w:p w14:paraId="327A5A85" w14:textId="39BF0738" w:rsidR="003D0F20" w:rsidRPr="00890B9A" w:rsidRDefault="003F41CE"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5.6</w:t>
            </w:r>
            <w:r w:rsidR="003D0F20" w:rsidRPr="00890B9A">
              <w:rPr>
                <w:rFonts w:ascii="Times New Roman" w:eastAsia="Times New Roman" w:hAnsi="Times New Roman" w:cs="Times New Roman"/>
                <w:sz w:val="24"/>
                <w:szCs w:val="24"/>
              </w:rPr>
              <w:t>E-09</w:t>
            </w:r>
          </w:p>
        </w:tc>
        <w:tc>
          <w:tcPr>
            <w:tcW w:w="1215" w:type="dxa"/>
          </w:tcPr>
          <w:p w14:paraId="1AEF5FC9" w14:textId="48EDB2EA"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7.</w:t>
            </w:r>
            <w:r w:rsidR="00890B9A" w:rsidRPr="00890B9A">
              <w:rPr>
                <w:rFonts w:ascii="Times New Roman" w:eastAsia="Times New Roman" w:hAnsi="Times New Roman" w:cs="Times New Roman"/>
                <w:sz w:val="24"/>
                <w:szCs w:val="24"/>
              </w:rPr>
              <w:t>1</w:t>
            </w:r>
            <w:r w:rsidRPr="00890B9A">
              <w:rPr>
                <w:rFonts w:ascii="Times New Roman" w:eastAsia="Times New Roman" w:hAnsi="Times New Roman" w:cs="Times New Roman"/>
                <w:sz w:val="24"/>
                <w:szCs w:val="24"/>
              </w:rPr>
              <w:t>E-09</w:t>
            </w:r>
          </w:p>
        </w:tc>
        <w:tc>
          <w:tcPr>
            <w:tcW w:w="1545" w:type="dxa"/>
          </w:tcPr>
          <w:p w14:paraId="6C3A4FB9" w14:textId="3074940E"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7.</w:t>
            </w:r>
            <w:r w:rsidR="00890B9A" w:rsidRPr="00890B9A">
              <w:rPr>
                <w:rFonts w:ascii="Times New Roman" w:eastAsia="Times New Roman" w:hAnsi="Times New Roman" w:cs="Times New Roman"/>
                <w:sz w:val="24"/>
                <w:szCs w:val="24"/>
              </w:rPr>
              <w:t>0</w:t>
            </w:r>
            <w:r w:rsidRPr="00890B9A">
              <w:rPr>
                <w:rFonts w:ascii="Times New Roman" w:eastAsia="Times New Roman" w:hAnsi="Times New Roman" w:cs="Times New Roman"/>
                <w:sz w:val="24"/>
                <w:szCs w:val="24"/>
              </w:rPr>
              <w:t>E-08</w:t>
            </w:r>
          </w:p>
        </w:tc>
        <w:tc>
          <w:tcPr>
            <w:tcW w:w="1170" w:type="dxa"/>
            <w:vAlign w:val="bottom"/>
          </w:tcPr>
          <w:p w14:paraId="141164C5" w14:textId="5CD5DB34"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6.9E-08</w:t>
            </w:r>
          </w:p>
        </w:tc>
        <w:tc>
          <w:tcPr>
            <w:tcW w:w="1350" w:type="dxa"/>
            <w:vAlign w:val="bottom"/>
          </w:tcPr>
          <w:p w14:paraId="7A539714" w14:textId="5D81EFB5"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7.01E-09</w:t>
            </w:r>
          </w:p>
        </w:tc>
      </w:tr>
      <w:tr w:rsidR="00685D34" w:rsidRPr="00890B9A" w14:paraId="7954E54B" w14:textId="77777777">
        <w:trPr>
          <w:trHeight w:val="397"/>
          <w:jc w:val="center"/>
        </w:trPr>
        <w:tc>
          <w:tcPr>
            <w:tcW w:w="1185" w:type="dxa"/>
          </w:tcPr>
          <w:p w14:paraId="3B9FD6DC"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Pb</w:t>
            </w:r>
          </w:p>
        </w:tc>
        <w:tc>
          <w:tcPr>
            <w:tcW w:w="1455" w:type="dxa"/>
          </w:tcPr>
          <w:p w14:paraId="7E02900F" w14:textId="64339B49" w:rsidR="00685D34" w:rsidRPr="00890B9A" w:rsidRDefault="003F41CE">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1.9E-05</w:t>
            </w:r>
          </w:p>
        </w:tc>
        <w:tc>
          <w:tcPr>
            <w:tcW w:w="1500" w:type="dxa"/>
          </w:tcPr>
          <w:p w14:paraId="435D7CFF" w14:textId="0023D18E" w:rsidR="00685D34" w:rsidRPr="00890B9A" w:rsidRDefault="003F41CE">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1.9E-05</w:t>
            </w:r>
          </w:p>
        </w:tc>
        <w:tc>
          <w:tcPr>
            <w:tcW w:w="1215" w:type="dxa"/>
          </w:tcPr>
          <w:p w14:paraId="74910BB0" w14:textId="2B93AA9B"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7.</w:t>
            </w:r>
            <w:r w:rsidR="00890B9A" w:rsidRPr="00890B9A">
              <w:rPr>
                <w:rFonts w:ascii="Times New Roman" w:eastAsia="Times New Roman" w:hAnsi="Times New Roman" w:cs="Times New Roman"/>
                <w:sz w:val="24"/>
                <w:szCs w:val="24"/>
              </w:rPr>
              <w:t>0</w:t>
            </w:r>
            <w:r w:rsidRPr="00890B9A">
              <w:rPr>
                <w:rFonts w:ascii="Times New Roman" w:eastAsia="Times New Roman" w:hAnsi="Times New Roman" w:cs="Times New Roman"/>
                <w:sz w:val="24"/>
                <w:szCs w:val="24"/>
              </w:rPr>
              <w:t>E-06</w:t>
            </w:r>
          </w:p>
        </w:tc>
        <w:tc>
          <w:tcPr>
            <w:tcW w:w="1545" w:type="dxa"/>
          </w:tcPr>
          <w:p w14:paraId="7B7A62F5" w14:textId="078B0C95" w:rsidR="00685D34" w:rsidRPr="00890B9A" w:rsidRDefault="00890B9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6.9E-06</w:t>
            </w:r>
          </w:p>
        </w:tc>
        <w:tc>
          <w:tcPr>
            <w:tcW w:w="1170" w:type="dxa"/>
          </w:tcPr>
          <w:p w14:paraId="2133534E" w14:textId="6E743857" w:rsidR="00685D34" w:rsidRPr="00890B9A" w:rsidRDefault="009748DA" w:rsidP="009748DA">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3.2E-0</w:t>
            </w:r>
            <w:r w:rsidR="003D0F20" w:rsidRPr="00890B9A">
              <w:rPr>
                <w:rFonts w:ascii="Times New Roman" w:hAnsi="Times New Roman" w:cs="Times New Roman"/>
                <w:color w:val="000000"/>
                <w:sz w:val="24"/>
                <w:szCs w:val="24"/>
              </w:rPr>
              <w:t>6</w:t>
            </w:r>
          </w:p>
        </w:tc>
        <w:tc>
          <w:tcPr>
            <w:tcW w:w="1350" w:type="dxa"/>
          </w:tcPr>
          <w:p w14:paraId="490FAC61" w14:textId="27017B5E" w:rsidR="00685D34" w:rsidRPr="00890B9A" w:rsidRDefault="009748DA" w:rsidP="009748DA">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3.2E-0</w:t>
            </w:r>
            <w:r w:rsidR="003D0F20" w:rsidRPr="00890B9A">
              <w:rPr>
                <w:rFonts w:ascii="Times New Roman" w:hAnsi="Times New Roman" w:cs="Times New Roman"/>
                <w:color w:val="000000"/>
                <w:sz w:val="24"/>
                <w:szCs w:val="24"/>
              </w:rPr>
              <w:t>6</w:t>
            </w:r>
          </w:p>
        </w:tc>
      </w:tr>
      <w:tr w:rsidR="003D0F20" w:rsidRPr="00890B9A" w14:paraId="33CB3161" w14:textId="77777777" w:rsidTr="00F729EB">
        <w:trPr>
          <w:trHeight w:val="397"/>
          <w:jc w:val="center"/>
        </w:trPr>
        <w:tc>
          <w:tcPr>
            <w:tcW w:w="1185" w:type="dxa"/>
          </w:tcPr>
          <w:p w14:paraId="48ED6934" w14:textId="77777777"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Cd</w:t>
            </w:r>
          </w:p>
        </w:tc>
        <w:tc>
          <w:tcPr>
            <w:tcW w:w="1455" w:type="dxa"/>
          </w:tcPr>
          <w:p w14:paraId="56E9CC93" w14:textId="09624849" w:rsidR="003D0F20" w:rsidRPr="00890B9A" w:rsidRDefault="003F41CE"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6.3</w:t>
            </w:r>
            <w:r w:rsidR="003D0F20" w:rsidRPr="00890B9A">
              <w:rPr>
                <w:rFonts w:ascii="Times New Roman" w:eastAsia="Times New Roman" w:hAnsi="Times New Roman" w:cs="Times New Roman"/>
                <w:sz w:val="24"/>
                <w:szCs w:val="24"/>
              </w:rPr>
              <w:t>E-05</w:t>
            </w:r>
          </w:p>
        </w:tc>
        <w:tc>
          <w:tcPr>
            <w:tcW w:w="1500" w:type="dxa"/>
          </w:tcPr>
          <w:p w14:paraId="625A17B0" w14:textId="35858888" w:rsidR="003D0F20" w:rsidRPr="00890B9A" w:rsidRDefault="003F41CE"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6.3</w:t>
            </w:r>
            <w:r w:rsidR="003D0F20" w:rsidRPr="00890B9A">
              <w:rPr>
                <w:rFonts w:ascii="Times New Roman" w:eastAsia="Times New Roman" w:hAnsi="Times New Roman" w:cs="Times New Roman"/>
                <w:sz w:val="24"/>
                <w:szCs w:val="24"/>
              </w:rPr>
              <w:t>E-05</w:t>
            </w:r>
          </w:p>
        </w:tc>
        <w:tc>
          <w:tcPr>
            <w:tcW w:w="1215" w:type="dxa"/>
          </w:tcPr>
          <w:p w14:paraId="354BB78B" w14:textId="2FD8B4D3"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2</w:t>
            </w:r>
            <w:r w:rsidR="00890B9A" w:rsidRPr="00890B9A">
              <w:rPr>
                <w:rFonts w:ascii="Times New Roman" w:eastAsia="Times New Roman" w:hAnsi="Times New Roman" w:cs="Times New Roman"/>
                <w:sz w:val="24"/>
                <w:szCs w:val="24"/>
              </w:rPr>
              <w:t>.1</w:t>
            </w:r>
            <w:r w:rsidRPr="00890B9A">
              <w:rPr>
                <w:rFonts w:ascii="Times New Roman" w:eastAsia="Times New Roman" w:hAnsi="Times New Roman" w:cs="Times New Roman"/>
                <w:sz w:val="24"/>
                <w:szCs w:val="24"/>
              </w:rPr>
              <w:t>E-06</w:t>
            </w:r>
          </w:p>
        </w:tc>
        <w:tc>
          <w:tcPr>
            <w:tcW w:w="1545" w:type="dxa"/>
          </w:tcPr>
          <w:p w14:paraId="34CD2BF5" w14:textId="1CF28A16"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2</w:t>
            </w:r>
            <w:r w:rsidR="00890B9A" w:rsidRPr="00890B9A">
              <w:rPr>
                <w:rFonts w:ascii="Times New Roman" w:eastAsia="Times New Roman" w:hAnsi="Times New Roman" w:cs="Times New Roman"/>
                <w:sz w:val="24"/>
                <w:szCs w:val="24"/>
              </w:rPr>
              <w:t>.1</w:t>
            </w:r>
            <w:r w:rsidRPr="00890B9A">
              <w:rPr>
                <w:rFonts w:ascii="Times New Roman" w:eastAsia="Times New Roman" w:hAnsi="Times New Roman" w:cs="Times New Roman"/>
                <w:sz w:val="24"/>
                <w:szCs w:val="24"/>
              </w:rPr>
              <w:t>E-06</w:t>
            </w:r>
          </w:p>
        </w:tc>
        <w:tc>
          <w:tcPr>
            <w:tcW w:w="1170" w:type="dxa"/>
            <w:vAlign w:val="bottom"/>
          </w:tcPr>
          <w:p w14:paraId="3E1C3563" w14:textId="20A4E68D"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5.4E-07</w:t>
            </w:r>
          </w:p>
        </w:tc>
        <w:tc>
          <w:tcPr>
            <w:tcW w:w="1350" w:type="dxa"/>
            <w:vAlign w:val="bottom"/>
          </w:tcPr>
          <w:p w14:paraId="5B38F992" w14:textId="79BC6A52"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5.5E-07</w:t>
            </w:r>
          </w:p>
        </w:tc>
      </w:tr>
      <w:tr w:rsidR="00890B9A" w:rsidRPr="00890B9A" w14:paraId="3CB4ACE3" w14:textId="77777777" w:rsidTr="00613F50">
        <w:trPr>
          <w:trHeight w:val="397"/>
          <w:jc w:val="center"/>
        </w:trPr>
        <w:tc>
          <w:tcPr>
            <w:tcW w:w="1185" w:type="dxa"/>
          </w:tcPr>
          <w:p w14:paraId="153219D4" w14:textId="77777777" w:rsidR="00890B9A" w:rsidRPr="00890B9A" w:rsidRDefault="00890B9A" w:rsidP="00890B9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As</w:t>
            </w:r>
          </w:p>
        </w:tc>
        <w:tc>
          <w:tcPr>
            <w:tcW w:w="1455" w:type="dxa"/>
          </w:tcPr>
          <w:p w14:paraId="3E158759" w14:textId="0F5E4450" w:rsidR="00890B9A" w:rsidRPr="00890B9A" w:rsidRDefault="00890B9A" w:rsidP="00890B9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1.6E-06</w:t>
            </w:r>
          </w:p>
        </w:tc>
        <w:tc>
          <w:tcPr>
            <w:tcW w:w="1500" w:type="dxa"/>
          </w:tcPr>
          <w:p w14:paraId="5AF6370C" w14:textId="473983FE" w:rsidR="00890B9A" w:rsidRPr="00890B9A" w:rsidRDefault="00890B9A" w:rsidP="00890B9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1.6E-06</w:t>
            </w:r>
          </w:p>
        </w:tc>
        <w:tc>
          <w:tcPr>
            <w:tcW w:w="1215" w:type="dxa"/>
          </w:tcPr>
          <w:p w14:paraId="32AABFC5" w14:textId="4EE4AB7C" w:rsidR="00890B9A" w:rsidRPr="00890B9A" w:rsidRDefault="00890B9A" w:rsidP="00890B9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2.7E-06</w:t>
            </w:r>
          </w:p>
        </w:tc>
        <w:tc>
          <w:tcPr>
            <w:tcW w:w="1545" w:type="dxa"/>
          </w:tcPr>
          <w:p w14:paraId="5B8BBE6F" w14:textId="76C2E5A3" w:rsidR="00890B9A" w:rsidRPr="00890B9A" w:rsidRDefault="00890B9A" w:rsidP="00890B9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2.6E-06</w:t>
            </w:r>
          </w:p>
        </w:tc>
        <w:tc>
          <w:tcPr>
            <w:tcW w:w="1170" w:type="dxa"/>
            <w:vAlign w:val="bottom"/>
          </w:tcPr>
          <w:p w14:paraId="1B15884F" w14:textId="1973E9A5" w:rsidR="00890B9A" w:rsidRPr="00890B9A" w:rsidRDefault="00890B9A" w:rsidP="00890B9A">
            <w:pPr>
              <w:spacing w:line="276"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2.1E-06</w:t>
            </w:r>
          </w:p>
        </w:tc>
        <w:tc>
          <w:tcPr>
            <w:tcW w:w="1350" w:type="dxa"/>
            <w:vAlign w:val="bottom"/>
          </w:tcPr>
          <w:p w14:paraId="241B0C54" w14:textId="0ED71857" w:rsidR="00890B9A" w:rsidRPr="00890B9A" w:rsidRDefault="00890B9A" w:rsidP="00890B9A">
            <w:pPr>
              <w:spacing w:line="276"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2.1E-06</w:t>
            </w:r>
          </w:p>
        </w:tc>
      </w:tr>
      <w:tr w:rsidR="003D0F20" w:rsidRPr="00890B9A" w14:paraId="08D21138" w14:textId="77777777" w:rsidTr="00432657">
        <w:trPr>
          <w:trHeight w:val="397"/>
          <w:jc w:val="center"/>
        </w:trPr>
        <w:tc>
          <w:tcPr>
            <w:tcW w:w="1185" w:type="dxa"/>
          </w:tcPr>
          <w:p w14:paraId="7A59470B" w14:textId="77777777"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Zn</w:t>
            </w:r>
          </w:p>
        </w:tc>
        <w:tc>
          <w:tcPr>
            <w:tcW w:w="1455" w:type="dxa"/>
          </w:tcPr>
          <w:p w14:paraId="4E07753E" w14:textId="298A0E73"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3.</w:t>
            </w:r>
            <w:r w:rsidR="003F41CE" w:rsidRPr="00890B9A">
              <w:rPr>
                <w:rFonts w:ascii="Times New Roman" w:eastAsia="Times New Roman" w:hAnsi="Times New Roman" w:cs="Times New Roman"/>
                <w:sz w:val="24"/>
                <w:szCs w:val="24"/>
              </w:rPr>
              <w:t>2</w:t>
            </w:r>
            <w:r w:rsidRPr="00890B9A">
              <w:rPr>
                <w:rFonts w:ascii="Times New Roman" w:eastAsia="Times New Roman" w:hAnsi="Times New Roman" w:cs="Times New Roman"/>
                <w:sz w:val="24"/>
                <w:szCs w:val="24"/>
              </w:rPr>
              <w:t>E-08</w:t>
            </w:r>
          </w:p>
        </w:tc>
        <w:tc>
          <w:tcPr>
            <w:tcW w:w="1500" w:type="dxa"/>
          </w:tcPr>
          <w:p w14:paraId="0F29BC4B" w14:textId="67F0DDCF"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3.</w:t>
            </w:r>
            <w:r w:rsidR="003F41CE" w:rsidRPr="00890B9A">
              <w:rPr>
                <w:rFonts w:ascii="Times New Roman" w:eastAsia="Times New Roman" w:hAnsi="Times New Roman" w:cs="Times New Roman"/>
                <w:sz w:val="24"/>
                <w:szCs w:val="24"/>
              </w:rPr>
              <w:t>2</w:t>
            </w:r>
            <w:r w:rsidRPr="00890B9A">
              <w:rPr>
                <w:rFonts w:ascii="Times New Roman" w:eastAsia="Times New Roman" w:hAnsi="Times New Roman" w:cs="Times New Roman"/>
                <w:sz w:val="24"/>
                <w:szCs w:val="24"/>
              </w:rPr>
              <w:t>E-08</w:t>
            </w:r>
          </w:p>
        </w:tc>
        <w:tc>
          <w:tcPr>
            <w:tcW w:w="1215" w:type="dxa"/>
          </w:tcPr>
          <w:p w14:paraId="4F294AE2" w14:textId="0122D5D5"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4.</w:t>
            </w:r>
            <w:r w:rsidR="00890B9A" w:rsidRPr="00890B9A">
              <w:rPr>
                <w:rFonts w:ascii="Times New Roman" w:eastAsia="Times New Roman" w:hAnsi="Times New Roman" w:cs="Times New Roman"/>
                <w:sz w:val="24"/>
                <w:szCs w:val="24"/>
              </w:rPr>
              <w:t>2</w:t>
            </w:r>
            <w:r w:rsidRPr="00890B9A">
              <w:rPr>
                <w:rFonts w:ascii="Times New Roman" w:eastAsia="Times New Roman" w:hAnsi="Times New Roman" w:cs="Times New Roman"/>
                <w:sz w:val="24"/>
                <w:szCs w:val="24"/>
              </w:rPr>
              <w:t>E-08</w:t>
            </w:r>
          </w:p>
        </w:tc>
        <w:tc>
          <w:tcPr>
            <w:tcW w:w="1545" w:type="dxa"/>
          </w:tcPr>
          <w:p w14:paraId="7E2A9E6F" w14:textId="77777777"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4.3E-08</w:t>
            </w:r>
          </w:p>
        </w:tc>
        <w:tc>
          <w:tcPr>
            <w:tcW w:w="1170" w:type="dxa"/>
            <w:vAlign w:val="bottom"/>
          </w:tcPr>
          <w:p w14:paraId="440CFC77" w14:textId="2EF8326D"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2.68E-08</w:t>
            </w:r>
          </w:p>
        </w:tc>
        <w:tc>
          <w:tcPr>
            <w:tcW w:w="1350" w:type="dxa"/>
            <w:vAlign w:val="bottom"/>
          </w:tcPr>
          <w:p w14:paraId="413E29B0" w14:textId="332DA9DF" w:rsidR="003D0F20" w:rsidRPr="00890B9A" w:rsidRDefault="003D0F20" w:rsidP="003D0F20">
            <w:pPr>
              <w:spacing w:line="276"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2.71E-08</w:t>
            </w:r>
          </w:p>
        </w:tc>
      </w:tr>
      <w:tr w:rsidR="00685D34" w:rsidRPr="00890B9A" w14:paraId="56A88E2B" w14:textId="77777777">
        <w:trPr>
          <w:trHeight w:val="397"/>
          <w:jc w:val="center"/>
        </w:trPr>
        <w:tc>
          <w:tcPr>
            <w:tcW w:w="1185" w:type="dxa"/>
          </w:tcPr>
          <w:p w14:paraId="7DEB415F"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HI</w:t>
            </w:r>
          </w:p>
        </w:tc>
        <w:tc>
          <w:tcPr>
            <w:tcW w:w="1455" w:type="dxa"/>
          </w:tcPr>
          <w:p w14:paraId="4537C3E9" w14:textId="53D1261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3.</w:t>
            </w:r>
            <w:r w:rsidR="003F41CE" w:rsidRPr="00890B9A">
              <w:rPr>
                <w:rFonts w:ascii="Times New Roman" w:eastAsia="Times New Roman" w:hAnsi="Times New Roman" w:cs="Times New Roman"/>
                <w:b/>
                <w:sz w:val="24"/>
                <w:szCs w:val="24"/>
              </w:rPr>
              <w:t>4</w:t>
            </w:r>
            <w:r w:rsidRPr="00890B9A">
              <w:rPr>
                <w:rFonts w:ascii="Times New Roman" w:eastAsia="Times New Roman" w:hAnsi="Times New Roman" w:cs="Times New Roman"/>
                <w:b/>
                <w:sz w:val="24"/>
                <w:szCs w:val="24"/>
              </w:rPr>
              <w:t>E-04</w:t>
            </w:r>
          </w:p>
        </w:tc>
        <w:tc>
          <w:tcPr>
            <w:tcW w:w="1500" w:type="dxa"/>
          </w:tcPr>
          <w:p w14:paraId="076398CA" w14:textId="7021E41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3.</w:t>
            </w:r>
            <w:r w:rsidR="003F41CE" w:rsidRPr="00890B9A">
              <w:rPr>
                <w:rFonts w:ascii="Times New Roman" w:eastAsia="Times New Roman" w:hAnsi="Times New Roman" w:cs="Times New Roman"/>
                <w:b/>
                <w:sz w:val="24"/>
                <w:szCs w:val="24"/>
              </w:rPr>
              <w:t>4</w:t>
            </w:r>
            <w:r w:rsidRPr="00890B9A">
              <w:rPr>
                <w:rFonts w:ascii="Times New Roman" w:eastAsia="Times New Roman" w:hAnsi="Times New Roman" w:cs="Times New Roman"/>
                <w:b/>
                <w:sz w:val="24"/>
                <w:szCs w:val="24"/>
              </w:rPr>
              <w:t>E-04</w:t>
            </w:r>
          </w:p>
        </w:tc>
        <w:tc>
          <w:tcPr>
            <w:tcW w:w="1215" w:type="dxa"/>
          </w:tcPr>
          <w:p w14:paraId="12E93A61" w14:textId="3E28E230" w:rsidR="00685D34" w:rsidRPr="00890B9A" w:rsidRDefault="00890B9A">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1.6E-05</w:t>
            </w:r>
          </w:p>
        </w:tc>
        <w:tc>
          <w:tcPr>
            <w:tcW w:w="1545" w:type="dxa"/>
          </w:tcPr>
          <w:p w14:paraId="1871492C" w14:textId="40A767AB" w:rsidR="00685D34" w:rsidRPr="00890B9A" w:rsidRDefault="00890B9A">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1.6E-05</w:t>
            </w:r>
          </w:p>
        </w:tc>
        <w:tc>
          <w:tcPr>
            <w:tcW w:w="1170" w:type="dxa"/>
          </w:tcPr>
          <w:p w14:paraId="4D10DDB9" w14:textId="2DEA781D" w:rsidR="00685D34" w:rsidRPr="00890B9A" w:rsidRDefault="003D0F20" w:rsidP="003D0F20">
            <w:pPr>
              <w:jc w:val="center"/>
              <w:rPr>
                <w:rFonts w:ascii="Times New Roman" w:hAnsi="Times New Roman" w:cs="Times New Roman"/>
                <w:b/>
                <w:bCs/>
                <w:color w:val="000000"/>
                <w:sz w:val="24"/>
                <w:szCs w:val="24"/>
              </w:rPr>
            </w:pPr>
            <w:r w:rsidRPr="00890B9A">
              <w:rPr>
                <w:rFonts w:ascii="Times New Roman" w:hAnsi="Times New Roman" w:cs="Times New Roman"/>
                <w:b/>
                <w:bCs/>
                <w:color w:val="000000"/>
                <w:sz w:val="24"/>
                <w:szCs w:val="24"/>
              </w:rPr>
              <w:t>9.9E-06</w:t>
            </w:r>
          </w:p>
        </w:tc>
        <w:tc>
          <w:tcPr>
            <w:tcW w:w="1350" w:type="dxa"/>
          </w:tcPr>
          <w:p w14:paraId="1B16D9A7" w14:textId="78D8ADBF" w:rsidR="00685D34" w:rsidRPr="00890B9A" w:rsidRDefault="003D0F20" w:rsidP="003D0F20">
            <w:pPr>
              <w:jc w:val="center"/>
              <w:rPr>
                <w:rFonts w:ascii="Times New Roman" w:hAnsi="Times New Roman" w:cs="Times New Roman"/>
                <w:b/>
                <w:bCs/>
                <w:color w:val="000000"/>
                <w:sz w:val="24"/>
                <w:szCs w:val="24"/>
              </w:rPr>
            </w:pPr>
            <w:r w:rsidRPr="00890B9A">
              <w:rPr>
                <w:rFonts w:ascii="Times New Roman" w:hAnsi="Times New Roman" w:cs="Times New Roman"/>
                <w:b/>
                <w:bCs/>
                <w:color w:val="000000"/>
                <w:sz w:val="24"/>
                <w:szCs w:val="24"/>
              </w:rPr>
              <w:t>9.9E-06</w:t>
            </w:r>
          </w:p>
        </w:tc>
      </w:tr>
      <w:tr w:rsidR="00685D34" w:rsidRPr="00890B9A" w14:paraId="3DE2E159" w14:textId="77777777">
        <w:trPr>
          <w:trHeight w:val="397"/>
          <w:jc w:val="center"/>
        </w:trPr>
        <w:tc>
          <w:tcPr>
            <w:tcW w:w="9420" w:type="dxa"/>
            <w:gridSpan w:val="7"/>
            <w:shd w:val="clear" w:color="auto" w:fill="F2F2F2"/>
          </w:tcPr>
          <w:p w14:paraId="1B62F1CC" w14:textId="77777777" w:rsidR="00685D34" w:rsidRPr="00890B9A" w:rsidRDefault="00000000">
            <w:pPr>
              <w:spacing w:line="276" w:lineRule="auto"/>
              <w:jc w:val="center"/>
              <w:rPr>
                <w:rFonts w:ascii="Times New Roman" w:eastAsia="Times New Roman" w:hAnsi="Times New Roman" w:cs="Times New Roman"/>
                <w:b/>
                <w:sz w:val="24"/>
                <w:szCs w:val="24"/>
                <w:u w:val="single"/>
              </w:rPr>
            </w:pPr>
            <w:r w:rsidRPr="00890B9A">
              <w:rPr>
                <w:rFonts w:ascii="Times New Roman" w:eastAsia="Times New Roman" w:hAnsi="Times New Roman" w:cs="Times New Roman"/>
                <w:b/>
                <w:sz w:val="24"/>
                <w:szCs w:val="24"/>
                <w:u w:val="single"/>
              </w:rPr>
              <w:t>Cancer Risk for DAD</w:t>
            </w:r>
          </w:p>
        </w:tc>
      </w:tr>
      <w:tr w:rsidR="00685D34" w:rsidRPr="00890B9A" w14:paraId="29A48E71" w14:textId="77777777">
        <w:trPr>
          <w:trHeight w:val="397"/>
          <w:jc w:val="center"/>
        </w:trPr>
        <w:tc>
          <w:tcPr>
            <w:tcW w:w="1185" w:type="dxa"/>
          </w:tcPr>
          <w:p w14:paraId="43EBDCB0"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Metals</w:t>
            </w:r>
          </w:p>
        </w:tc>
        <w:tc>
          <w:tcPr>
            <w:tcW w:w="2955" w:type="dxa"/>
            <w:gridSpan w:val="2"/>
          </w:tcPr>
          <w:p w14:paraId="4A7E1F1C" w14:textId="77777777" w:rsidR="00685D34" w:rsidRPr="00890B9A" w:rsidRDefault="00000000">
            <w:pPr>
              <w:spacing w:line="276" w:lineRule="auto"/>
              <w:jc w:val="center"/>
              <w:rPr>
                <w:rFonts w:ascii="Times New Roman" w:eastAsia="Times New Roman" w:hAnsi="Times New Roman" w:cs="Times New Roman"/>
                <w:sz w:val="24"/>
                <w:szCs w:val="24"/>
              </w:rPr>
            </w:pPr>
            <w:proofErr w:type="spellStart"/>
            <w:r w:rsidRPr="00890B9A">
              <w:rPr>
                <w:rFonts w:ascii="Times New Roman" w:eastAsia="Times New Roman" w:hAnsi="Times New Roman" w:cs="Times New Roman"/>
                <w:b/>
                <w:sz w:val="24"/>
                <w:szCs w:val="24"/>
              </w:rPr>
              <w:t>Sakinaka</w:t>
            </w:r>
            <w:proofErr w:type="spellEnd"/>
            <w:r w:rsidRPr="00890B9A">
              <w:rPr>
                <w:rFonts w:ascii="Times New Roman" w:eastAsia="Times New Roman" w:hAnsi="Times New Roman" w:cs="Times New Roman"/>
                <w:b/>
                <w:sz w:val="24"/>
                <w:szCs w:val="24"/>
              </w:rPr>
              <w:t xml:space="preserve"> Junction</w:t>
            </w:r>
          </w:p>
        </w:tc>
        <w:tc>
          <w:tcPr>
            <w:tcW w:w="2760" w:type="dxa"/>
            <w:gridSpan w:val="2"/>
          </w:tcPr>
          <w:p w14:paraId="637C4079"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YP-Gate</w:t>
            </w:r>
          </w:p>
        </w:tc>
        <w:tc>
          <w:tcPr>
            <w:tcW w:w="2520" w:type="dxa"/>
            <w:gridSpan w:val="2"/>
          </w:tcPr>
          <w:p w14:paraId="30C250DA"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HP</w:t>
            </w:r>
          </w:p>
        </w:tc>
      </w:tr>
      <w:tr w:rsidR="00685D34" w:rsidRPr="00890B9A" w14:paraId="7C1FC7A3" w14:textId="77777777">
        <w:trPr>
          <w:trHeight w:val="397"/>
          <w:jc w:val="center"/>
        </w:trPr>
        <w:tc>
          <w:tcPr>
            <w:tcW w:w="1185" w:type="dxa"/>
          </w:tcPr>
          <w:p w14:paraId="28F95753" w14:textId="77777777" w:rsidR="00685D34" w:rsidRPr="00890B9A" w:rsidRDefault="00685D34">
            <w:pPr>
              <w:spacing w:line="276" w:lineRule="auto"/>
              <w:jc w:val="center"/>
              <w:rPr>
                <w:rFonts w:ascii="Times New Roman" w:eastAsia="Times New Roman" w:hAnsi="Times New Roman" w:cs="Times New Roman"/>
                <w:b/>
                <w:sz w:val="24"/>
                <w:szCs w:val="24"/>
              </w:rPr>
            </w:pPr>
          </w:p>
        </w:tc>
        <w:tc>
          <w:tcPr>
            <w:tcW w:w="1455" w:type="dxa"/>
          </w:tcPr>
          <w:p w14:paraId="0097CF91"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CR (Adult)</w:t>
            </w:r>
          </w:p>
        </w:tc>
        <w:tc>
          <w:tcPr>
            <w:tcW w:w="1500" w:type="dxa"/>
          </w:tcPr>
          <w:p w14:paraId="5B029AEE"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CR (Children)</w:t>
            </w:r>
          </w:p>
        </w:tc>
        <w:tc>
          <w:tcPr>
            <w:tcW w:w="1215" w:type="dxa"/>
          </w:tcPr>
          <w:p w14:paraId="0DFE9194"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CR (Adult)</w:t>
            </w:r>
          </w:p>
        </w:tc>
        <w:tc>
          <w:tcPr>
            <w:tcW w:w="1545" w:type="dxa"/>
          </w:tcPr>
          <w:p w14:paraId="7A239608"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CR (Children)</w:t>
            </w:r>
          </w:p>
        </w:tc>
        <w:tc>
          <w:tcPr>
            <w:tcW w:w="1170" w:type="dxa"/>
          </w:tcPr>
          <w:p w14:paraId="423FA4BF"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CR (Adult)</w:t>
            </w:r>
          </w:p>
        </w:tc>
        <w:tc>
          <w:tcPr>
            <w:tcW w:w="1350" w:type="dxa"/>
          </w:tcPr>
          <w:p w14:paraId="1EA00656"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CR (Children)</w:t>
            </w:r>
          </w:p>
        </w:tc>
      </w:tr>
      <w:tr w:rsidR="009748DA" w:rsidRPr="00890B9A" w14:paraId="29347E6A" w14:textId="77777777">
        <w:trPr>
          <w:trHeight w:val="397"/>
          <w:jc w:val="center"/>
        </w:trPr>
        <w:tc>
          <w:tcPr>
            <w:tcW w:w="1185" w:type="dxa"/>
          </w:tcPr>
          <w:p w14:paraId="6A3AB378" w14:textId="77777777" w:rsidR="009748DA" w:rsidRPr="00890B9A" w:rsidRDefault="009748DA" w:rsidP="009748D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lastRenderedPageBreak/>
              <w:t>Cr</w:t>
            </w:r>
          </w:p>
        </w:tc>
        <w:tc>
          <w:tcPr>
            <w:tcW w:w="1455" w:type="dxa"/>
          </w:tcPr>
          <w:p w14:paraId="6903FB27" w14:textId="1018F532" w:rsidR="009748DA" w:rsidRPr="00890B9A" w:rsidRDefault="009748DA" w:rsidP="009748D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4.</w:t>
            </w:r>
            <w:r w:rsidR="003F41CE" w:rsidRPr="00890B9A">
              <w:rPr>
                <w:rFonts w:ascii="Times New Roman" w:eastAsia="Times New Roman" w:hAnsi="Times New Roman" w:cs="Times New Roman"/>
                <w:sz w:val="24"/>
                <w:szCs w:val="24"/>
              </w:rPr>
              <w:t>5</w:t>
            </w:r>
            <w:r w:rsidRPr="00890B9A">
              <w:rPr>
                <w:rFonts w:ascii="Times New Roman" w:eastAsia="Times New Roman" w:hAnsi="Times New Roman" w:cs="Times New Roman"/>
                <w:sz w:val="24"/>
                <w:szCs w:val="24"/>
              </w:rPr>
              <w:t>E-07</w:t>
            </w:r>
          </w:p>
        </w:tc>
        <w:tc>
          <w:tcPr>
            <w:tcW w:w="1500" w:type="dxa"/>
          </w:tcPr>
          <w:p w14:paraId="58C6EAF9" w14:textId="4A632476" w:rsidR="009748DA" w:rsidRPr="00890B9A" w:rsidRDefault="009748DA" w:rsidP="009748D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4.</w:t>
            </w:r>
            <w:r w:rsidR="003F41CE" w:rsidRPr="00890B9A">
              <w:rPr>
                <w:rFonts w:ascii="Times New Roman" w:eastAsia="Times New Roman" w:hAnsi="Times New Roman" w:cs="Times New Roman"/>
                <w:sz w:val="24"/>
                <w:szCs w:val="24"/>
              </w:rPr>
              <w:t>4</w:t>
            </w:r>
            <w:r w:rsidRPr="00890B9A">
              <w:rPr>
                <w:rFonts w:ascii="Times New Roman" w:eastAsia="Times New Roman" w:hAnsi="Times New Roman" w:cs="Times New Roman"/>
                <w:sz w:val="24"/>
                <w:szCs w:val="24"/>
              </w:rPr>
              <w:t>E-07</w:t>
            </w:r>
          </w:p>
        </w:tc>
        <w:tc>
          <w:tcPr>
            <w:tcW w:w="1215" w:type="dxa"/>
          </w:tcPr>
          <w:p w14:paraId="62312A32" w14:textId="77777777" w:rsidR="009748DA" w:rsidRPr="00890B9A" w:rsidRDefault="009748DA" w:rsidP="009748D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6.4E-09</w:t>
            </w:r>
          </w:p>
        </w:tc>
        <w:tc>
          <w:tcPr>
            <w:tcW w:w="1545" w:type="dxa"/>
          </w:tcPr>
          <w:p w14:paraId="132CB4E8" w14:textId="77777777" w:rsidR="009748DA" w:rsidRPr="00890B9A" w:rsidRDefault="009748DA" w:rsidP="009748D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6.3E-09</w:t>
            </w:r>
          </w:p>
        </w:tc>
        <w:tc>
          <w:tcPr>
            <w:tcW w:w="1170" w:type="dxa"/>
          </w:tcPr>
          <w:p w14:paraId="3524DB9C" w14:textId="417087FB" w:rsidR="009748DA" w:rsidRPr="00890B9A" w:rsidRDefault="009748DA" w:rsidP="009748DA">
            <w:pPr>
              <w:spacing w:line="276" w:lineRule="auto"/>
              <w:jc w:val="center"/>
              <w:rPr>
                <w:rFonts w:ascii="Times New Roman" w:eastAsia="Times New Roman" w:hAnsi="Times New Roman" w:cs="Times New Roman"/>
                <w:b/>
                <w:sz w:val="24"/>
                <w:szCs w:val="24"/>
              </w:rPr>
            </w:pPr>
            <w:r w:rsidRPr="00890B9A">
              <w:rPr>
                <w:rFonts w:ascii="Times New Roman" w:hAnsi="Times New Roman" w:cs="Times New Roman"/>
                <w:color w:val="000000"/>
                <w:sz w:val="24"/>
                <w:szCs w:val="24"/>
              </w:rPr>
              <w:t>6.0E-09</w:t>
            </w:r>
          </w:p>
        </w:tc>
        <w:tc>
          <w:tcPr>
            <w:tcW w:w="1350" w:type="dxa"/>
          </w:tcPr>
          <w:p w14:paraId="6209B368" w14:textId="276299BE" w:rsidR="009748DA" w:rsidRPr="00890B9A" w:rsidRDefault="009748DA" w:rsidP="009748DA">
            <w:pPr>
              <w:spacing w:line="276" w:lineRule="auto"/>
              <w:jc w:val="center"/>
              <w:rPr>
                <w:rFonts w:ascii="Times New Roman" w:eastAsia="Times New Roman" w:hAnsi="Times New Roman" w:cs="Times New Roman"/>
                <w:b/>
                <w:sz w:val="24"/>
                <w:szCs w:val="24"/>
              </w:rPr>
            </w:pPr>
            <w:r w:rsidRPr="00890B9A">
              <w:rPr>
                <w:rFonts w:ascii="Times New Roman" w:hAnsi="Times New Roman" w:cs="Times New Roman"/>
                <w:color w:val="000000"/>
                <w:sz w:val="24"/>
                <w:szCs w:val="24"/>
              </w:rPr>
              <w:t>6.0E-09</w:t>
            </w:r>
          </w:p>
        </w:tc>
      </w:tr>
      <w:tr w:rsidR="009748DA" w:rsidRPr="00890B9A" w14:paraId="0026C145" w14:textId="77777777">
        <w:trPr>
          <w:trHeight w:val="397"/>
          <w:jc w:val="center"/>
        </w:trPr>
        <w:tc>
          <w:tcPr>
            <w:tcW w:w="1185" w:type="dxa"/>
          </w:tcPr>
          <w:p w14:paraId="5DE275FB" w14:textId="77777777" w:rsidR="009748DA" w:rsidRPr="00890B9A" w:rsidRDefault="009748DA" w:rsidP="009748D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Pb</w:t>
            </w:r>
          </w:p>
        </w:tc>
        <w:tc>
          <w:tcPr>
            <w:tcW w:w="1455" w:type="dxa"/>
          </w:tcPr>
          <w:p w14:paraId="53D51757" w14:textId="7A1516EC" w:rsidR="009748DA" w:rsidRPr="00890B9A" w:rsidRDefault="003F41CE" w:rsidP="009748D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1.9E-07</w:t>
            </w:r>
          </w:p>
        </w:tc>
        <w:tc>
          <w:tcPr>
            <w:tcW w:w="1500" w:type="dxa"/>
          </w:tcPr>
          <w:p w14:paraId="30ED59CB" w14:textId="65F76A40" w:rsidR="009748DA" w:rsidRPr="00890B9A" w:rsidRDefault="003F41CE" w:rsidP="009748D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1.9</w:t>
            </w:r>
            <w:r w:rsidR="009748DA" w:rsidRPr="00890B9A">
              <w:rPr>
                <w:rFonts w:ascii="Times New Roman" w:eastAsia="Times New Roman" w:hAnsi="Times New Roman" w:cs="Times New Roman"/>
                <w:sz w:val="24"/>
                <w:szCs w:val="24"/>
              </w:rPr>
              <w:t>E-07</w:t>
            </w:r>
          </w:p>
        </w:tc>
        <w:tc>
          <w:tcPr>
            <w:tcW w:w="1215" w:type="dxa"/>
          </w:tcPr>
          <w:p w14:paraId="1C9A9DE2" w14:textId="20C59122" w:rsidR="009748DA" w:rsidRPr="00890B9A" w:rsidRDefault="009748DA" w:rsidP="009748D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7.</w:t>
            </w:r>
            <w:r w:rsidR="00890B9A" w:rsidRPr="00890B9A">
              <w:rPr>
                <w:rFonts w:ascii="Times New Roman" w:eastAsia="Times New Roman" w:hAnsi="Times New Roman" w:cs="Times New Roman"/>
                <w:sz w:val="24"/>
                <w:szCs w:val="24"/>
              </w:rPr>
              <w:t>0</w:t>
            </w:r>
            <w:r w:rsidRPr="00890B9A">
              <w:rPr>
                <w:rFonts w:ascii="Times New Roman" w:eastAsia="Times New Roman" w:hAnsi="Times New Roman" w:cs="Times New Roman"/>
                <w:sz w:val="24"/>
                <w:szCs w:val="24"/>
              </w:rPr>
              <w:t>E-08</w:t>
            </w:r>
          </w:p>
        </w:tc>
        <w:tc>
          <w:tcPr>
            <w:tcW w:w="1545" w:type="dxa"/>
          </w:tcPr>
          <w:p w14:paraId="72A7B879" w14:textId="3F7DE2F0" w:rsidR="009748DA" w:rsidRPr="00890B9A" w:rsidRDefault="00890B9A" w:rsidP="009748DA">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6.9</w:t>
            </w:r>
            <w:r w:rsidR="009748DA" w:rsidRPr="00890B9A">
              <w:rPr>
                <w:rFonts w:ascii="Times New Roman" w:eastAsia="Times New Roman" w:hAnsi="Times New Roman" w:cs="Times New Roman"/>
                <w:sz w:val="24"/>
                <w:szCs w:val="24"/>
              </w:rPr>
              <w:t>E-08</w:t>
            </w:r>
          </w:p>
        </w:tc>
        <w:tc>
          <w:tcPr>
            <w:tcW w:w="1170" w:type="dxa"/>
          </w:tcPr>
          <w:p w14:paraId="275CDDD7" w14:textId="389570E9" w:rsidR="009748DA" w:rsidRPr="00890B9A" w:rsidRDefault="009748DA" w:rsidP="009748DA">
            <w:pPr>
              <w:spacing w:line="276"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3.2E-08</w:t>
            </w:r>
          </w:p>
        </w:tc>
        <w:tc>
          <w:tcPr>
            <w:tcW w:w="1350" w:type="dxa"/>
          </w:tcPr>
          <w:p w14:paraId="30B73987" w14:textId="6209DC90" w:rsidR="009748DA" w:rsidRPr="00890B9A" w:rsidRDefault="009748DA" w:rsidP="009748DA">
            <w:pPr>
              <w:spacing w:line="276"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3.2E-08</w:t>
            </w:r>
          </w:p>
        </w:tc>
      </w:tr>
      <w:tr w:rsidR="00685D34" w:rsidRPr="00890B9A" w14:paraId="294F5ED8" w14:textId="77777777">
        <w:trPr>
          <w:trHeight w:val="397"/>
          <w:jc w:val="center"/>
        </w:trPr>
        <w:tc>
          <w:tcPr>
            <w:tcW w:w="1185" w:type="dxa"/>
          </w:tcPr>
          <w:p w14:paraId="69D123A5"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As</w:t>
            </w:r>
          </w:p>
        </w:tc>
        <w:tc>
          <w:tcPr>
            <w:tcW w:w="1455" w:type="dxa"/>
          </w:tcPr>
          <w:p w14:paraId="175157E6" w14:textId="4530337D" w:rsidR="00685D34" w:rsidRPr="00890B9A" w:rsidRDefault="003F41CE">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7.2E-09</w:t>
            </w:r>
          </w:p>
        </w:tc>
        <w:tc>
          <w:tcPr>
            <w:tcW w:w="1500" w:type="dxa"/>
          </w:tcPr>
          <w:p w14:paraId="26A5C416" w14:textId="42F73BCC" w:rsidR="00685D34" w:rsidRPr="00890B9A" w:rsidRDefault="003F41CE">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7.1E-09</w:t>
            </w:r>
          </w:p>
        </w:tc>
        <w:tc>
          <w:tcPr>
            <w:tcW w:w="1215" w:type="dxa"/>
          </w:tcPr>
          <w:p w14:paraId="406035F1"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1.2E-09</w:t>
            </w:r>
          </w:p>
        </w:tc>
        <w:tc>
          <w:tcPr>
            <w:tcW w:w="1545" w:type="dxa"/>
          </w:tcPr>
          <w:p w14:paraId="46022FFF"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1.2E-09</w:t>
            </w:r>
          </w:p>
        </w:tc>
        <w:tc>
          <w:tcPr>
            <w:tcW w:w="1170" w:type="dxa"/>
          </w:tcPr>
          <w:p w14:paraId="5CF8347C" w14:textId="56871F7E" w:rsidR="00685D34" w:rsidRPr="00890B9A" w:rsidRDefault="003D0F20" w:rsidP="003D0F20">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9.6E-10</w:t>
            </w:r>
          </w:p>
        </w:tc>
        <w:tc>
          <w:tcPr>
            <w:tcW w:w="1350" w:type="dxa"/>
          </w:tcPr>
          <w:p w14:paraId="390253A3" w14:textId="24FFCCF6" w:rsidR="00685D34" w:rsidRPr="00890B9A" w:rsidRDefault="003D0F20" w:rsidP="003D0F20">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9.5E-10</w:t>
            </w:r>
          </w:p>
        </w:tc>
      </w:tr>
      <w:tr w:rsidR="00685D34" w:rsidRPr="00890B9A" w14:paraId="110E9259" w14:textId="77777777">
        <w:trPr>
          <w:trHeight w:val="397"/>
          <w:jc w:val="center"/>
        </w:trPr>
        <w:tc>
          <w:tcPr>
            <w:tcW w:w="1185" w:type="dxa"/>
          </w:tcPr>
          <w:p w14:paraId="64F65B02"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Total CR</w:t>
            </w:r>
          </w:p>
        </w:tc>
        <w:tc>
          <w:tcPr>
            <w:tcW w:w="1455" w:type="dxa"/>
          </w:tcPr>
          <w:p w14:paraId="5A0E540F" w14:textId="1C9C9B60"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6.</w:t>
            </w:r>
            <w:r w:rsidR="003F41CE" w:rsidRPr="00890B9A">
              <w:rPr>
                <w:rFonts w:ascii="Times New Roman" w:eastAsia="Times New Roman" w:hAnsi="Times New Roman" w:cs="Times New Roman"/>
                <w:b/>
                <w:sz w:val="24"/>
                <w:szCs w:val="24"/>
              </w:rPr>
              <w:t>4</w:t>
            </w:r>
            <w:r w:rsidRPr="00890B9A">
              <w:rPr>
                <w:rFonts w:ascii="Times New Roman" w:eastAsia="Times New Roman" w:hAnsi="Times New Roman" w:cs="Times New Roman"/>
                <w:b/>
                <w:sz w:val="24"/>
                <w:szCs w:val="24"/>
              </w:rPr>
              <w:t>E-07</w:t>
            </w:r>
          </w:p>
        </w:tc>
        <w:tc>
          <w:tcPr>
            <w:tcW w:w="1500" w:type="dxa"/>
          </w:tcPr>
          <w:p w14:paraId="72BBB8B6" w14:textId="339CDF3D"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6.</w:t>
            </w:r>
            <w:r w:rsidR="003F41CE" w:rsidRPr="00890B9A">
              <w:rPr>
                <w:rFonts w:ascii="Times New Roman" w:eastAsia="Times New Roman" w:hAnsi="Times New Roman" w:cs="Times New Roman"/>
                <w:b/>
                <w:sz w:val="24"/>
                <w:szCs w:val="24"/>
              </w:rPr>
              <w:t>4</w:t>
            </w:r>
            <w:r w:rsidRPr="00890B9A">
              <w:rPr>
                <w:rFonts w:ascii="Times New Roman" w:eastAsia="Times New Roman" w:hAnsi="Times New Roman" w:cs="Times New Roman"/>
                <w:b/>
                <w:sz w:val="24"/>
                <w:szCs w:val="24"/>
              </w:rPr>
              <w:t>E-07</w:t>
            </w:r>
          </w:p>
        </w:tc>
        <w:tc>
          <w:tcPr>
            <w:tcW w:w="1215" w:type="dxa"/>
          </w:tcPr>
          <w:p w14:paraId="26AA0239" w14:textId="575F97D2" w:rsidR="00685D34" w:rsidRPr="00890B9A" w:rsidRDefault="00890B9A">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7.8E-08</w:t>
            </w:r>
          </w:p>
        </w:tc>
        <w:tc>
          <w:tcPr>
            <w:tcW w:w="1545" w:type="dxa"/>
          </w:tcPr>
          <w:p w14:paraId="632411F5" w14:textId="3A3A2C5D" w:rsidR="00685D34" w:rsidRPr="00890B9A" w:rsidRDefault="00890B9A">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7.7E-08</w:t>
            </w:r>
          </w:p>
        </w:tc>
        <w:tc>
          <w:tcPr>
            <w:tcW w:w="1170" w:type="dxa"/>
          </w:tcPr>
          <w:p w14:paraId="79D1C841" w14:textId="3601B142" w:rsidR="00685D34" w:rsidRPr="00890B9A" w:rsidRDefault="003D0F20" w:rsidP="003D0F20">
            <w:pPr>
              <w:jc w:val="center"/>
              <w:rPr>
                <w:rFonts w:ascii="Times New Roman" w:hAnsi="Times New Roman" w:cs="Times New Roman"/>
                <w:b/>
                <w:bCs/>
                <w:color w:val="000000"/>
                <w:sz w:val="24"/>
                <w:szCs w:val="24"/>
              </w:rPr>
            </w:pPr>
            <w:r w:rsidRPr="00890B9A">
              <w:rPr>
                <w:rFonts w:ascii="Times New Roman" w:hAnsi="Times New Roman" w:cs="Times New Roman"/>
                <w:b/>
                <w:bCs/>
                <w:color w:val="000000"/>
                <w:sz w:val="24"/>
                <w:szCs w:val="24"/>
              </w:rPr>
              <w:t>3.9E-08</w:t>
            </w:r>
          </w:p>
        </w:tc>
        <w:tc>
          <w:tcPr>
            <w:tcW w:w="1350" w:type="dxa"/>
          </w:tcPr>
          <w:p w14:paraId="7FFC6729" w14:textId="1587E66C" w:rsidR="00685D34" w:rsidRPr="00890B9A" w:rsidRDefault="00000000">
            <w:pPr>
              <w:spacing w:after="200"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3.</w:t>
            </w:r>
            <w:r w:rsidR="003D0F20" w:rsidRPr="00890B9A">
              <w:rPr>
                <w:rFonts w:ascii="Times New Roman" w:eastAsia="Times New Roman" w:hAnsi="Times New Roman" w:cs="Times New Roman"/>
                <w:b/>
                <w:sz w:val="24"/>
                <w:szCs w:val="24"/>
              </w:rPr>
              <w:t>9</w:t>
            </w:r>
            <w:r w:rsidRPr="00890B9A">
              <w:rPr>
                <w:rFonts w:ascii="Times New Roman" w:eastAsia="Times New Roman" w:hAnsi="Times New Roman" w:cs="Times New Roman"/>
                <w:b/>
                <w:sz w:val="24"/>
                <w:szCs w:val="24"/>
              </w:rPr>
              <w:t>E-08</w:t>
            </w:r>
          </w:p>
        </w:tc>
      </w:tr>
    </w:tbl>
    <w:p w14:paraId="66906E17" w14:textId="09A21232" w:rsidR="00685D34" w:rsidRPr="00890B9A" w:rsidRDefault="00000000">
      <w:pPr>
        <w:keepNext/>
        <w:pBdr>
          <w:top w:val="nil"/>
          <w:left w:val="nil"/>
          <w:bottom w:val="nil"/>
          <w:right w:val="nil"/>
          <w:between w:val="nil"/>
        </w:pBdr>
        <w:spacing w:before="240" w:after="0" w:line="276" w:lineRule="auto"/>
        <w:rPr>
          <w:rFonts w:ascii="Times New Roman" w:eastAsia="Times New Roman" w:hAnsi="Times New Roman" w:cs="Times New Roman"/>
          <w:color w:val="000000"/>
          <w:sz w:val="24"/>
          <w:szCs w:val="24"/>
        </w:rPr>
      </w:pPr>
      <w:r w:rsidRPr="00890B9A">
        <w:rPr>
          <w:rFonts w:ascii="Times New Roman" w:eastAsia="Times New Roman" w:hAnsi="Times New Roman" w:cs="Times New Roman"/>
          <w:color w:val="000000"/>
          <w:sz w:val="24"/>
          <w:szCs w:val="24"/>
        </w:rPr>
        <w:t xml:space="preserve">Table SI </w:t>
      </w:r>
      <w:r w:rsidR="00D46DB4" w:rsidRPr="00890B9A">
        <w:rPr>
          <w:rFonts w:ascii="Times New Roman" w:eastAsia="Times New Roman" w:hAnsi="Times New Roman" w:cs="Times New Roman"/>
          <w:color w:val="000000"/>
          <w:sz w:val="24"/>
          <w:szCs w:val="24"/>
        </w:rPr>
        <w:t>8</w:t>
      </w:r>
      <w:r w:rsidRPr="00890B9A">
        <w:rPr>
          <w:rFonts w:ascii="Times New Roman" w:eastAsia="Times New Roman" w:hAnsi="Times New Roman" w:cs="Times New Roman"/>
          <w:color w:val="000000"/>
          <w:sz w:val="24"/>
          <w:szCs w:val="24"/>
        </w:rPr>
        <w:t xml:space="preserve"> Hazard and cancer risk index for </w:t>
      </w:r>
      <w:r w:rsidRPr="00890B9A">
        <w:rPr>
          <w:rFonts w:ascii="Times New Roman" w:eastAsia="Times New Roman" w:hAnsi="Times New Roman" w:cs="Times New Roman"/>
          <w:sz w:val="24"/>
          <w:szCs w:val="24"/>
          <w:u w:val="single"/>
        </w:rPr>
        <w:t xml:space="preserve">CDI </w:t>
      </w:r>
      <w:r w:rsidRPr="00890B9A">
        <w:rPr>
          <w:rFonts w:ascii="Times New Roman" w:eastAsia="Times New Roman" w:hAnsi="Times New Roman" w:cs="Times New Roman"/>
          <w:color w:val="000000"/>
          <w:sz w:val="24"/>
          <w:szCs w:val="24"/>
        </w:rPr>
        <w:t>at all three locations for adults and Children</w:t>
      </w:r>
    </w:p>
    <w:tbl>
      <w:tblPr>
        <w:tblStyle w:val="a6"/>
        <w:tblW w:w="949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8"/>
        <w:gridCol w:w="1295"/>
        <w:gridCol w:w="1622"/>
        <w:gridCol w:w="1146"/>
        <w:gridCol w:w="1360"/>
        <w:gridCol w:w="1134"/>
        <w:gridCol w:w="1418"/>
      </w:tblGrid>
      <w:tr w:rsidR="00685D34" w:rsidRPr="00890B9A" w14:paraId="1AF78F62" w14:textId="77777777" w:rsidTr="003D0F20">
        <w:trPr>
          <w:trHeight w:val="286"/>
          <w:jc w:val="center"/>
        </w:trPr>
        <w:tc>
          <w:tcPr>
            <w:tcW w:w="9493" w:type="dxa"/>
            <w:gridSpan w:val="7"/>
            <w:shd w:val="clear" w:color="auto" w:fill="F2F2F2"/>
          </w:tcPr>
          <w:p w14:paraId="4DDC6410" w14:textId="77777777" w:rsidR="00685D34" w:rsidRPr="00890B9A" w:rsidRDefault="00000000">
            <w:pPr>
              <w:spacing w:line="276" w:lineRule="auto"/>
              <w:jc w:val="center"/>
              <w:rPr>
                <w:rFonts w:ascii="Times New Roman" w:eastAsia="Times New Roman" w:hAnsi="Times New Roman" w:cs="Times New Roman"/>
                <w:b/>
                <w:sz w:val="24"/>
                <w:szCs w:val="24"/>
                <w:u w:val="single"/>
              </w:rPr>
            </w:pPr>
            <w:r w:rsidRPr="00890B9A">
              <w:rPr>
                <w:rFonts w:ascii="Times New Roman" w:eastAsia="Times New Roman" w:hAnsi="Times New Roman" w:cs="Times New Roman"/>
                <w:b/>
                <w:sz w:val="24"/>
                <w:szCs w:val="24"/>
                <w:u w:val="single"/>
              </w:rPr>
              <w:t>Hazard Index for CDI</w:t>
            </w:r>
          </w:p>
        </w:tc>
      </w:tr>
      <w:tr w:rsidR="00685D34" w:rsidRPr="00890B9A" w14:paraId="48BB64F1" w14:textId="77777777" w:rsidTr="003D0F20">
        <w:trPr>
          <w:trHeight w:val="286"/>
          <w:jc w:val="center"/>
        </w:trPr>
        <w:tc>
          <w:tcPr>
            <w:tcW w:w="1518" w:type="dxa"/>
          </w:tcPr>
          <w:p w14:paraId="264466B7"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Metals</w:t>
            </w:r>
          </w:p>
        </w:tc>
        <w:tc>
          <w:tcPr>
            <w:tcW w:w="2917" w:type="dxa"/>
            <w:gridSpan w:val="2"/>
          </w:tcPr>
          <w:p w14:paraId="2925323B" w14:textId="77777777" w:rsidR="00685D34" w:rsidRPr="00890B9A" w:rsidRDefault="00000000">
            <w:pPr>
              <w:spacing w:line="276" w:lineRule="auto"/>
              <w:jc w:val="center"/>
              <w:rPr>
                <w:rFonts w:ascii="Times New Roman" w:eastAsia="Times New Roman" w:hAnsi="Times New Roman" w:cs="Times New Roman"/>
                <w:b/>
                <w:sz w:val="24"/>
                <w:szCs w:val="24"/>
              </w:rPr>
            </w:pPr>
            <w:proofErr w:type="spellStart"/>
            <w:r w:rsidRPr="00890B9A">
              <w:rPr>
                <w:rFonts w:ascii="Times New Roman" w:eastAsia="Times New Roman" w:hAnsi="Times New Roman" w:cs="Times New Roman"/>
                <w:b/>
                <w:sz w:val="24"/>
                <w:szCs w:val="24"/>
              </w:rPr>
              <w:t>Sakinaka</w:t>
            </w:r>
            <w:proofErr w:type="spellEnd"/>
            <w:r w:rsidRPr="00890B9A">
              <w:rPr>
                <w:rFonts w:ascii="Times New Roman" w:eastAsia="Times New Roman" w:hAnsi="Times New Roman" w:cs="Times New Roman"/>
                <w:b/>
                <w:sz w:val="24"/>
                <w:szCs w:val="24"/>
              </w:rPr>
              <w:t xml:space="preserve"> Junction</w:t>
            </w:r>
          </w:p>
        </w:tc>
        <w:tc>
          <w:tcPr>
            <w:tcW w:w="2506" w:type="dxa"/>
            <w:gridSpan w:val="2"/>
          </w:tcPr>
          <w:p w14:paraId="1304BA4F"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YP-Gate</w:t>
            </w:r>
          </w:p>
        </w:tc>
        <w:tc>
          <w:tcPr>
            <w:tcW w:w="2552" w:type="dxa"/>
            <w:gridSpan w:val="2"/>
          </w:tcPr>
          <w:p w14:paraId="376C1701"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HP</w:t>
            </w:r>
          </w:p>
        </w:tc>
      </w:tr>
      <w:tr w:rsidR="00685D34" w:rsidRPr="00890B9A" w14:paraId="2113B1D9" w14:textId="77777777" w:rsidTr="003D0F20">
        <w:trPr>
          <w:trHeight w:val="286"/>
          <w:jc w:val="center"/>
        </w:trPr>
        <w:tc>
          <w:tcPr>
            <w:tcW w:w="1518" w:type="dxa"/>
          </w:tcPr>
          <w:p w14:paraId="581C5AC0" w14:textId="77777777" w:rsidR="00685D34" w:rsidRPr="00890B9A" w:rsidRDefault="00685D34">
            <w:pPr>
              <w:spacing w:line="276" w:lineRule="auto"/>
              <w:jc w:val="center"/>
              <w:rPr>
                <w:rFonts w:ascii="Times New Roman" w:eastAsia="Times New Roman" w:hAnsi="Times New Roman" w:cs="Times New Roman"/>
                <w:b/>
                <w:sz w:val="24"/>
                <w:szCs w:val="24"/>
              </w:rPr>
            </w:pPr>
          </w:p>
        </w:tc>
        <w:tc>
          <w:tcPr>
            <w:tcW w:w="1295" w:type="dxa"/>
          </w:tcPr>
          <w:p w14:paraId="52D2527D"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(Adult)</w:t>
            </w:r>
          </w:p>
        </w:tc>
        <w:tc>
          <w:tcPr>
            <w:tcW w:w="1622" w:type="dxa"/>
          </w:tcPr>
          <w:p w14:paraId="69B35DF9"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(Children)</w:t>
            </w:r>
          </w:p>
        </w:tc>
        <w:tc>
          <w:tcPr>
            <w:tcW w:w="1146" w:type="dxa"/>
          </w:tcPr>
          <w:p w14:paraId="21290E1F"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(Adult)</w:t>
            </w:r>
          </w:p>
        </w:tc>
        <w:tc>
          <w:tcPr>
            <w:tcW w:w="1360" w:type="dxa"/>
          </w:tcPr>
          <w:p w14:paraId="3F0F8DFC"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(Children)</w:t>
            </w:r>
          </w:p>
        </w:tc>
        <w:tc>
          <w:tcPr>
            <w:tcW w:w="1134" w:type="dxa"/>
          </w:tcPr>
          <w:p w14:paraId="52C6C467"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(Adult)</w:t>
            </w:r>
          </w:p>
        </w:tc>
        <w:tc>
          <w:tcPr>
            <w:tcW w:w="1418" w:type="dxa"/>
          </w:tcPr>
          <w:p w14:paraId="2E6984AD"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HQ (Children)</w:t>
            </w:r>
          </w:p>
        </w:tc>
      </w:tr>
      <w:tr w:rsidR="00890B9A" w:rsidRPr="00890B9A" w14:paraId="60A2113E" w14:textId="77777777" w:rsidTr="00CF2FAC">
        <w:trPr>
          <w:trHeight w:val="286"/>
          <w:jc w:val="center"/>
        </w:trPr>
        <w:tc>
          <w:tcPr>
            <w:tcW w:w="1518" w:type="dxa"/>
          </w:tcPr>
          <w:p w14:paraId="0B9A92E0" w14:textId="7777777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Cr</w:t>
            </w:r>
          </w:p>
        </w:tc>
        <w:tc>
          <w:tcPr>
            <w:tcW w:w="1295" w:type="dxa"/>
            <w:vAlign w:val="bottom"/>
          </w:tcPr>
          <w:p w14:paraId="440141F7" w14:textId="0426245A"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0.000959</w:t>
            </w:r>
          </w:p>
        </w:tc>
        <w:tc>
          <w:tcPr>
            <w:tcW w:w="1622" w:type="dxa"/>
            <w:vAlign w:val="bottom"/>
          </w:tcPr>
          <w:p w14:paraId="7F4C691C" w14:textId="1D254F69"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0.007671</w:t>
            </w:r>
          </w:p>
        </w:tc>
        <w:tc>
          <w:tcPr>
            <w:tcW w:w="1146" w:type="dxa"/>
          </w:tcPr>
          <w:p w14:paraId="316942D8" w14:textId="7777777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1.37E-05</w:t>
            </w:r>
          </w:p>
        </w:tc>
        <w:tc>
          <w:tcPr>
            <w:tcW w:w="1360" w:type="dxa"/>
          </w:tcPr>
          <w:p w14:paraId="2E36330F" w14:textId="7777777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1.1E-04</w:t>
            </w:r>
          </w:p>
        </w:tc>
        <w:tc>
          <w:tcPr>
            <w:tcW w:w="1134" w:type="dxa"/>
            <w:vAlign w:val="bottom"/>
          </w:tcPr>
          <w:p w14:paraId="70519113" w14:textId="3ABFC974" w:rsidR="00890B9A" w:rsidRPr="00890B9A" w:rsidRDefault="00890B9A" w:rsidP="00890B9A">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1.4E-04</w:t>
            </w:r>
          </w:p>
        </w:tc>
        <w:tc>
          <w:tcPr>
            <w:tcW w:w="1418" w:type="dxa"/>
            <w:vAlign w:val="bottom"/>
          </w:tcPr>
          <w:p w14:paraId="043782D0" w14:textId="6096A37C" w:rsidR="00890B9A" w:rsidRPr="00890B9A" w:rsidRDefault="00890B9A" w:rsidP="00890B9A">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1.3E-05</w:t>
            </w:r>
          </w:p>
        </w:tc>
      </w:tr>
      <w:tr w:rsidR="00890B9A" w:rsidRPr="00890B9A" w14:paraId="7DD9AFBD" w14:textId="77777777" w:rsidTr="00CF2FAC">
        <w:trPr>
          <w:trHeight w:val="286"/>
          <w:jc w:val="center"/>
        </w:trPr>
        <w:tc>
          <w:tcPr>
            <w:tcW w:w="1518" w:type="dxa"/>
          </w:tcPr>
          <w:p w14:paraId="447C73C1" w14:textId="7777777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Mn</w:t>
            </w:r>
          </w:p>
        </w:tc>
        <w:tc>
          <w:tcPr>
            <w:tcW w:w="1295" w:type="dxa"/>
            <w:vAlign w:val="bottom"/>
          </w:tcPr>
          <w:p w14:paraId="75719318" w14:textId="1DA778E0"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8.15E-07</w:t>
            </w:r>
          </w:p>
        </w:tc>
        <w:tc>
          <w:tcPr>
            <w:tcW w:w="1622" w:type="dxa"/>
            <w:vAlign w:val="bottom"/>
          </w:tcPr>
          <w:p w14:paraId="2124F3B6" w14:textId="0E935CC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6.52E-06</w:t>
            </w:r>
          </w:p>
        </w:tc>
        <w:tc>
          <w:tcPr>
            <w:tcW w:w="1146" w:type="dxa"/>
          </w:tcPr>
          <w:p w14:paraId="21A6477D" w14:textId="57494295"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9.1E-07</w:t>
            </w:r>
          </w:p>
        </w:tc>
        <w:tc>
          <w:tcPr>
            <w:tcW w:w="1360" w:type="dxa"/>
          </w:tcPr>
          <w:p w14:paraId="03114CFF" w14:textId="0DA95810"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7.2E-06</w:t>
            </w:r>
          </w:p>
        </w:tc>
        <w:tc>
          <w:tcPr>
            <w:tcW w:w="1134" w:type="dxa"/>
            <w:vAlign w:val="bottom"/>
          </w:tcPr>
          <w:p w14:paraId="49C38A29" w14:textId="4D679AA6"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7.23E-06</w:t>
            </w:r>
          </w:p>
        </w:tc>
        <w:tc>
          <w:tcPr>
            <w:tcW w:w="1418" w:type="dxa"/>
            <w:vAlign w:val="bottom"/>
          </w:tcPr>
          <w:p w14:paraId="6D981139" w14:textId="3AA096C9"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9.03E-07</w:t>
            </w:r>
          </w:p>
        </w:tc>
      </w:tr>
      <w:tr w:rsidR="00890B9A" w:rsidRPr="00890B9A" w14:paraId="1FCB4800" w14:textId="77777777" w:rsidTr="00CF2FAC">
        <w:trPr>
          <w:trHeight w:val="357"/>
          <w:jc w:val="center"/>
        </w:trPr>
        <w:tc>
          <w:tcPr>
            <w:tcW w:w="1518" w:type="dxa"/>
          </w:tcPr>
          <w:p w14:paraId="2337E591" w14:textId="7777777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Pb</w:t>
            </w:r>
          </w:p>
        </w:tc>
        <w:tc>
          <w:tcPr>
            <w:tcW w:w="1295" w:type="dxa"/>
            <w:vAlign w:val="bottom"/>
          </w:tcPr>
          <w:p w14:paraId="326EA18D" w14:textId="4D3D87F6"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6.16E-05</w:t>
            </w:r>
          </w:p>
        </w:tc>
        <w:tc>
          <w:tcPr>
            <w:tcW w:w="1622" w:type="dxa"/>
            <w:vAlign w:val="bottom"/>
          </w:tcPr>
          <w:p w14:paraId="593868B3" w14:textId="2B1F170C"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0.000493</w:t>
            </w:r>
          </w:p>
        </w:tc>
        <w:tc>
          <w:tcPr>
            <w:tcW w:w="1146" w:type="dxa"/>
          </w:tcPr>
          <w:p w14:paraId="641589FF" w14:textId="166BA7B8"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2.2E-05</w:t>
            </w:r>
          </w:p>
        </w:tc>
        <w:tc>
          <w:tcPr>
            <w:tcW w:w="1360" w:type="dxa"/>
          </w:tcPr>
          <w:p w14:paraId="295BD5DA" w14:textId="23C6E7BE"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1.8E-04</w:t>
            </w:r>
          </w:p>
        </w:tc>
        <w:tc>
          <w:tcPr>
            <w:tcW w:w="1134" w:type="dxa"/>
            <w:vAlign w:val="bottom"/>
          </w:tcPr>
          <w:p w14:paraId="4327DA58" w14:textId="5BBE23F9" w:rsidR="00890B9A" w:rsidRPr="00890B9A" w:rsidRDefault="00890B9A" w:rsidP="00890B9A">
            <w:pPr>
              <w:spacing w:after="0" w:line="360" w:lineRule="auto"/>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8.22E-05</w:t>
            </w:r>
          </w:p>
        </w:tc>
        <w:tc>
          <w:tcPr>
            <w:tcW w:w="1418" w:type="dxa"/>
            <w:vAlign w:val="bottom"/>
          </w:tcPr>
          <w:p w14:paraId="6AF04D1D" w14:textId="73913392" w:rsidR="00890B9A" w:rsidRPr="00890B9A" w:rsidRDefault="00890B9A" w:rsidP="00890B9A">
            <w:pPr>
              <w:spacing w:after="0" w:line="360" w:lineRule="auto"/>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1.03E-05</w:t>
            </w:r>
          </w:p>
        </w:tc>
      </w:tr>
      <w:tr w:rsidR="00890B9A" w:rsidRPr="00890B9A" w14:paraId="33789F7E" w14:textId="77777777" w:rsidTr="00CF2FAC">
        <w:trPr>
          <w:trHeight w:val="286"/>
          <w:jc w:val="center"/>
        </w:trPr>
        <w:tc>
          <w:tcPr>
            <w:tcW w:w="1518" w:type="dxa"/>
          </w:tcPr>
          <w:p w14:paraId="5495E238" w14:textId="7777777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Zn</w:t>
            </w:r>
          </w:p>
        </w:tc>
        <w:tc>
          <w:tcPr>
            <w:tcW w:w="1295" w:type="dxa"/>
            <w:vAlign w:val="bottom"/>
          </w:tcPr>
          <w:p w14:paraId="15145D5B" w14:textId="29A40D4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0.00411</w:t>
            </w:r>
          </w:p>
        </w:tc>
        <w:tc>
          <w:tcPr>
            <w:tcW w:w="1622" w:type="dxa"/>
            <w:vAlign w:val="bottom"/>
          </w:tcPr>
          <w:p w14:paraId="494E2BD3" w14:textId="149CD122"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0.032877</w:t>
            </w:r>
          </w:p>
        </w:tc>
        <w:tc>
          <w:tcPr>
            <w:tcW w:w="1146" w:type="dxa"/>
          </w:tcPr>
          <w:p w14:paraId="56F4073B" w14:textId="5177F7A5"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5.4E-03</w:t>
            </w:r>
          </w:p>
        </w:tc>
        <w:tc>
          <w:tcPr>
            <w:tcW w:w="1360" w:type="dxa"/>
          </w:tcPr>
          <w:p w14:paraId="6AC64A82" w14:textId="1F5E2056"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4.3E-02</w:t>
            </w:r>
          </w:p>
        </w:tc>
        <w:tc>
          <w:tcPr>
            <w:tcW w:w="1134" w:type="dxa"/>
            <w:vAlign w:val="bottom"/>
          </w:tcPr>
          <w:p w14:paraId="54254287" w14:textId="212BE022"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0.028231</w:t>
            </w:r>
          </w:p>
        </w:tc>
        <w:tc>
          <w:tcPr>
            <w:tcW w:w="1418" w:type="dxa"/>
            <w:vAlign w:val="bottom"/>
          </w:tcPr>
          <w:p w14:paraId="34762510" w14:textId="28CE2531"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0.003529</w:t>
            </w:r>
          </w:p>
        </w:tc>
      </w:tr>
      <w:tr w:rsidR="00890B9A" w:rsidRPr="00890B9A" w14:paraId="79F435BF" w14:textId="77777777" w:rsidTr="00CF2FAC">
        <w:trPr>
          <w:trHeight w:val="286"/>
          <w:jc w:val="center"/>
        </w:trPr>
        <w:tc>
          <w:tcPr>
            <w:tcW w:w="1518" w:type="dxa"/>
          </w:tcPr>
          <w:p w14:paraId="358B85F5" w14:textId="7777777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Cd</w:t>
            </w:r>
          </w:p>
        </w:tc>
        <w:tc>
          <w:tcPr>
            <w:tcW w:w="1295" w:type="dxa"/>
            <w:vAlign w:val="bottom"/>
          </w:tcPr>
          <w:p w14:paraId="449ED208" w14:textId="7194572B"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6.16E-05</w:t>
            </w:r>
          </w:p>
        </w:tc>
        <w:tc>
          <w:tcPr>
            <w:tcW w:w="1622" w:type="dxa"/>
            <w:vAlign w:val="bottom"/>
          </w:tcPr>
          <w:p w14:paraId="1BEC686E" w14:textId="7ABF1CD6"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0.000493</w:t>
            </w:r>
          </w:p>
        </w:tc>
        <w:tc>
          <w:tcPr>
            <w:tcW w:w="1146" w:type="dxa"/>
          </w:tcPr>
          <w:p w14:paraId="576F1089" w14:textId="6CFB1849"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5.4E-03</w:t>
            </w:r>
          </w:p>
        </w:tc>
        <w:tc>
          <w:tcPr>
            <w:tcW w:w="1360" w:type="dxa"/>
          </w:tcPr>
          <w:p w14:paraId="5ADA4A09" w14:textId="00EE6C9A"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1.6E-04</w:t>
            </w:r>
          </w:p>
        </w:tc>
        <w:tc>
          <w:tcPr>
            <w:tcW w:w="1134" w:type="dxa"/>
            <w:vAlign w:val="bottom"/>
          </w:tcPr>
          <w:p w14:paraId="03571530" w14:textId="453B32C7" w:rsidR="00890B9A" w:rsidRPr="00890B9A" w:rsidRDefault="00890B9A" w:rsidP="00890B9A">
            <w:pPr>
              <w:spacing w:after="0" w:line="360" w:lineRule="auto"/>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4.27E-05</w:t>
            </w:r>
          </w:p>
        </w:tc>
        <w:tc>
          <w:tcPr>
            <w:tcW w:w="1418" w:type="dxa"/>
            <w:vAlign w:val="bottom"/>
          </w:tcPr>
          <w:p w14:paraId="3ED484B7" w14:textId="2DB23A30"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5.34E-06</w:t>
            </w:r>
          </w:p>
        </w:tc>
      </w:tr>
      <w:tr w:rsidR="00890B9A" w:rsidRPr="00890B9A" w14:paraId="6FD97443" w14:textId="77777777" w:rsidTr="00CF2FAC">
        <w:trPr>
          <w:trHeight w:val="286"/>
          <w:jc w:val="center"/>
        </w:trPr>
        <w:tc>
          <w:tcPr>
            <w:tcW w:w="1518" w:type="dxa"/>
          </w:tcPr>
          <w:p w14:paraId="28BED55A" w14:textId="7777777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As</w:t>
            </w:r>
          </w:p>
        </w:tc>
        <w:tc>
          <w:tcPr>
            <w:tcW w:w="1295" w:type="dxa"/>
            <w:vAlign w:val="bottom"/>
          </w:tcPr>
          <w:p w14:paraId="3C0BA600" w14:textId="6BFB4BBF"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0.002028</w:t>
            </w:r>
          </w:p>
        </w:tc>
        <w:tc>
          <w:tcPr>
            <w:tcW w:w="1622" w:type="dxa"/>
            <w:vAlign w:val="bottom"/>
          </w:tcPr>
          <w:p w14:paraId="25EC32B5" w14:textId="07C0B3CD"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0.016222</w:t>
            </w:r>
          </w:p>
        </w:tc>
        <w:tc>
          <w:tcPr>
            <w:tcW w:w="1146" w:type="dxa"/>
          </w:tcPr>
          <w:p w14:paraId="71620206" w14:textId="124158EC"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2.7E-03</w:t>
            </w:r>
          </w:p>
        </w:tc>
        <w:tc>
          <w:tcPr>
            <w:tcW w:w="1360" w:type="dxa"/>
          </w:tcPr>
          <w:p w14:paraId="57F489D4" w14:textId="158C0175"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3.3E-04</w:t>
            </w:r>
          </w:p>
        </w:tc>
        <w:tc>
          <w:tcPr>
            <w:tcW w:w="1134" w:type="dxa"/>
            <w:vAlign w:val="bottom"/>
          </w:tcPr>
          <w:p w14:paraId="5B586859" w14:textId="23DA7FF6"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0.002163</w:t>
            </w:r>
          </w:p>
        </w:tc>
        <w:tc>
          <w:tcPr>
            <w:tcW w:w="1418" w:type="dxa"/>
            <w:vAlign w:val="bottom"/>
          </w:tcPr>
          <w:p w14:paraId="69A81278" w14:textId="13882179"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0.00027</w:t>
            </w:r>
          </w:p>
        </w:tc>
      </w:tr>
      <w:tr w:rsidR="00890B9A" w:rsidRPr="00890B9A" w14:paraId="41BDFD08" w14:textId="77777777" w:rsidTr="00CF2FAC">
        <w:trPr>
          <w:trHeight w:val="286"/>
          <w:jc w:val="center"/>
        </w:trPr>
        <w:tc>
          <w:tcPr>
            <w:tcW w:w="1518" w:type="dxa"/>
          </w:tcPr>
          <w:p w14:paraId="044E130C" w14:textId="77777777"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Fe</w:t>
            </w:r>
          </w:p>
        </w:tc>
        <w:tc>
          <w:tcPr>
            <w:tcW w:w="1295" w:type="dxa"/>
            <w:vAlign w:val="bottom"/>
          </w:tcPr>
          <w:p w14:paraId="423D6BA1" w14:textId="6B103299"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1.37E-06</w:t>
            </w:r>
          </w:p>
        </w:tc>
        <w:tc>
          <w:tcPr>
            <w:tcW w:w="1622" w:type="dxa"/>
            <w:vAlign w:val="bottom"/>
          </w:tcPr>
          <w:p w14:paraId="4956E923" w14:textId="54243C40"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1.09E-05</w:t>
            </w:r>
          </w:p>
        </w:tc>
        <w:tc>
          <w:tcPr>
            <w:tcW w:w="1146" w:type="dxa"/>
          </w:tcPr>
          <w:p w14:paraId="263AC1E7" w14:textId="1DE4F1F2"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2.6E-05</w:t>
            </w:r>
          </w:p>
        </w:tc>
        <w:tc>
          <w:tcPr>
            <w:tcW w:w="1360" w:type="dxa"/>
          </w:tcPr>
          <w:p w14:paraId="372D7AC2" w14:textId="10C1A509"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3.32E-06</w:t>
            </w:r>
          </w:p>
        </w:tc>
        <w:tc>
          <w:tcPr>
            <w:tcW w:w="1134" w:type="dxa"/>
            <w:vAlign w:val="bottom"/>
          </w:tcPr>
          <w:p w14:paraId="66CB3506" w14:textId="008682F9"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1.09E-05</w:t>
            </w:r>
          </w:p>
        </w:tc>
        <w:tc>
          <w:tcPr>
            <w:tcW w:w="1418" w:type="dxa"/>
            <w:vAlign w:val="bottom"/>
          </w:tcPr>
          <w:p w14:paraId="1CBE0B23" w14:textId="1BBA8A26" w:rsidR="00890B9A" w:rsidRPr="00890B9A" w:rsidRDefault="00890B9A" w:rsidP="00890B9A">
            <w:pPr>
              <w:spacing w:after="0" w:line="360" w:lineRule="auto"/>
              <w:jc w:val="center"/>
              <w:rPr>
                <w:rFonts w:ascii="Times New Roman" w:eastAsia="Times New Roman" w:hAnsi="Times New Roman" w:cs="Times New Roman"/>
                <w:sz w:val="24"/>
                <w:szCs w:val="24"/>
              </w:rPr>
            </w:pPr>
            <w:r w:rsidRPr="00890B9A">
              <w:rPr>
                <w:rFonts w:ascii="Times New Roman" w:hAnsi="Times New Roman" w:cs="Times New Roman"/>
                <w:color w:val="000000"/>
                <w:sz w:val="24"/>
                <w:szCs w:val="24"/>
              </w:rPr>
              <w:t>1.37E-06</w:t>
            </w:r>
          </w:p>
        </w:tc>
      </w:tr>
      <w:tr w:rsidR="003F41CE" w:rsidRPr="00890B9A" w14:paraId="5C5FA04C" w14:textId="77777777" w:rsidTr="00FD37AE">
        <w:trPr>
          <w:trHeight w:val="286"/>
          <w:jc w:val="center"/>
        </w:trPr>
        <w:tc>
          <w:tcPr>
            <w:tcW w:w="1518" w:type="dxa"/>
          </w:tcPr>
          <w:p w14:paraId="30A0E20A" w14:textId="77777777" w:rsidR="003F41CE" w:rsidRPr="00890B9A" w:rsidRDefault="003F41CE" w:rsidP="003F41CE">
            <w:pPr>
              <w:spacing w:after="0" w:line="360"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HI</w:t>
            </w:r>
          </w:p>
        </w:tc>
        <w:tc>
          <w:tcPr>
            <w:tcW w:w="1295" w:type="dxa"/>
            <w:vAlign w:val="bottom"/>
          </w:tcPr>
          <w:p w14:paraId="270C7413" w14:textId="3EDDFFA4" w:rsidR="003F41CE" w:rsidRPr="00890B9A" w:rsidRDefault="003F41CE" w:rsidP="003F41CE">
            <w:pPr>
              <w:spacing w:after="0" w:line="360" w:lineRule="auto"/>
              <w:jc w:val="center"/>
              <w:rPr>
                <w:rFonts w:ascii="Times New Roman" w:eastAsia="Times New Roman" w:hAnsi="Times New Roman" w:cs="Times New Roman"/>
                <w:b/>
                <w:bCs/>
                <w:sz w:val="24"/>
                <w:szCs w:val="24"/>
              </w:rPr>
            </w:pPr>
            <w:r w:rsidRPr="00890B9A">
              <w:rPr>
                <w:rFonts w:ascii="Times New Roman" w:hAnsi="Times New Roman" w:cs="Times New Roman"/>
                <w:b/>
                <w:bCs/>
                <w:color w:val="000000"/>
                <w:sz w:val="24"/>
                <w:szCs w:val="24"/>
              </w:rPr>
              <w:t>0.0</w:t>
            </w:r>
            <w:r w:rsidR="00890B9A" w:rsidRPr="00890B9A">
              <w:rPr>
                <w:rFonts w:ascii="Times New Roman" w:hAnsi="Times New Roman" w:cs="Times New Roman"/>
                <w:b/>
                <w:bCs/>
                <w:color w:val="000000"/>
                <w:sz w:val="24"/>
                <w:szCs w:val="24"/>
              </w:rPr>
              <w:t>0</w:t>
            </w:r>
            <w:r w:rsidRPr="00890B9A">
              <w:rPr>
                <w:rFonts w:ascii="Times New Roman" w:hAnsi="Times New Roman" w:cs="Times New Roman"/>
                <w:b/>
                <w:bCs/>
                <w:color w:val="000000"/>
                <w:sz w:val="24"/>
                <w:szCs w:val="24"/>
              </w:rPr>
              <w:t>7</w:t>
            </w:r>
          </w:p>
        </w:tc>
        <w:tc>
          <w:tcPr>
            <w:tcW w:w="1622" w:type="dxa"/>
            <w:vAlign w:val="bottom"/>
          </w:tcPr>
          <w:p w14:paraId="23CDB999" w14:textId="79F7E277" w:rsidR="003F41CE" w:rsidRPr="00890B9A" w:rsidRDefault="003F41CE" w:rsidP="003F41CE">
            <w:pPr>
              <w:spacing w:after="0" w:line="360" w:lineRule="auto"/>
              <w:jc w:val="center"/>
              <w:rPr>
                <w:rFonts w:ascii="Times New Roman" w:eastAsia="Times New Roman" w:hAnsi="Times New Roman" w:cs="Times New Roman"/>
                <w:b/>
                <w:bCs/>
                <w:sz w:val="24"/>
                <w:szCs w:val="24"/>
              </w:rPr>
            </w:pPr>
            <w:r w:rsidRPr="00890B9A">
              <w:rPr>
                <w:rFonts w:ascii="Times New Roman" w:hAnsi="Times New Roman" w:cs="Times New Roman"/>
                <w:b/>
                <w:bCs/>
                <w:color w:val="000000"/>
                <w:sz w:val="24"/>
                <w:szCs w:val="24"/>
              </w:rPr>
              <w:t>0.0</w:t>
            </w:r>
            <w:r w:rsidR="00890B9A" w:rsidRPr="00890B9A">
              <w:rPr>
                <w:rFonts w:ascii="Times New Roman" w:hAnsi="Times New Roman" w:cs="Times New Roman"/>
                <w:b/>
                <w:bCs/>
                <w:color w:val="000000"/>
                <w:sz w:val="24"/>
                <w:szCs w:val="24"/>
              </w:rPr>
              <w:t>6</w:t>
            </w:r>
          </w:p>
        </w:tc>
        <w:tc>
          <w:tcPr>
            <w:tcW w:w="1146" w:type="dxa"/>
          </w:tcPr>
          <w:p w14:paraId="2655DB01" w14:textId="65A4FC2F" w:rsidR="003F41CE" w:rsidRPr="00890B9A" w:rsidRDefault="00890B9A" w:rsidP="003F41CE">
            <w:pPr>
              <w:spacing w:after="0" w:line="360"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0.005</w:t>
            </w:r>
          </w:p>
        </w:tc>
        <w:tc>
          <w:tcPr>
            <w:tcW w:w="1360" w:type="dxa"/>
          </w:tcPr>
          <w:p w14:paraId="46BF8696" w14:textId="58EE8EF1" w:rsidR="003F41CE" w:rsidRPr="00890B9A" w:rsidRDefault="00890B9A" w:rsidP="003F41CE">
            <w:pPr>
              <w:spacing w:after="0" w:line="360"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0.05</w:t>
            </w:r>
          </w:p>
        </w:tc>
        <w:tc>
          <w:tcPr>
            <w:tcW w:w="1134" w:type="dxa"/>
          </w:tcPr>
          <w:p w14:paraId="3C9AFE6F" w14:textId="77777777" w:rsidR="003F41CE" w:rsidRPr="00890B9A" w:rsidRDefault="003F41CE" w:rsidP="003F41CE">
            <w:pPr>
              <w:spacing w:after="0" w:line="360"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0.003</w:t>
            </w:r>
          </w:p>
        </w:tc>
        <w:tc>
          <w:tcPr>
            <w:tcW w:w="1418" w:type="dxa"/>
          </w:tcPr>
          <w:p w14:paraId="211FCF47" w14:textId="31FCE8FE" w:rsidR="003F41CE" w:rsidRPr="00890B9A" w:rsidRDefault="003F41CE" w:rsidP="003F41CE">
            <w:pPr>
              <w:spacing w:after="0" w:line="360"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0.0</w:t>
            </w:r>
            <w:r w:rsidR="00890B9A" w:rsidRPr="00890B9A">
              <w:rPr>
                <w:rFonts w:ascii="Times New Roman" w:eastAsia="Times New Roman" w:hAnsi="Times New Roman" w:cs="Times New Roman"/>
                <w:b/>
                <w:sz w:val="24"/>
                <w:szCs w:val="24"/>
              </w:rPr>
              <w:t>4</w:t>
            </w:r>
          </w:p>
        </w:tc>
      </w:tr>
      <w:tr w:rsidR="00685D34" w:rsidRPr="00890B9A" w14:paraId="0D45A9E8" w14:textId="77777777" w:rsidTr="003D0F20">
        <w:trPr>
          <w:trHeight w:val="286"/>
          <w:jc w:val="center"/>
        </w:trPr>
        <w:tc>
          <w:tcPr>
            <w:tcW w:w="9493" w:type="dxa"/>
            <w:gridSpan w:val="7"/>
            <w:shd w:val="clear" w:color="auto" w:fill="F2F2F2"/>
          </w:tcPr>
          <w:p w14:paraId="5B9564B7" w14:textId="77777777" w:rsidR="00685D34" w:rsidRPr="00890B9A" w:rsidRDefault="00000000">
            <w:pPr>
              <w:spacing w:line="276" w:lineRule="auto"/>
              <w:jc w:val="center"/>
              <w:rPr>
                <w:rFonts w:ascii="Times New Roman" w:eastAsia="Times New Roman" w:hAnsi="Times New Roman" w:cs="Times New Roman"/>
                <w:b/>
                <w:sz w:val="24"/>
                <w:szCs w:val="24"/>
                <w:u w:val="single"/>
              </w:rPr>
            </w:pPr>
            <w:r w:rsidRPr="00890B9A">
              <w:rPr>
                <w:rFonts w:ascii="Times New Roman" w:eastAsia="Times New Roman" w:hAnsi="Times New Roman" w:cs="Times New Roman"/>
                <w:b/>
                <w:sz w:val="24"/>
                <w:szCs w:val="24"/>
                <w:u w:val="single"/>
              </w:rPr>
              <w:t>Cancer Risk for CDI</w:t>
            </w:r>
          </w:p>
        </w:tc>
      </w:tr>
      <w:tr w:rsidR="00685D34" w:rsidRPr="00890B9A" w14:paraId="4CF26775" w14:textId="77777777" w:rsidTr="003D0F20">
        <w:trPr>
          <w:trHeight w:val="286"/>
          <w:jc w:val="center"/>
        </w:trPr>
        <w:tc>
          <w:tcPr>
            <w:tcW w:w="1518" w:type="dxa"/>
          </w:tcPr>
          <w:p w14:paraId="4493F290"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Metals</w:t>
            </w:r>
          </w:p>
        </w:tc>
        <w:tc>
          <w:tcPr>
            <w:tcW w:w="2917" w:type="dxa"/>
            <w:gridSpan w:val="2"/>
          </w:tcPr>
          <w:p w14:paraId="7ACD4A83" w14:textId="77777777" w:rsidR="00685D34" w:rsidRPr="00890B9A" w:rsidRDefault="00000000">
            <w:pPr>
              <w:spacing w:line="276" w:lineRule="auto"/>
              <w:jc w:val="center"/>
              <w:rPr>
                <w:rFonts w:ascii="Times New Roman" w:eastAsia="Times New Roman" w:hAnsi="Times New Roman" w:cs="Times New Roman"/>
                <w:sz w:val="24"/>
                <w:szCs w:val="24"/>
              </w:rPr>
            </w:pPr>
            <w:proofErr w:type="spellStart"/>
            <w:r w:rsidRPr="00890B9A">
              <w:rPr>
                <w:rFonts w:ascii="Times New Roman" w:eastAsia="Times New Roman" w:hAnsi="Times New Roman" w:cs="Times New Roman"/>
                <w:b/>
                <w:sz w:val="24"/>
                <w:szCs w:val="24"/>
              </w:rPr>
              <w:t>Sakinaka</w:t>
            </w:r>
            <w:proofErr w:type="spellEnd"/>
            <w:r w:rsidRPr="00890B9A">
              <w:rPr>
                <w:rFonts w:ascii="Times New Roman" w:eastAsia="Times New Roman" w:hAnsi="Times New Roman" w:cs="Times New Roman"/>
                <w:b/>
                <w:sz w:val="24"/>
                <w:szCs w:val="24"/>
              </w:rPr>
              <w:t xml:space="preserve"> Junction</w:t>
            </w:r>
          </w:p>
        </w:tc>
        <w:tc>
          <w:tcPr>
            <w:tcW w:w="2506" w:type="dxa"/>
            <w:gridSpan w:val="2"/>
          </w:tcPr>
          <w:p w14:paraId="30B07961"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YP-Gate</w:t>
            </w:r>
          </w:p>
        </w:tc>
        <w:tc>
          <w:tcPr>
            <w:tcW w:w="2552" w:type="dxa"/>
            <w:gridSpan w:val="2"/>
          </w:tcPr>
          <w:p w14:paraId="7D2D4664"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HP</w:t>
            </w:r>
          </w:p>
        </w:tc>
      </w:tr>
      <w:tr w:rsidR="00685D34" w:rsidRPr="00890B9A" w14:paraId="0CE91018" w14:textId="77777777" w:rsidTr="003D0F20">
        <w:trPr>
          <w:trHeight w:val="286"/>
          <w:jc w:val="center"/>
        </w:trPr>
        <w:tc>
          <w:tcPr>
            <w:tcW w:w="1518" w:type="dxa"/>
          </w:tcPr>
          <w:p w14:paraId="0A77DA89" w14:textId="77777777" w:rsidR="00685D34" w:rsidRPr="00890B9A" w:rsidRDefault="00685D34">
            <w:pPr>
              <w:spacing w:line="276" w:lineRule="auto"/>
              <w:jc w:val="center"/>
              <w:rPr>
                <w:rFonts w:ascii="Times New Roman" w:eastAsia="Times New Roman" w:hAnsi="Times New Roman" w:cs="Times New Roman"/>
                <w:b/>
                <w:sz w:val="24"/>
                <w:szCs w:val="24"/>
              </w:rPr>
            </w:pPr>
          </w:p>
        </w:tc>
        <w:tc>
          <w:tcPr>
            <w:tcW w:w="1295" w:type="dxa"/>
          </w:tcPr>
          <w:p w14:paraId="330763E1"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CR (Adult)</w:t>
            </w:r>
          </w:p>
        </w:tc>
        <w:tc>
          <w:tcPr>
            <w:tcW w:w="1622" w:type="dxa"/>
          </w:tcPr>
          <w:p w14:paraId="3D8F8BBA"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CR (Children)</w:t>
            </w:r>
          </w:p>
        </w:tc>
        <w:tc>
          <w:tcPr>
            <w:tcW w:w="1146" w:type="dxa"/>
          </w:tcPr>
          <w:p w14:paraId="46F02201" w14:textId="77777777" w:rsidR="00685D34" w:rsidRPr="00890B9A" w:rsidRDefault="00000000">
            <w:pPr>
              <w:spacing w:line="276" w:lineRule="auto"/>
              <w:jc w:val="center"/>
              <w:rPr>
                <w:rFonts w:ascii="Times New Roman" w:eastAsia="Times New Roman" w:hAnsi="Times New Roman" w:cs="Times New Roman"/>
                <w:b/>
                <w:sz w:val="24"/>
                <w:szCs w:val="24"/>
              </w:rPr>
            </w:pPr>
            <w:r w:rsidRPr="00890B9A">
              <w:rPr>
                <w:rFonts w:ascii="Times New Roman" w:eastAsia="Times New Roman" w:hAnsi="Times New Roman" w:cs="Times New Roman"/>
                <w:b/>
                <w:sz w:val="24"/>
                <w:szCs w:val="24"/>
              </w:rPr>
              <w:t>CR (Adult)</w:t>
            </w:r>
          </w:p>
        </w:tc>
        <w:tc>
          <w:tcPr>
            <w:tcW w:w="1360" w:type="dxa"/>
          </w:tcPr>
          <w:p w14:paraId="05556C7D"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CR (Children)</w:t>
            </w:r>
          </w:p>
        </w:tc>
        <w:tc>
          <w:tcPr>
            <w:tcW w:w="1134" w:type="dxa"/>
          </w:tcPr>
          <w:p w14:paraId="392FAF02"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CR (Adult)</w:t>
            </w:r>
          </w:p>
        </w:tc>
        <w:tc>
          <w:tcPr>
            <w:tcW w:w="1418" w:type="dxa"/>
          </w:tcPr>
          <w:p w14:paraId="7559B105" w14:textId="77777777" w:rsidR="00685D34" w:rsidRPr="00890B9A" w:rsidRDefault="00000000">
            <w:pPr>
              <w:spacing w:line="276"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b/>
                <w:sz w:val="24"/>
                <w:szCs w:val="24"/>
              </w:rPr>
              <w:t>CR (Children)</w:t>
            </w:r>
          </w:p>
        </w:tc>
      </w:tr>
      <w:tr w:rsidR="00685D34" w:rsidRPr="00890B9A" w14:paraId="72781170" w14:textId="77777777" w:rsidTr="003D0F20">
        <w:trPr>
          <w:trHeight w:val="286"/>
          <w:jc w:val="center"/>
        </w:trPr>
        <w:tc>
          <w:tcPr>
            <w:tcW w:w="1518" w:type="dxa"/>
          </w:tcPr>
          <w:p w14:paraId="641B252F" w14:textId="77777777"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Cr</w:t>
            </w:r>
          </w:p>
        </w:tc>
        <w:tc>
          <w:tcPr>
            <w:tcW w:w="1295" w:type="dxa"/>
          </w:tcPr>
          <w:p w14:paraId="006E6C52" w14:textId="77777777"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1.7E-07</w:t>
            </w:r>
          </w:p>
        </w:tc>
        <w:tc>
          <w:tcPr>
            <w:tcW w:w="1622" w:type="dxa"/>
          </w:tcPr>
          <w:p w14:paraId="273E3D03" w14:textId="77777777"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4.0E-07</w:t>
            </w:r>
          </w:p>
        </w:tc>
        <w:tc>
          <w:tcPr>
            <w:tcW w:w="1146" w:type="dxa"/>
          </w:tcPr>
          <w:p w14:paraId="19B770EA" w14:textId="4643CFA2" w:rsidR="00685D34" w:rsidRPr="00890B9A" w:rsidRDefault="00890B9A"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1.7E-07</w:t>
            </w:r>
          </w:p>
        </w:tc>
        <w:tc>
          <w:tcPr>
            <w:tcW w:w="1360" w:type="dxa"/>
          </w:tcPr>
          <w:p w14:paraId="2D73714D" w14:textId="51E3A262" w:rsidR="00685D34" w:rsidRPr="00890B9A" w:rsidRDefault="00890B9A"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3.9E-07</w:t>
            </w:r>
          </w:p>
        </w:tc>
        <w:tc>
          <w:tcPr>
            <w:tcW w:w="1134" w:type="dxa"/>
          </w:tcPr>
          <w:p w14:paraId="40CE6037" w14:textId="5A131459" w:rsidR="00685D34" w:rsidRPr="00890B9A" w:rsidRDefault="003D0F20" w:rsidP="003D0F20">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2.3E-09</w:t>
            </w:r>
          </w:p>
        </w:tc>
        <w:tc>
          <w:tcPr>
            <w:tcW w:w="1418" w:type="dxa"/>
          </w:tcPr>
          <w:p w14:paraId="484DF9E1" w14:textId="1631B3F8" w:rsidR="00685D34" w:rsidRPr="00890B9A" w:rsidRDefault="003D0F20" w:rsidP="003D0F20">
            <w:pPr>
              <w:jc w:val="center"/>
              <w:rPr>
                <w:rFonts w:ascii="Times New Roman" w:eastAsia="Times New Roman" w:hAnsi="Times New Roman" w:cs="Times New Roman"/>
                <w:b/>
                <w:sz w:val="24"/>
                <w:szCs w:val="24"/>
              </w:rPr>
            </w:pPr>
            <w:r w:rsidRPr="00890B9A">
              <w:rPr>
                <w:rFonts w:ascii="Times New Roman" w:hAnsi="Times New Roman" w:cs="Times New Roman"/>
                <w:color w:val="000000"/>
                <w:sz w:val="24"/>
                <w:szCs w:val="24"/>
              </w:rPr>
              <w:t>5.</w:t>
            </w:r>
            <w:r w:rsidR="003F41CE" w:rsidRPr="00890B9A">
              <w:rPr>
                <w:rFonts w:ascii="Times New Roman" w:hAnsi="Times New Roman" w:cs="Times New Roman"/>
                <w:color w:val="000000"/>
                <w:sz w:val="24"/>
                <w:szCs w:val="24"/>
              </w:rPr>
              <w:t>4</w:t>
            </w:r>
            <w:r w:rsidRPr="00890B9A">
              <w:rPr>
                <w:rFonts w:ascii="Times New Roman" w:hAnsi="Times New Roman" w:cs="Times New Roman"/>
                <w:color w:val="000000"/>
                <w:sz w:val="24"/>
                <w:szCs w:val="24"/>
              </w:rPr>
              <w:t>E-09</w:t>
            </w:r>
          </w:p>
        </w:tc>
      </w:tr>
      <w:tr w:rsidR="00685D34" w:rsidRPr="00890B9A" w14:paraId="211CF6A0" w14:textId="77777777" w:rsidTr="003D0F20">
        <w:trPr>
          <w:trHeight w:val="286"/>
          <w:jc w:val="center"/>
        </w:trPr>
        <w:tc>
          <w:tcPr>
            <w:tcW w:w="1518" w:type="dxa"/>
          </w:tcPr>
          <w:p w14:paraId="0341FAB0" w14:textId="77777777"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Pb</w:t>
            </w:r>
          </w:p>
        </w:tc>
        <w:tc>
          <w:tcPr>
            <w:tcW w:w="1295" w:type="dxa"/>
          </w:tcPr>
          <w:p w14:paraId="153AF54D" w14:textId="51B041AC"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3.</w:t>
            </w:r>
            <w:r w:rsidR="003F41CE" w:rsidRPr="00890B9A">
              <w:rPr>
                <w:rFonts w:ascii="Times New Roman" w:eastAsia="Times New Roman" w:hAnsi="Times New Roman" w:cs="Times New Roman"/>
                <w:sz w:val="24"/>
                <w:szCs w:val="24"/>
              </w:rPr>
              <w:t>0</w:t>
            </w:r>
            <w:r w:rsidRPr="00890B9A">
              <w:rPr>
                <w:rFonts w:ascii="Times New Roman" w:eastAsia="Times New Roman" w:hAnsi="Times New Roman" w:cs="Times New Roman"/>
                <w:sz w:val="24"/>
                <w:szCs w:val="24"/>
              </w:rPr>
              <w:t>E-08</w:t>
            </w:r>
          </w:p>
        </w:tc>
        <w:tc>
          <w:tcPr>
            <w:tcW w:w="1622" w:type="dxa"/>
          </w:tcPr>
          <w:p w14:paraId="11E149C5" w14:textId="4D023B7F"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7.</w:t>
            </w:r>
            <w:r w:rsidR="003F41CE" w:rsidRPr="00890B9A">
              <w:rPr>
                <w:rFonts w:ascii="Times New Roman" w:eastAsia="Times New Roman" w:hAnsi="Times New Roman" w:cs="Times New Roman"/>
                <w:sz w:val="24"/>
                <w:szCs w:val="24"/>
              </w:rPr>
              <w:t>1</w:t>
            </w:r>
            <w:r w:rsidRPr="00890B9A">
              <w:rPr>
                <w:rFonts w:ascii="Times New Roman" w:eastAsia="Times New Roman" w:hAnsi="Times New Roman" w:cs="Times New Roman"/>
                <w:sz w:val="24"/>
                <w:szCs w:val="24"/>
              </w:rPr>
              <w:t>E-08</w:t>
            </w:r>
          </w:p>
        </w:tc>
        <w:tc>
          <w:tcPr>
            <w:tcW w:w="1146" w:type="dxa"/>
          </w:tcPr>
          <w:p w14:paraId="0AD7B6ED" w14:textId="115C25E8"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w:t>
            </w:r>
            <w:r w:rsidR="00890B9A" w:rsidRPr="00890B9A">
              <w:rPr>
                <w:rFonts w:ascii="Times New Roman" w:eastAsia="Times New Roman" w:hAnsi="Times New Roman" w:cs="Times New Roman"/>
                <w:sz w:val="24"/>
                <w:szCs w:val="24"/>
              </w:rPr>
              <w:t>1</w:t>
            </w:r>
            <w:r w:rsidRPr="00890B9A">
              <w:rPr>
                <w:rFonts w:ascii="Times New Roman" w:eastAsia="Times New Roman" w:hAnsi="Times New Roman" w:cs="Times New Roman"/>
                <w:sz w:val="24"/>
                <w:szCs w:val="24"/>
              </w:rPr>
              <w:t>E-08</w:t>
            </w:r>
          </w:p>
        </w:tc>
        <w:tc>
          <w:tcPr>
            <w:tcW w:w="1360" w:type="dxa"/>
          </w:tcPr>
          <w:p w14:paraId="109169F5" w14:textId="14FCF636" w:rsidR="00685D34" w:rsidRPr="00890B9A" w:rsidRDefault="00890B9A"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2.6E-08</w:t>
            </w:r>
          </w:p>
        </w:tc>
        <w:tc>
          <w:tcPr>
            <w:tcW w:w="1134" w:type="dxa"/>
          </w:tcPr>
          <w:p w14:paraId="359A96E6" w14:textId="1F77AD60" w:rsidR="00685D34" w:rsidRPr="00890B9A" w:rsidRDefault="003D0F20" w:rsidP="003D0F20">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5.1E-09</w:t>
            </w:r>
          </w:p>
        </w:tc>
        <w:tc>
          <w:tcPr>
            <w:tcW w:w="1418" w:type="dxa"/>
          </w:tcPr>
          <w:p w14:paraId="069BC68E" w14:textId="457220A0" w:rsidR="00685D34" w:rsidRPr="00890B9A" w:rsidRDefault="003D0F20" w:rsidP="003D0F20">
            <w:pPr>
              <w:jc w:val="center"/>
              <w:rPr>
                <w:rFonts w:ascii="Times New Roman" w:hAnsi="Times New Roman" w:cs="Times New Roman"/>
                <w:color w:val="000000"/>
                <w:sz w:val="24"/>
                <w:szCs w:val="24"/>
              </w:rPr>
            </w:pPr>
            <w:r w:rsidRPr="00890B9A">
              <w:rPr>
                <w:rFonts w:ascii="Times New Roman" w:hAnsi="Times New Roman" w:cs="Times New Roman"/>
                <w:color w:val="000000"/>
                <w:sz w:val="24"/>
                <w:szCs w:val="24"/>
              </w:rPr>
              <w:t>1.2E-08</w:t>
            </w:r>
          </w:p>
        </w:tc>
      </w:tr>
      <w:tr w:rsidR="00685D34" w:rsidRPr="00890B9A" w14:paraId="66E9D6B4" w14:textId="77777777" w:rsidTr="003D0F20">
        <w:trPr>
          <w:trHeight w:val="57"/>
          <w:jc w:val="center"/>
        </w:trPr>
        <w:tc>
          <w:tcPr>
            <w:tcW w:w="1518" w:type="dxa"/>
          </w:tcPr>
          <w:p w14:paraId="6F2E2513" w14:textId="77777777"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As</w:t>
            </w:r>
          </w:p>
        </w:tc>
        <w:tc>
          <w:tcPr>
            <w:tcW w:w="1295" w:type="dxa"/>
          </w:tcPr>
          <w:p w14:paraId="585138A5" w14:textId="25590F88"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w:t>
            </w:r>
            <w:r w:rsidR="003F41CE" w:rsidRPr="00890B9A">
              <w:rPr>
                <w:rFonts w:ascii="Times New Roman" w:eastAsia="Times New Roman" w:hAnsi="Times New Roman" w:cs="Times New Roman"/>
                <w:sz w:val="24"/>
                <w:szCs w:val="24"/>
              </w:rPr>
              <w:t>1</w:t>
            </w:r>
            <w:r w:rsidRPr="00890B9A">
              <w:rPr>
                <w:rFonts w:ascii="Times New Roman" w:eastAsia="Times New Roman" w:hAnsi="Times New Roman" w:cs="Times New Roman"/>
                <w:sz w:val="24"/>
                <w:szCs w:val="24"/>
              </w:rPr>
              <w:t>E-07</w:t>
            </w:r>
          </w:p>
        </w:tc>
        <w:tc>
          <w:tcPr>
            <w:tcW w:w="1622" w:type="dxa"/>
          </w:tcPr>
          <w:p w14:paraId="3EF6FDC3" w14:textId="775045AC"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2</w:t>
            </w:r>
            <w:r w:rsidR="003F41CE" w:rsidRPr="00890B9A">
              <w:rPr>
                <w:rFonts w:ascii="Times New Roman" w:eastAsia="Times New Roman" w:hAnsi="Times New Roman" w:cs="Times New Roman"/>
                <w:sz w:val="24"/>
                <w:szCs w:val="24"/>
              </w:rPr>
              <w:t>.5</w:t>
            </w:r>
            <w:r w:rsidRPr="00890B9A">
              <w:rPr>
                <w:rFonts w:ascii="Times New Roman" w:eastAsia="Times New Roman" w:hAnsi="Times New Roman" w:cs="Times New Roman"/>
                <w:sz w:val="24"/>
                <w:szCs w:val="24"/>
              </w:rPr>
              <w:t>E-07</w:t>
            </w:r>
          </w:p>
        </w:tc>
        <w:tc>
          <w:tcPr>
            <w:tcW w:w="1146" w:type="dxa"/>
          </w:tcPr>
          <w:p w14:paraId="24720A4B" w14:textId="77777777"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1.8E-08</w:t>
            </w:r>
          </w:p>
        </w:tc>
        <w:tc>
          <w:tcPr>
            <w:tcW w:w="1360" w:type="dxa"/>
          </w:tcPr>
          <w:p w14:paraId="46019AAA" w14:textId="77777777"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4.2E-08</w:t>
            </w:r>
          </w:p>
        </w:tc>
        <w:tc>
          <w:tcPr>
            <w:tcW w:w="1134" w:type="dxa"/>
          </w:tcPr>
          <w:p w14:paraId="4697472C" w14:textId="77777777"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1.4E-08</w:t>
            </w:r>
          </w:p>
        </w:tc>
        <w:tc>
          <w:tcPr>
            <w:tcW w:w="1418" w:type="dxa"/>
          </w:tcPr>
          <w:p w14:paraId="34922D8A" w14:textId="77777777" w:rsidR="00685D34" w:rsidRPr="00890B9A" w:rsidRDefault="00000000" w:rsidP="003D0F20">
            <w:pPr>
              <w:spacing w:after="0" w:line="360" w:lineRule="auto"/>
              <w:jc w:val="center"/>
              <w:rPr>
                <w:rFonts w:ascii="Times New Roman" w:eastAsia="Times New Roman" w:hAnsi="Times New Roman" w:cs="Times New Roman"/>
                <w:sz w:val="24"/>
                <w:szCs w:val="24"/>
              </w:rPr>
            </w:pPr>
            <w:r w:rsidRPr="00890B9A">
              <w:rPr>
                <w:rFonts w:ascii="Times New Roman" w:eastAsia="Times New Roman" w:hAnsi="Times New Roman" w:cs="Times New Roman"/>
                <w:sz w:val="24"/>
                <w:szCs w:val="24"/>
              </w:rPr>
              <w:t>3.4E-08</w:t>
            </w:r>
          </w:p>
        </w:tc>
      </w:tr>
      <w:tr w:rsidR="00685D34" w14:paraId="49694DBE" w14:textId="77777777" w:rsidTr="003D0F20">
        <w:trPr>
          <w:trHeight w:val="286"/>
          <w:jc w:val="center"/>
        </w:trPr>
        <w:tc>
          <w:tcPr>
            <w:tcW w:w="1518" w:type="dxa"/>
          </w:tcPr>
          <w:p w14:paraId="33DEB3D9" w14:textId="77777777" w:rsidR="00685D34" w:rsidRDefault="00000000" w:rsidP="003D0F20">
            <w:pPr>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CR</w:t>
            </w:r>
          </w:p>
        </w:tc>
        <w:tc>
          <w:tcPr>
            <w:tcW w:w="1295" w:type="dxa"/>
          </w:tcPr>
          <w:p w14:paraId="01A65A5C" w14:textId="042797C5" w:rsidR="00685D34" w:rsidRPr="003F41CE" w:rsidRDefault="00000000" w:rsidP="003D0F20">
            <w:pPr>
              <w:spacing w:after="0" w:line="360" w:lineRule="auto"/>
              <w:jc w:val="center"/>
              <w:rPr>
                <w:rFonts w:ascii="Times New Roman" w:eastAsia="Times New Roman" w:hAnsi="Times New Roman" w:cs="Times New Roman"/>
                <w:b/>
                <w:sz w:val="24"/>
                <w:szCs w:val="24"/>
              </w:rPr>
            </w:pPr>
            <w:r w:rsidRPr="003F41CE">
              <w:rPr>
                <w:rFonts w:ascii="Times New Roman" w:eastAsia="Times New Roman" w:hAnsi="Times New Roman" w:cs="Times New Roman"/>
                <w:b/>
                <w:sz w:val="24"/>
                <w:szCs w:val="24"/>
              </w:rPr>
              <w:t>2</w:t>
            </w:r>
            <w:r w:rsidR="003F41CE" w:rsidRPr="003F41CE">
              <w:rPr>
                <w:rFonts w:ascii="Times New Roman" w:eastAsia="Times New Roman" w:hAnsi="Times New Roman" w:cs="Times New Roman"/>
                <w:b/>
                <w:sz w:val="24"/>
                <w:szCs w:val="24"/>
              </w:rPr>
              <w:t>.8</w:t>
            </w:r>
            <w:r w:rsidRPr="003F41CE">
              <w:rPr>
                <w:rFonts w:ascii="Times New Roman" w:eastAsia="Times New Roman" w:hAnsi="Times New Roman" w:cs="Times New Roman"/>
                <w:b/>
                <w:sz w:val="24"/>
                <w:szCs w:val="24"/>
              </w:rPr>
              <w:t>E-07</w:t>
            </w:r>
          </w:p>
        </w:tc>
        <w:tc>
          <w:tcPr>
            <w:tcW w:w="1622" w:type="dxa"/>
          </w:tcPr>
          <w:p w14:paraId="65E53CAF" w14:textId="3E75003D" w:rsidR="00685D34" w:rsidRPr="003F41CE" w:rsidRDefault="003F41CE" w:rsidP="003F41CE">
            <w:pPr>
              <w:jc w:val="center"/>
              <w:rPr>
                <w:rFonts w:ascii="Times New Roman" w:hAnsi="Times New Roman" w:cs="Times New Roman"/>
                <w:b/>
                <w:bCs/>
                <w:color w:val="000000"/>
                <w:sz w:val="24"/>
                <w:szCs w:val="24"/>
              </w:rPr>
            </w:pPr>
            <w:r w:rsidRPr="003F41CE">
              <w:rPr>
                <w:rFonts w:ascii="Times New Roman" w:hAnsi="Times New Roman" w:cs="Times New Roman"/>
                <w:b/>
                <w:bCs/>
                <w:color w:val="000000"/>
                <w:sz w:val="24"/>
                <w:szCs w:val="24"/>
              </w:rPr>
              <w:t>6.5E-07</w:t>
            </w:r>
          </w:p>
        </w:tc>
        <w:tc>
          <w:tcPr>
            <w:tcW w:w="1146" w:type="dxa"/>
          </w:tcPr>
          <w:p w14:paraId="2655E76F" w14:textId="2942ADC4" w:rsidR="00685D34" w:rsidRDefault="00890B9A" w:rsidP="003D0F20">
            <w:pPr>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1.9E-07</w:t>
            </w:r>
          </w:p>
        </w:tc>
        <w:tc>
          <w:tcPr>
            <w:tcW w:w="1360" w:type="dxa"/>
          </w:tcPr>
          <w:p w14:paraId="489C54CE" w14:textId="1347059E" w:rsidR="00685D34" w:rsidRPr="003D0F20" w:rsidRDefault="00000000" w:rsidP="003D0F20">
            <w:pPr>
              <w:spacing w:after="0" w:line="360" w:lineRule="auto"/>
              <w:jc w:val="center"/>
              <w:rPr>
                <w:rFonts w:ascii="Times New Roman" w:eastAsia="Times New Roman" w:hAnsi="Times New Roman" w:cs="Times New Roman"/>
                <w:b/>
                <w:sz w:val="24"/>
                <w:szCs w:val="24"/>
              </w:rPr>
            </w:pPr>
            <w:r w:rsidRPr="003D0F20">
              <w:rPr>
                <w:rFonts w:ascii="Times New Roman" w:eastAsia="Times New Roman" w:hAnsi="Times New Roman" w:cs="Times New Roman"/>
                <w:b/>
                <w:sz w:val="24"/>
                <w:szCs w:val="24"/>
              </w:rPr>
              <w:t>4.</w:t>
            </w:r>
            <w:r w:rsidR="00890B9A">
              <w:rPr>
                <w:rFonts w:ascii="Times New Roman" w:eastAsia="Times New Roman" w:hAnsi="Times New Roman" w:cs="Times New Roman"/>
                <w:b/>
                <w:sz w:val="24"/>
                <w:szCs w:val="24"/>
              </w:rPr>
              <w:t>4</w:t>
            </w:r>
            <w:r w:rsidRPr="003D0F20">
              <w:rPr>
                <w:rFonts w:ascii="Times New Roman" w:eastAsia="Times New Roman" w:hAnsi="Times New Roman" w:cs="Times New Roman"/>
                <w:b/>
                <w:sz w:val="24"/>
                <w:szCs w:val="24"/>
              </w:rPr>
              <w:t>E-0</w:t>
            </w:r>
            <w:r w:rsidR="00890B9A">
              <w:rPr>
                <w:rFonts w:ascii="Times New Roman" w:eastAsia="Times New Roman" w:hAnsi="Times New Roman" w:cs="Times New Roman"/>
                <w:b/>
                <w:sz w:val="24"/>
                <w:szCs w:val="24"/>
              </w:rPr>
              <w:t>7</w:t>
            </w:r>
          </w:p>
        </w:tc>
        <w:tc>
          <w:tcPr>
            <w:tcW w:w="1134" w:type="dxa"/>
          </w:tcPr>
          <w:p w14:paraId="306E479E" w14:textId="5D634B77" w:rsidR="00685D34" w:rsidRPr="003D0F20" w:rsidRDefault="00000000" w:rsidP="003D0F20">
            <w:pPr>
              <w:spacing w:after="0" w:line="360" w:lineRule="auto"/>
              <w:jc w:val="center"/>
              <w:rPr>
                <w:rFonts w:ascii="Times New Roman" w:eastAsia="Times New Roman" w:hAnsi="Times New Roman" w:cs="Times New Roman"/>
                <w:b/>
                <w:sz w:val="24"/>
                <w:szCs w:val="24"/>
              </w:rPr>
            </w:pPr>
            <w:r w:rsidRPr="003D0F20">
              <w:rPr>
                <w:rFonts w:ascii="Times New Roman" w:eastAsia="Times New Roman" w:hAnsi="Times New Roman" w:cs="Times New Roman"/>
                <w:b/>
                <w:sz w:val="24"/>
                <w:szCs w:val="24"/>
              </w:rPr>
              <w:t>1.</w:t>
            </w:r>
            <w:r w:rsidR="003F41CE">
              <w:rPr>
                <w:rFonts w:ascii="Times New Roman" w:eastAsia="Times New Roman" w:hAnsi="Times New Roman" w:cs="Times New Roman"/>
                <w:b/>
                <w:sz w:val="24"/>
                <w:szCs w:val="24"/>
              </w:rPr>
              <w:t>6</w:t>
            </w:r>
            <w:r w:rsidRPr="003D0F20">
              <w:rPr>
                <w:rFonts w:ascii="Times New Roman" w:eastAsia="Times New Roman" w:hAnsi="Times New Roman" w:cs="Times New Roman"/>
                <w:b/>
                <w:sz w:val="24"/>
                <w:szCs w:val="24"/>
              </w:rPr>
              <w:t>E-08</w:t>
            </w:r>
          </w:p>
        </w:tc>
        <w:tc>
          <w:tcPr>
            <w:tcW w:w="1418" w:type="dxa"/>
          </w:tcPr>
          <w:p w14:paraId="11BE37A4" w14:textId="22F0A6FD" w:rsidR="00685D34" w:rsidRPr="003D0F20" w:rsidRDefault="00000000" w:rsidP="003D0F20">
            <w:pPr>
              <w:spacing w:after="0" w:line="360" w:lineRule="auto"/>
              <w:jc w:val="center"/>
              <w:rPr>
                <w:rFonts w:ascii="Times New Roman" w:eastAsia="Times New Roman" w:hAnsi="Times New Roman" w:cs="Times New Roman"/>
                <w:b/>
                <w:sz w:val="24"/>
                <w:szCs w:val="24"/>
              </w:rPr>
            </w:pPr>
            <w:r w:rsidRPr="003D0F20">
              <w:rPr>
                <w:rFonts w:ascii="Times New Roman" w:eastAsia="Times New Roman" w:hAnsi="Times New Roman" w:cs="Times New Roman"/>
                <w:b/>
                <w:sz w:val="24"/>
                <w:szCs w:val="24"/>
              </w:rPr>
              <w:t>3.</w:t>
            </w:r>
            <w:r w:rsidR="003F41CE">
              <w:rPr>
                <w:rFonts w:ascii="Times New Roman" w:eastAsia="Times New Roman" w:hAnsi="Times New Roman" w:cs="Times New Roman"/>
                <w:b/>
                <w:sz w:val="24"/>
                <w:szCs w:val="24"/>
              </w:rPr>
              <w:t>9</w:t>
            </w:r>
            <w:r w:rsidRPr="003D0F20">
              <w:rPr>
                <w:rFonts w:ascii="Times New Roman" w:eastAsia="Times New Roman" w:hAnsi="Times New Roman" w:cs="Times New Roman"/>
                <w:b/>
                <w:sz w:val="24"/>
                <w:szCs w:val="24"/>
              </w:rPr>
              <w:t>E-08</w:t>
            </w:r>
          </w:p>
        </w:tc>
      </w:tr>
    </w:tbl>
    <w:p w14:paraId="55967DF4" w14:textId="77777777" w:rsidR="00D46DB4" w:rsidRDefault="00D46DB4">
      <w:pPr>
        <w:jc w:val="center"/>
        <w:rPr>
          <w:rFonts w:ascii="Times New Roman" w:eastAsia="Times New Roman" w:hAnsi="Times New Roman" w:cs="Times New Roman"/>
          <w:sz w:val="24"/>
          <w:szCs w:val="24"/>
        </w:rPr>
      </w:pPr>
    </w:p>
    <w:p w14:paraId="709846CF" w14:textId="6E55331B" w:rsidR="00685D34"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274320B6" wp14:editId="554AB9A9">
            <wp:extent cx="5654511" cy="5570896"/>
            <wp:effectExtent l="0" t="0" r="0" b="0"/>
            <wp:docPr id="11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t="9107"/>
                    <a:stretch>
                      <a:fillRect/>
                    </a:stretch>
                  </pic:blipFill>
                  <pic:spPr>
                    <a:xfrm>
                      <a:off x="0" y="0"/>
                      <a:ext cx="5654511" cy="5570896"/>
                    </a:xfrm>
                    <a:prstGeom prst="rect">
                      <a:avLst/>
                    </a:prstGeom>
                    <a:ln/>
                  </pic:spPr>
                </pic:pic>
              </a:graphicData>
            </a:graphic>
          </wp:inline>
        </w:drawing>
      </w:r>
    </w:p>
    <w:p w14:paraId="1CE15582" w14:textId="375F7187" w:rsidR="00685D34" w:rsidRDefault="00000000">
      <w:pPr>
        <w:spacing w:after="2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Fig</w:t>
      </w:r>
      <w:r w:rsidR="006C136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 </w:t>
      </w:r>
      <w:r w:rsidR="00D46DB4">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The PM mass deposition in lungs of children (a to c) and adults (d to f) obtained from the MPPD model at different study sites</w:t>
      </w:r>
    </w:p>
    <w:p w14:paraId="7282D528" w14:textId="121AA3AB" w:rsidR="00AC646E" w:rsidRPr="00AC646E" w:rsidRDefault="00AC646E" w:rsidP="00AC646E">
      <w:pPr>
        <w:widowControl w:val="0"/>
        <w:autoSpaceDE w:val="0"/>
        <w:autoSpaceDN w:val="0"/>
        <w:adjustRightInd w:val="0"/>
        <w:spacing w:after="240" w:line="240" w:lineRule="auto"/>
        <w:ind w:left="480" w:hanging="480"/>
        <w:rPr>
          <w:rFonts w:ascii="Times New Roman" w:eastAsia="Times New Roman" w:hAnsi="Times New Roman" w:cs="Times New Roman"/>
          <w:b/>
          <w:bCs/>
          <w:sz w:val="24"/>
          <w:szCs w:val="24"/>
        </w:rPr>
      </w:pPr>
      <w:r w:rsidRPr="00AC646E">
        <w:rPr>
          <w:rFonts w:ascii="Times New Roman" w:eastAsia="Times New Roman" w:hAnsi="Times New Roman" w:cs="Times New Roman"/>
          <w:b/>
          <w:bCs/>
          <w:sz w:val="24"/>
          <w:szCs w:val="24"/>
        </w:rPr>
        <w:t>References</w:t>
      </w:r>
    </w:p>
    <w:p w14:paraId="309B2B90" w14:textId="2096FEC8"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Pr>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 xml:space="preserve">ADDIN Mendeley Bibliography CSL_BIBLIOGRAPHY </w:instrText>
      </w:r>
      <w:r>
        <w:rPr>
          <w:rFonts w:ascii="Times New Roman" w:eastAsia="Times New Roman" w:hAnsi="Times New Roman" w:cs="Times New Roman"/>
          <w:sz w:val="24"/>
          <w:szCs w:val="24"/>
        </w:rPr>
        <w:fldChar w:fldCharType="separate"/>
      </w:r>
      <w:r w:rsidRPr="00130F3A">
        <w:rPr>
          <w:rFonts w:ascii="Times New Roman" w:hAnsi="Times New Roman" w:cs="Times New Roman"/>
          <w:noProof/>
          <w:sz w:val="24"/>
          <w:szCs w:val="24"/>
        </w:rPr>
        <w:t xml:space="preserve">Bes, I. (2012). </w:t>
      </w:r>
      <w:r w:rsidRPr="00130F3A">
        <w:rPr>
          <w:rFonts w:ascii="Times New Roman" w:hAnsi="Times New Roman" w:cs="Times New Roman"/>
          <w:i/>
          <w:iCs/>
          <w:noProof/>
          <w:sz w:val="24"/>
          <w:szCs w:val="24"/>
        </w:rPr>
        <w:t>Winter Mass Concentrations of Carbon Species in PM 10 , PM 2 . 5 and PM 1 in Zagreb Air , Croatia</w:t>
      </w:r>
      <w:r w:rsidRPr="00130F3A">
        <w:rPr>
          <w:rFonts w:ascii="Times New Roman" w:hAnsi="Times New Roman" w:cs="Times New Roman"/>
          <w:noProof/>
          <w:sz w:val="24"/>
          <w:szCs w:val="24"/>
        </w:rPr>
        <w:t>. 1087–1090. https://doi.org/10.1007/s00128-012-0787-4</w:t>
      </w:r>
    </w:p>
    <w:p w14:paraId="4BE2F805"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Chithra, V. S., &amp; Nagendra, S. M. S. (2013). Chemical and morphological characteristics of indoor and outdoor particulate matter in an urban environment. </w:t>
      </w:r>
      <w:r w:rsidRPr="00130F3A">
        <w:rPr>
          <w:rFonts w:ascii="Times New Roman" w:hAnsi="Times New Roman" w:cs="Times New Roman"/>
          <w:i/>
          <w:iCs/>
          <w:noProof/>
          <w:sz w:val="24"/>
          <w:szCs w:val="24"/>
        </w:rPr>
        <w:t>Atmospheric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77</w:t>
      </w:r>
      <w:r w:rsidRPr="00130F3A">
        <w:rPr>
          <w:rFonts w:ascii="Times New Roman" w:hAnsi="Times New Roman" w:cs="Times New Roman"/>
          <w:noProof/>
          <w:sz w:val="24"/>
          <w:szCs w:val="24"/>
        </w:rPr>
        <w:t>, 579–587. https://doi.org/10.1016/j.atmosenv.2013.05.044</w:t>
      </w:r>
    </w:p>
    <w:p w14:paraId="5D51C74F"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Choochuay, C., Pongpiachan, S., Tipmanee, D., Deelaman, W., Suttinun, O., Wang, Q., Xing, L., Li, G., Han, Y., Palakun, J., Poshyachinda, S., Aukkaravittayapun, S., Surapipith, V., &amp; Cao, J. (2020). Long-range transboundary atmospheric transport of polycyclic aromatic hydrocarbons, carbonaceous compositions, and water-soluble ionic species in southern thailand.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20</w:t>
      </w:r>
      <w:r w:rsidRPr="00130F3A">
        <w:rPr>
          <w:rFonts w:ascii="Times New Roman" w:hAnsi="Times New Roman" w:cs="Times New Roman"/>
          <w:noProof/>
          <w:sz w:val="24"/>
          <w:szCs w:val="24"/>
        </w:rPr>
        <w:t>(7), 1591–1606. https://doi.org/10.4209/aaqr.2020.03.0120</w:t>
      </w:r>
    </w:p>
    <w:p w14:paraId="25580654"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lastRenderedPageBreak/>
        <w:t xml:space="preserve">Colbeck, I., Nasir, Z. A., Ahmad, S., &amp; Ali, Z. (2011). </w:t>
      </w:r>
      <w:r w:rsidRPr="00130F3A">
        <w:rPr>
          <w:rFonts w:ascii="Times New Roman" w:hAnsi="Times New Roman" w:cs="Times New Roman"/>
          <w:i/>
          <w:iCs/>
          <w:noProof/>
          <w:sz w:val="24"/>
          <w:szCs w:val="24"/>
        </w:rPr>
        <w:t>Lahore , Pakistan</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w:t>
      </w:r>
      <w:r w:rsidRPr="00130F3A">
        <w:rPr>
          <w:rFonts w:ascii="Times New Roman" w:hAnsi="Times New Roman" w:cs="Times New Roman"/>
          <w:noProof/>
          <w:sz w:val="24"/>
          <w:szCs w:val="24"/>
        </w:rPr>
        <w:t>, 689–695.</w:t>
      </w:r>
    </w:p>
    <w:p w14:paraId="3CF79C2F"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Devi, N. L., Kumar, A., &amp; Yadav, I. C. (2020). PM10 and PM2.5 in Indo-Gangetic Plain (IGP) of India: Chemical characterization, source analysis, and transport pathways. </w:t>
      </w:r>
      <w:r w:rsidRPr="00130F3A">
        <w:rPr>
          <w:rFonts w:ascii="Times New Roman" w:hAnsi="Times New Roman" w:cs="Times New Roman"/>
          <w:i/>
          <w:iCs/>
          <w:noProof/>
          <w:sz w:val="24"/>
          <w:szCs w:val="24"/>
        </w:rPr>
        <w:t>Urban Climate</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33</w:t>
      </w:r>
      <w:r w:rsidRPr="00130F3A">
        <w:rPr>
          <w:rFonts w:ascii="Times New Roman" w:hAnsi="Times New Roman" w:cs="Times New Roman"/>
          <w:noProof/>
          <w:sz w:val="24"/>
          <w:szCs w:val="24"/>
        </w:rPr>
        <w:t>, 100663. https://doi.org/10.1016/J.UCLIM.2020.100663</w:t>
      </w:r>
    </w:p>
    <w:p w14:paraId="022F7E7C"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Fujii, Y., Mahmud, M., Tohno, S., Okuda, T., &amp; Mizohata, A. (2016). </w:t>
      </w:r>
      <w:r w:rsidRPr="00130F3A">
        <w:rPr>
          <w:rFonts w:ascii="Times New Roman" w:hAnsi="Times New Roman" w:cs="Times New Roman"/>
          <w:i/>
          <w:iCs/>
          <w:noProof/>
          <w:sz w:val="24"/>
          <w:szCs w:val="24"/>
        </w:rPr>
        <w:t>A Case Study of PM 2 . 5 Characterization in Bangi , Selangor , Malaysia during the Southwest Monsoon Season</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Mahmud 2009</w:t>
      </w:r>
      <w:r w:rsidRPr="00130F3A">
        <w:rPr>
          <w:rFonts w:ascii="Times New Roman" w:hAnsi="Times New Roman" w:cs="Times New Roman"/>
          <w:noProof/>
          <w:sz w:val="24"/>
          <w:szCs w:val="24"/>
        </w:rPr>
        <w:t>, 2685–2691. https://doi.org/10.4209/aaqr.2015.04.0277</w:t>
      </w:r>
    </w:p>
    <w:p w14:paraId="7314127E"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Garg, A., &amp; Arvind, N. C. G. (2022). Spatio ‑ Temporal Variability and Health Risk Assessment of Benzo [ a ] pyrene in Different Population Through Ambient Air Exposure in Delhi ,. </w:t>
      </w:r>
      <w:r w:rsidRPr="00130F3A">
        <w:rPr>
          <w:rFonts w:ascii="Times New Roman" w:hAnsi="Times New Roman" w:cs="Times New Roman"/>
          <w:i/>
          <w:iCs/>
          <w:noProof/>
          <w:sz w:val="24"/>
          <w:szCs w:val="24"/>
        </w:rPr>
        <w:t>Exposure and Health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14</w:t>
      </w:r>
      <w:r w:rsidRPr="00130F3A">
        <w:rPr>
          <w:rFonts w:ascii="Times New Roman" w:hAnsi="Times New Roman" w:cs="Times New Roman"/>
          <w:noProof/>
          <w:sz w:val="24"/>
          <w:szCs w:val="24"/>
        </w:rPr>
        <w:t>(1), 111–127. https://doi.org/10.1007/s12403-021-00422-8</w:t>
      </w:r>
    </w:p>
    <w:p w14:paraId="6416557F"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Gluščić, V., Čačković, M., Pehnec, G., &amp; Bešlić, I. (2020). Ionic composition of PM 2 . 5 particle fraction at a coastal urban background site in Croatia. </w:t>
      </w:r>
      <w:r w:rsidRPr="00130F3A">
        <w:rPr>
          <w:rFonts w:ascii="Times New Roman" w:hAnsi="Times New Roman" w:cs="Times New Roman"/>
          <w:i/>
          <w:iCs/>
          <w:noProof/>
          <w:sz w:val="24"/>
          <w:szCs w:val="24"/>
        </w:rPr>
        <w:t>Atmospheric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w:t>
      </w:r>
      <w:r w:rsidRPr="00130F3A">
        <w:rPr>
          <w:rFonts w:ascii="Times New Roman" w:hAnsi="Times New Roman" w:cs="Times New Roman"/>
          <w:noProof/>
          <w:sz w:val="24"/>
          <w:szCs w:val="24"/>
        </w:rPr>
        <w:t>(12), 2202–2214. https://doi.org/10.1016/j.apr.2020.07.004</w:t>
      </w:r>
    </w:p>
    <w:p w14:paraId="47DAE54B"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Jahedi, F., Rad, H. D., Goudarzi, G., Babaei, A. A., &amp; Angali, K. A. (2021). </w:t>
      </w:r>
      <w:r w:rsidRPr="00130F3A">
        <w:rPr>
          <w:rFonts w:ascii="Times New Roman" w:hAnsi="Times New Roman" w:cs="Times New Roman"/>
          <w:i/>
          <w:iCs/>
          <w:noProof/>
          <w:sz w:val="24"/>
          <w:szCs w:val="24"/>
        </w:rPr>
        <w:t>Polycyclic aromatic hydrocarbons in PM 1 , PM 2 . 5 and PM 10 atmospheric particles : identification , sources , temporal and spatial variations</w:t>
      </w:r>
      <w:r w:rsidRPr="00130F3A">
        <w:rPr>
          <w:rFonts w:ascii="Times New Roman" w:hAnsi="Times New Roman" w:cs="Times New Roman"/>
          <w:noProof/>
          <w:sz w:val="24"/>
          <w:szCs w:val="24"/>
        </w:rPr>
        <w:t>. 851–866.</w:t>
      </w:r>
    </w:p>
    <w:p w14:paraId="339B474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Jithin, N. M., Gowtham, J., &amp; Srimuruganandam, A. B. B. (2022). Mass , composition , and sources of particulate matter in residential and traffic sites of an urban environment. </w:t>
      </w:r>
      <w:r w:rsidRPr="00130F3A">
        <w:rPr>
          <w:rFonts w:ascii="Times New Roman" w:hAnsi="Times New Roman" w:cs="Times New Roman"/>
          <w:i/>
          <w:iCs/>
          <w:noProof/>
          <w:sz w:val="24"/>
          <w:szCs w:val="24"/>
        </w:rPr>
        <w:t>Environmental Geochemistry and Health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0123456789</w:t>
      </w:r>
      <w:r w:rsidRPr="00130F3A">
        <w:rPr>
          <w:rFonts w:ascii="Times New Roman" w:hAnsi="Times New Roman" w:cs="Times New Roman"/>
          <w:noProof/>
          <w:sz w:val="24"/>
          <w:szCs w:val="24"/>
        </w:rPr>
        <w:t>. https://doi.org/10.1007/s10653-022-01327-4</w:t>
      </w:r>
    </w:p>
    <w:p w14:paraId="6709A716"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Jodeh, S., Hasan, A. R., Amarah, J., Judeh, F., Salghi, R., Lgaz, H., &amp; Jodeh, W. (2018). </w:t>
      </w:r>
      <w:r w:rsidRPr="00130F3A">
        <w:rPr>
          <w:rFonts w:ascii="Times New Roman" w:hAnsi="Times New Roman" w:cs="Times New Roman"/>
          <w:i/>
          <w:iCs/>
          <w:noProof/>
          <w:sz w:val="24"/>
          <w:szCs w:val="24"/>
        </w:rPr>
        <w:t>Indoor and outdoor air quality analysis for the city of Nablus of residential homes</w:t>
      </w:r>
      <w:r w:rsidRPr="00130F3A">
        <w:rPr>
          <w:rFonts w:ascii="Times New Roman" w:hAnsi="Times New Roman" w:cs="Times New Roman"/>
          <w:noProof/>
          <w:sz w:val="24"/>
          <w:szCs w:val="24"/>
        </w:rPr>
        <w:t>. 229–237.</w:t>
      </w:r>
    </w:p>
    <w:p w14:paraId="785BD759"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Kim, K. H., Sekiguchi, K., Kudo, S., &amp; Sakamoto, K. (2011). Characteristics of Atmospheric Elemental Carbon (Char and Soot) in Ultrafine and Fine Particles in a Roadside Environment, Japan.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w:t>
      </w:r>
      <w:r w:rsidRPr="00130F3A">
        <w:rPr>
          <w:rFonts w:ascii="Times New Roman" w:hAnsi="Times New Roman" w:cs="Times New Roman"/>
          <w:noProof/>
          <w:sz w:val="24"/>
          <w:szCs w:val="24"/>
        </w:rPr>
        <w:t>(1), 1–12. https://doi.org/10.4209/aaqr.2010.07.0061</w:t>
      </w:r>
    </w:p>
    <w:p w14:paraId="766161CC"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Kumar, A., &amp; Attri, A. K. (2016). Biomass combustion a dominant source of carbonaceous aerosols in the ambient environment of Western Himalayas.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16</w:t>
      </w:r>
      <w:r w:rsidRPr="00130F3A">
        <w:rPr>
          <w:rFonts w:ascii="Times New Roman" w:hAnsi="Times New Roman" w:cs="Times New Roman"/>
          <w:noProof/>
          <w:sz w:val="24"/>
          <w:szCs w:val="24"/>
        </w:rPr>
        <w:t>(3), 519–529. https://doi.org/10.4209/aaqr.2015.05.0284</w:t>
      </w:r>
    </w:p>
    <w:p w14:paraId="10F1C1AE"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Kumar, P., Kumar, S., &amp; Yadav, S. (2018). Seasonal variations in size distribution, water-soluble ions, and carbon content of size-segregated aerosols over New Delhi. </w:t>
      </w:r>
      <w:r w:rsidRPr="00130F3A">
        <w:rPr>
          <w:rFonts w:ascii="Times New Roman" w:hAnsi="Times New Roman" w:cs="Times New Roman"/>
          <w:i/>
          <w:iCs/>
          <w:noProof/>
          <w:sz w:val="24"/>
          <w:szCs w:val="24"/>
        </w:rPr>
        <w:t>Environmental Science and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25</w:t>
      </w:r>
      <w:r w:rsidRPr="00130F3A">
        <w:rPr>
          <w:rFonts w:ascii="Times New Roman" w:hAnsi="Times New Roman" w:cs="Times New Roman"/>
          <w:noProof/>
          <w:sz w:val="24"/>
          <w:szCs w:val="24"/>
        </w:rPr>
        <w:t>(6), 6061–6078. https://doi.org/10.1007/s11356-017-0954-6</w:t>
      </w:r>
    </w:p>
    <w:p w14:paraId="259FD959"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 B., Zhang, J., Zhao, Y., Yuan, S., Zhao, Q., Shen, G., &amp; Wu, H. (2015). Seasonal variation of urban carbonaceous aerosols in a typical city Nanjing in Yangtze River Delta, China. </w:t>
      </w:r>
      <w:r w:rsidRPr="00130F3A">
        <w:rPr>
          <w:rFonts w:ascii="Times New Roman" w:hAnsi="Times New Roman" w:cs="Times New Roman"/>
          <w:i/>
          <w:iCs/>
          <w:noProof/>
          <w:sz w:val="24"/>
          <w:szCs w:val="24"/>
        </w:rPr>
        <w:t>Atmospheric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106</w:t>
      </w:r>
      <w:r w:rsidRPr="00130F3A">
        <w:rPr>
          <w:rFonts w:ascii="Times New Roman" w:hAnsi="Times New Roman" w:cs="Times New Roman"/>
          <w:noProof/>
          <w:sz w:val="24"/>
          <w:szCs w:val="24"/>
        </w:rPr>
        <w:t>, 223–231. https://doi.org/10.1016/j.atmosenv.2015.01.064</w:t>
      </w:r>
    </w:p>
    <w:p w14:paraId="0061FA76"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 H., Wang, Q., Yang, M., Li, F., Wang, J., Sun, Y., Wang, C., Wu, H., &amp; Qian, X. (2016). </w:t>
      </w:r>
      <w:r w:rsidRPr="00130F3A">
        <w:rPr>
          <w:rFonts w:ascii="Times New Roman" w:hAnsi="Times New Roman" w:cs="Times New Roman"/>
          <w:noProof/>
          <w:sz w:val="24"/>
          <w:szCs w:val="24"/>
        </w:rPr>
        <w:lastRenderedPageBreak/>
        <w:t xml:space="preserve">Chemical characterization and source apportionment of PM2.5 aerosols in a megacity of Southeast China. </w:t>
      </w:r>
      <w:r w:rsidRPr="00130F3A">
        <w:rPr>
          <w:rFonts w:ascii="Times New Roman" w:hAnsi="Times New Roman" w:cs="Times New Roman"/>
          <w:i/>
          <w:iCs/>
          <w:noProof/>
          <w:sz w:val="24"/>
          <w:szCs w:val="24"/>
        </w:rPr>
        <w:t>Atmospheric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181</w:t>
      </w:r>
      <w:r w:rsidRPr="00130F3A">
        <w:rPr>
          <w:rFonts w:ascii="Times New Roman" w:hAnsi="Times New Roman" w:cs="Times New Roman"/>
          <w:noProof/>
          <w:sz w:val="24"/>
          <w:szCs w:val="24"/>
        </w:rPr>
        <w:t>, 288–299. https://doi.org/10.1016/J.ATMOSRES.2016.07.005</w:t>
      </w:r>
    </w:p>
    <w:p w14:paraId="49D22D26"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Lim, S., Lee, M., Lee, G., Kim, S., Yoon, S., &amp; Kang, K. (2012). Ionic and carbonaceous compositions of PM10, PM2.5 and PM1.0 at Gosan ABC Superstation and their ratios as source signature. </w:t>
      </w:r>
      <w:r w:rsidRPr="00130F3A">
        <w:rPr>
          <w:rFonts w:ascii="Times New Roman" w:hAnsi="Times New Roman" w:cs="Times New Roman"/>
          <w:i/>
          <w:iCs/>
          <w:noProof/>
          <w:sz w:val="24"/>
          <w:szCs w:val="24"/>
        </w:rPr>
        <w:t>Atmospheric Chemistry and Physics</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12</w:t>
      </w:r>
      <w:r w:rsidRPr="00130F3A">
        <w:rPr>
          <w:rFonts w:ascii="Times New Roman" w:hAnsi="Times New Roman" w:cs="Times New Roman"/>
          <w:noProof/>
          <w:sz w:val="24"/>
          <w:szCs w:val="24"/>
        </w:rPr>
        <w:t>(4), 2007–2024. https://doi.org/10.5194/acp-12-2007-2012</w:t>
      </w:r>
    </w:p>
    <w:p w14:paraId="1F1AF20F"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Liu, H., Jia, M., You, K., Wang, J., Tao, J., Liu, H., Zhang, R., Li, L., Xu, M., Ren, Y., Zhao, Y., Liu, Y., Cheng, K., Fan, Y., &amp; Li, J. (2022). Elucidating the Chemical Compositions and Source Apportionment of Multi-Size Atmospheric Particulate (PM10, PM2.5 and PM1) in 2019–2020 Winter in Xinxiang, North China. </w:t>
      </w:r>
      <w:r w:rsidRPr="00130F3A">
        <w:rPr>
          <w:rFonts w:ascii="Times New Roman" w:hAnsi="Times New Roman" w:cs="Times New Roman"/>
          <w:i/>
          <w:iCs/>
          <w:noProof/>
          <w:sz w:val="24"/>
          <w:szCs w:val="24"/>
        </w:rPr>
        <w:t>Atmosphere</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13</w:t>
      </w:r>
      <w:r w:rsidRPr="00130F3A">
        <w:rPr>
          <w:rFonts w:ascii="Times New Roman" w:hAnsi="Times New Roman" w:cs="Times New Roman"/>
          <w:noProof/>
          <w:sz w:val="24"/>
          <w:szCs w:val="24"/>
        </w:rPr>
        <w:t>(9). https://doi.org/10.3390/atmos13091400</w:t>
      </w:r>
    </w:p>
    <w:p w14:paraId="67C4F6D9"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Mahapatra, P. S., Panda, U., Mallik, C., Boopathy, R., Jain, S., Sharma, S. K., Mandal, T. K., Senapati, S., Satpathy, P., Panda, S., &amp; Das, T. (2021). Chemical, microstructural, and biological characterization of wintertime PM2.5 during a land campaign study in a coastal city of eastern India. </w:t>
      </w:r>
      <w:r w:rsidRPr="00130F3A">
        <w:rPr>
          <w:rFonts w:ascii="Times New Roman" w:hAnsi="Times New Roman" w:cs="Times New Roman"/>
          <w:i/>
          <w:iCs/>
          <w:noProof/>
          <w:sz w:val="24"/>
          <w:szCs w:val="24"/>
        </w:rPr>
        <w:t>Atmospheric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12</w:t>
      </w:r>
      <w:r w:rsidRPr="00130F3A">
        <w:rPr>
          <w:rFonts w:ascii="Times New Roman" w:hAnsi="Times New Roman" w:cs="Times New Roman"/>
          <w:noProof/>
          <w:sz w:val="24"/>
          <w:szCs w:val="24"/>
        </w:rPr>
        <w:t>(9), 101164. https://doi.org/10.1016/j.apr.2021.101164</w:t>
      </w:r>
    </w:p>
    <w:p w14:paraId="0A3ED507"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Masiol, M., Benetello, F., Harrison, R. M., Formenton, G., De Gaspari, F., &amp; Pavoni, B. (2015). Spatial, seasonal trends and transboundary transport of PM2.5 inorganic ions in the Veneto region (Northeastern Italy). </w:t>
      </w:r>
      <w:r w:rsidRPr="00130F3A">
        <w:rPr>
          <w:rFonts w:ascii="Times New Roman" w:hAnsi="Times New Roman" w:cs="Times New Roman"/>
          <w:i/>
          <w:iCs/>
          <w:noProof/>
          <w:sz w:val="24"/>
          <w:szCs w:val="24"/>
        </w:rPr>
        <w:t>Atmospheric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117</w:t>
      </w:r>
      <w:r w:rsidRPr="00130F3A">
        <w:rPr>
          <w:rFonts w:ascii="Times New Roman" w:hAnsi="Times New Roman" w:cs="Times New Roman"/>
          <w:noProof/>
          <w:sz w:val="24"/>
          <w:szCs w:val="24"/>
        </w:rPr>
        <w:t>, 19–31. https://doi.org/10.1016/J.ATMOSENV.2015.06.044</w:t>
      </w:r>
    </w:p>
    <w:p w14:paraId="277F1A21"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Massey, D., Kulshrestha, A., Masih, J., &amp; Taneja, A. (2012). of residential homes located in North-Central India. </w:t>
      </w:r>
      <w:r w:rsidRPr="00130F3A">
        <w:rPr>
          <w:rFonts w:ascii="Times New Roman" w:hAnsi="Times New Roman" w:cs="Times New Roman"/>
          <w:i/>
          <w:iCs/>
          <w:noProof/>
          <w:sz w:val="24"/>
          <w:szCs w:val="24"/>
        </w:rPr>
        <w:t>Building and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47</w:t>
      </w:r>
      <w:r w:rsidRPr="00130F3A">
        <w:rPr>
          <w:rFonts w:ascii="Times New Roman" w:hAnsi="Times New Roman" w:cs="Times New Roman"/>
          <w:noProof/>
          <w:sz w:val="24"/>
          <w:szCs w:val="24"/>
        </w:rPr>
        <w:t>, 223–231. https://doi.org/10.1016/j.buildenv.2011.07.018</w:t>
      </w:r>
    </w:p>
    <w:p w14:paraId="521A1A6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Mishra, M., &amp; Kulshrestha, U. C. (2021). Source impact analysis using char-ec/soot-ec ratios in the central indo-gangetic plain (Igp) of India.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21</w:t>
      </w:r>
      <w:r w:rsidRPr="00130F3A">
        <w:rPr>
          <w:rFonts w:ascii="Times New Roman" w:hAnsi="Times New Roman" w:cs="Times New Roman"/>
          <w:noProof/>
          <w:sz w:val="24"/>
          <w:szCs w:val="24"/>
        </w:rPr>
        <w:t>(9), 1–17. https://doi.org/10.4209/aaqr.200628</w:t>
      </w:r>
    </w:p>
    <w:p w14:paraId="4E731CDC"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Nadali, A., Arfaeinia, H., Asadgol, Z., &amp; Fahiminia, M. (2020). Indoor and outdoor concentration of PM 10 , PM 2 . 5 and PM 1 in residential building and evaluation of negative air ions ( NAIs ) in indoor PM removal. </w:t>
      </w:r>
      <w:r w:rsidRPr="00130F3A">
        <w:rPr>
          <w:rFonts w:ascii="Times New Roman" w:hAnsi="Times New Roman" w:cs="Times New Roman"/>
          <w:i/>
          <w:iCs/>
          <w:noProof/>
          <w:sz w:val="24"/>
          <w:szCs w:val="24"/>
        </w:rPr>
        <w:t>Environmental Pollutants and Bioavailability</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32</w:t>
      </w:r>
      <w:r w:rsidRPr="00130F3A">
        <w:rPr>
          <w:rFonts w:ascii="Times New Roman" w:hAnsi="Times New Roman" w:cs="Times New Roman"/>
          <w:noProof/>
          <w:sz w:val="24"/>
          <w:szCs w:val="24"/>
        </w:rPr>
        <w:t>(1), 47–55. https://doi.org/10.1080/26395940.2020.1728198</w:t>
      </w:r>
    </w:p>
    <w:p w14:paraId="3126F60B"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Police, S., Sahu, S. K., &amp; Pandit, G. G. (2016). Chemical characterization of atmospheric particulate matter and their source apportionment at an emerging industrial coastal city ,. </w:t>
      </w:r>
      <w:r w:rsidRPr="00130F3A">
        <w:rPr>
          <w:rFonts w:ascii="Times New Roman" w:hAnsi="Times New Roman" w:cs="Times New Roman"/>
          <w:i/>
          <w:iCs/>
          <w:noProof/>
          <w:sz w:val="24"/>
          <w:szCs w:val="24"/>
        </w:rPr>
        <w:t>Atmospheric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7</w:t>
      </w:r>
      <w:r w:rsidRPr="00130F3A">
        <w:rPr>
          <w:rFonts w:ascii="Times New Roman" w:hAnsi="Times New Roman" w:cs="Times New Roman"/>
          <w:noProof/>
          <w:sz w:val="24"/>
          <w:szCs w:val="24"/>
        </w:rPr>
        <w:t>(4), 725–733. https://doi.org/10.1016/j.apr.2016.03.007</w:t>
      </w:r>
    </w:p>
    <w:p w14:paraId="3EB9E0D5"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Sahu, R. K., Pervez, S., Chow, J. C., Watson, J. G., Tiwari, S., Panicker, A. S., Chakrabarty, R. K., &amp; Pervez, Y. F. (2018). Temporal and spatial variations of PM2.5 organic and elemental carbon in Central India. </w:t>
      </w:r>
      <w:r w:rsidRPr="00130F3A">
        <w:rPr>
          <w:rFonts w:ascii="Times New Roman" w:hAnsi="Times New Roman" w:cs="Times New Roman"/>
          <w:i/>
          <w:iCs/>
          <w:noProof/>
          <w:sz w:val="24"/>
          <w:szCs w:val="24"/>
        </w:rPr>
        <w:t>Environmental Geochemistry and Health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40</w:t>
      </w:r>
      <w:r w:rsidRPr="00130F3A">
        <w:rPr>
          <w:rFonts w:ascii="Times New Roman" w:hAnsi="Times New Roman" w:cs="Times New Roman"/>
          <w:noProof/>
          <w:sz w:val="24"/>
          <w:szCs w:val="24"/>
        </w:rPr>
        <w:t>(5), 2205–2222. https://doi.org/10.1007/s10653-018-0093-0</w:t>
      </w:r>
    </w:p>
    <w:p w14:paraId="7BF3273D"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Souza, D. Z., Vasconcellos, P. C., Lee, H., Aurela, M., Saarnio, K., Teinilä, K., &amp; Hillamo, R. (2014). </w:t>
      </w:r>
      <w:r w:rsidRPr="00130F3A">
        <w:rPr>
          <w:rFonts w:ascii="Times New Roman" w:hAnsi="Times New Roman" w:cs="Times New Roman"/>
          <w:i/>
          <w:iCs/>
          <w:noProof/>
          <w:sz w:val="24"/>
          <w:szCs w:val="24"/>
        </w:rPr>
        <w:t>Composition of PM 2 . 5 and PM 10 Collected at Urban Sites in Brazil</w:t>
      </w:r>
      <w:r w:rsidRPr="00130F3A">
        <w:rPr>
          <w:rFonts w:ascii="Times New Roman" w:hAnsi="Times New Roman" w:cs="Times New Roman"/>
          <w:noProof/>
          <w:sz w:val="24"/>
          <w:szCs w:val="24"/>
        </w:rPr>
        <w:t>. 168–</w:t>
      </w:r>
      <w:r w:rsidRPr="00130F3A">
        <w:rPr>
          <w:rFonts w:ascii="Times New Roman" w:hAnsi="Times New Roman" w:cs="Times New Roman"/>
          <w:noProof/>
          <w:sz w:val="24"/>
          <w:szCs w:val="24"/>
        </w:rPr>
        <w:lastRenderedPageBreak/>
        <w:t>176. https://doi.org/10.4209/aaqr.2013.03.0071</w:t>
      </w:r>
    </w:p>
    <w:p w14:paraId="3A354386"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Srimuruganandam, B., &amp; Shiva Nagendra, S. M. (2011). Chemical characterization of PM10 and PM2.5 mass concentrations emitted by heterogeneous traffic. </w:t>
      </w:r>
      <w:r w:rsidRPr="00130F3A">
        <w:rPr>
          <w:rFonts w:ascii="Times New Roman" w:hAnsi="Times New Roman" w:cs="Times New Roman"/>
          <w:i/>
          <w:iCs/>
          <w:noProof/>
          <w:sz w:val="24"/>
          <w:szCs w:val="24"/>
        </w:rPr>
        <w:t>Science of The Total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409</w:t>
      </w:r>
      <w:r w:rsidRPr="00130F3A">
        <w:rPr>
          <w:rFonts w:ascii="Times New Roman" w:hAnsi="Times New Roman" w:cs="Times New Roman"/>
          <w:noProof/>
          <w:sz w:val="24"/>
          <w:szCs w:val="24"/>
        </w:rPr>
        <w:t>(17), 3144–3157. https://doi.org/10.1016/J.SCITOTENV.2011.04.042</w:t>
      </w:r>
    </w:p>
    <w:p w14:paraId="286C48F8"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Talbi, A., Kerchich, Y., &amp; Kerbachi, R. (2018). </w:t>
      </w:r>
      <w:r w:rsidRPr="00130F3A">
        <w:rPr>
          <w:rFonts w:ascii="Times New Roman" w:hAnsi="Times New Roman" w:cs="Times New Roman"/>
          <w:i/>
          <w:iCs/>
          <w:noProof/>
          <w:sz w:val="24"/>
          <w:szCs w:val="24"/>
        </w:rPr>
        <w:t>Assessment of annual air pollution levels with PM1 , PM2 . 5 , PM10 and associated heavy metals in Algiers , Algeria * nou e</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232</w:t>
      </w:r>
      <w:r w:rsidRPr="00130F3A">
        <w:rPr>
          <w:rFonts w:ascii="Times New Roman" w:hAnsi="Times New Roman" w:cs="Times New Roman"/>
          <w:noProof/>
          <w:sz w:val="24"/>
          <w:szCs w:val="24"/>
        </w:rPr>
        <w:t>, 252–263. https://doi.org/10.1016/j.envpol.2017.09.041</w:t>
      </w:r>
    </w:p>
    <w:p w14:paraId="5D380B0A"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Tham, J., Sarkar, S., Jia, S., Reid, J. S., Mishra, S., Sudiana, I. M., Swarup, S., Ong, C. N., &amp; Yu, L. E. (2019). Impacts of peat-forest smoke on urban PM2.5 in the Maritime Continent during 2012–2015: Carbonaceous profiles and indicators. </w:t>
      </w:r>
      <w:r w:rsidRPr="00130F3A">
        <w:rPr>
          <w:rFonts w:ascii="Times New Roman" w:hAnsi="Times New Roman" w:cs="Times New Roman"/>
          <w:i/>
          <w:iCs/>
          <w:noProof/>
          <w:sz w:val="24"/>
          <w:szCs w:val="24"/>
        </w:rPr>
        <w:t>Environmental Pollution</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248</w:t>
      </w:r>
      <w:r w:rsidRPr="00130F3A">
        <w:rPr>
          <w:rFonts w:ascii="Times New Roman" w:hAnsi="Times New Roman" w:cs="Times New Roman"/>
          <w:noProof/>
          <w:sz w:val="24"/>
          <w:szCs w:val="24"/>
        </w:rPr>
        <w:t>, 496–505. https://doi.org/10.1016/j.envpol.2019.02.049</w:t>
      </w:r>
    </w:p>
    <w:p w14:paraId="4A0C5A45"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Thi, N., Thuy, T., Dung, N. T., Sekiguchi, K., Thuy, L. B., Thi, N., Hien, T., &amp; Yamaguchi, R. (2018). </w:t>
      </w:r>
      <w:r w:rsidRPr="00130F3A">
        <w:rPr>
          <w:rFonts w:ascii="Times New Roman" w:hAnsi="Times New Roman" w:cs="Times New Roman"/>
          <w:i/>
          <w:iCs/>
          <w:noProof/>
          <w:sz w:val="24"/>
          <w:szCs w:val="24"/>
        </w:rPr>
        <w:t>at Urban Locations in Hanoi , Vietnam</w:t>
      </w:r>
      <w:r w:rsidRPr="00130F3A">
        <w:rPr>
          <w:rFonts w:ascii="Times New Roman" w:hAnsi="Times New Roman" w:cs="Times New Roman"/>
          <w:noProof/>
          <w:sz w:val="24"/>
          <w:szCs w:val="24"/>
        </w:rPr>
        <w:t>. 1591–1605. https://doi.org/10.4209/aaqr.2017.11.0502</w:t>
      </w:r>
    </w:p>
    <w:p w14:paraId="56EFE886"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Zhang, J., Yang, L., Mellouki, A., Wen, L., Yang, Y., &amp; Gao, Y. (2016). </w:t>
      </w:r>
      <w:r w:rsidRPr="00130F3A">
        <w:rPr>
          <w:rFonts w:ascii="Times New Roman" w:hAnsi="Times New Roman" w:cs="Times New Roman"/>
          <w:i/>
          <w:iCs/>
          <w:noProof/>
          <w:sz w:val="24"/>
          <w:szCs w:val="24"/>
        </w:rPr>
        <w:t>Science of the Total Environment Chemical characteristics and in fl uence of continental out fl ow on PM 1 . 0 , PM 2 . 5 and PM 10 measured at Tuoji island in the Bohai Sea</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573</w:t>
      </w:r>
      <w:r w:rsidRPr="00130F3A">
        <w:rPr>
          <w:rFonts w:ascii="Times New Roman" w:hAnsi="Times New Roman" w:cs="Times New Roman"/>
          <w:noProof/>
          <w:sz w:val="24"/>
          <w:szCs w:val="24"/>
        </w:rPr>
        <w:t>, 699–706. https://doi.org/10.1016/j.scitotenv.2016.08.146</w:t>
      </w:r>
    </w:p>
    <w:p w14:paraId="4CB84641"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rPr>
      </w:pPr>
      <w:r w:rsidRPr="00130F3A">
        <w:rPr>
          <w:rFonts w:ascii="Times New Roman" w:hAnsi="Times New Roman" w:cs="Times New Roman"/>
          <w:noProof/>
          <w:sz w:val="24"/>
          <w:szCs w:val="24"/>
        </w:rPr>
        <w:t xml:space="preserve">Zhao, P. S., Dong, F., He, D., Zhao, X. J., Zhang, X. L., Zhang, W. Z., Yao, Q., &amp; Liu, H. Y. (2013). Characteristics of concentrations and chemical compositions for PM&amp;amp;lt;sub&amp;amp;gt;2.5&amp;amp;lt;/sub&amp;amp;gt; in the region of Beijing, Tianjin, and Hebei, China. </w:t>
      </w:r>
      <w:r w:rsidRPr="00130F3A">
        <w:rPr>
          <w:rFonts w:ascii="Times New Roman" w:hAnsi="Times New Roman" w:cs="Times New Roman"/>
          <w:i/>
          <w:iCs/>
          <w:noProof/>
          <w:sz w:val="24"/>
          <w:szCs w:val="24"/>
        </w:rPr>
        <w:t>Atmospheric Chemistry and Physics</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13</w:t>
      </w:r>
      <w:r w:rsidRPr="00130F3A">
        <w:rPr>
          <w:rFonts w:ascii="Times New Roman" w:hAnsi="Times New Roman" w:cs="Times New Roman"/>
          <w:noProof/>
          <w:sz w:val="24"/>
          <w:szCs w:val="24"/>
        </w:rPr>
        <w:t>(9), 4631–4644. https://doi.org/10.5194/acp-13-4631-2013</w:t>
      </w:r>
    </w:p>
    <w:p w14:paraId="2756C79D" w14:textId="396B098C"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 xml:space="preserve">ADDIN Mendeley Bibliography CSL_BIBLIOGRAPHY </w:instrText>
      </w:r>
      <w:r>
        <w:rPr>
          <w:rFonts w:ascii="Times New Roman" w:eastAsia="Times New Roman" w:hAnsi="Times New Roman" w:cs="Times New Roman"/>
          <w:sz w:val="24"/>
          <w:szCs w:val="24"/>
        </w:rPr>
        <w:fldChar w:fldCharType="separate"/>
      </w:r>
      <w:r w:rsidRPr="00130F3A">
        <w:rPr>
          <w:rFonts w:ascii="Times New Roman" w:hAnsi="Times New Roman" w:cs="Times New Roman"/>
          <w:noProof/>
          <w:sz w:val="24"/>
          <w:szCs w:val="24"/>
        </w:rPr>
        <w:t xml:space="preserve">Bes, I. (2012). </w:t>
      </w:r>
      <w:r w:rsidRPr="00130F3A">
        <w:rPr>
          <w:rFonts w:ascii="Times New Roman" w:hAnsi="Times New Roman" w:cs="Times New Roman"/>
          <w:i/>
          <w:iCs/>
          <w:noProof/>
          <w:sz w:val="24"/>
          <w:szCs w:val="24"/>
        </w:rPr>
        <w:t>Winter Mass Concentrations of Carbon Species in PM 10 , PM 2 . 5 and PM 1 in Zagreb Air , Croatia</w:t>
      </w:r>
      <w:r w:rsidRPr="00130F3A">
        <w:rPr>
          <w:rFonts w:ascii="Times New Roman" w:hAnsi="Times New Roman" w:cs="Times New Roman"/>
          <w:noProof/>
          <w:sz w:val="24"/>
          <w:szCs w:val="24"/>
        </w:rPr>
        <w:t>. 1087–1090. https://doi.org/10.1007/s00128-012-0787-4</w:t>
      </w:r>
    </w:p>
    <w:p w14:paraId="4734A774"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Chithra, V. S., &amp; Nagendra, S. M. S. (2013). Chemical and morphological characteristics of indoor and outdoor particulate matter in an urban environment. </w:t>
      </w:r>
      <w:r w:rsidRPr="00130F3A">
        <w:rPr>
          <w:rFonts w:ascii="Times New Roman" w:hAnsi="Times New Roman" w:cs="Times New Roman"/>
          <w:i/>
          <w:iCs/>
          <w:noProof/>
          <w:sz w:val="24"/>
          <w:szCs w:val="24"/>
        </w:rPr>
        <w:t>Atmospheric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77</w:t>
      </w:r>
      <w:r w:rsidRPr="00130F3A">
        <w:rPr>
          <w:rFonts w:ascii="Times New Roman" w:hAnsi="Times New Roman" w:cs="Times New Roman"/>
          <w:noProof/>
          <w:sz w:val="24"/>
          <w:szCs w:val="24"/>
        </w:rPr>
        <w:t>, 579–587. https://doi.org/10.1016/j.atmosenv.2013.05.044</w:t>
      </w:r>
    </w:p>
    <w:p w14:paraId="4A08E9AD"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Choochuay, C., Pongpiachan, S., Tipmanee, D., Deelaman, W., Suttinun, O., Wang, Q., Xing, L., Li, G., Han, Y., Palakun, J., Poshyachinda, S., Aukkaravittayapun, S., Surapipith, V., &amp; Cao, J. (2020). Long-range transboundary atmospheric transport of polycyclic aromatic hydrocarbons, carbonaceous compositions, and water-soluble ionic species in southern thailand.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20</w:t>
      </w:r>
      <w:r w:rsidRPr="00130F3A">
        <w:rPr>
          <w:rFonts w:ascii="Times New Roman" w:hAnsi="Times New Roman" w:cs="Times New Roman"/>
          <w:noProof/>
          <w:sz w:val="24"/>
          <w:szCs w:val="24"/>
        </w:rPr>
        <w:t>(7), 1591–1606. https://doi.org/10.4209/aaqr.2020.03.0120</w:t>
      </w:r>
    </w:p>
    <w:p w14:paraId="52F9783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Colbeck, I., Nasir, Z. A., Ahmad, S., &amp; Ali, Z. (2011). </w:t>
      </w:r>
      <w:r w:rsidRPr="00130F3A">
        <w:rPr>
          <w:rFonts w:ascii="Times New Roman" w:hAnsi="Times New Roman" w:cs="Times New Roman"/>
          <w:i/>
          <w:iCs/>
          <w:noProof/>
          <w:sz w:val="24"/>
          <w:szCs w:val="24"/>
        </w:rPr>
        <w:t>Lahore , Pakistan</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w:t>
      </w:r>
      <w:r w:rsidRPr="00130F3A">
        <w:rPr>
          <w:rFonts w:ascii="Times New Roman" w:hAnsi="Times New Roman" w:cs="Times New Roman"/>
          <w:noProof/>
          <w:sz w:val="24"/>
          <w:szCs w:val="24"/>
        </w:rPr>
        <w:t>, 689–695.</w:t>
      </w:r>
    </w:p>
    <w:p w14:paraId="47851B0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Devi, N. L., Kumar, A., &amp; Yadav, I. C. (2020). PM10 and PM2.5 in Indo-Gangetic Plain (IGP) of India: Chemical characterization, source analysis, and transport pathways. </w:t>
      </w:r>
      <w:r w:rsidRPr="00130F3A">
        <w:rPr>
          <w:rFonts w:ascii="Times New Roman" w:hAnsi="Times New Roman" w:cs="Times New Roman"/>
          <w:i/>
          <w:iCs/>
          <w:noProof/>
          <w:sz w:val="24"/>
          <w:szCs w:val="24"/>
        </w:rPr>
        <w:t>Urban Climate</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33</w:t>
      </w:r>
      <w:r w:rsidRPr="00130F3A">
        <w:rPr>
          <w:rFonts w:ascii="Times New Roman" w:hAnsi="Times New Roman" w:cs="Times New Roman"/>
          <w:noProof/>
          <w:sz w:val="24"/>
          <w:szCs w:val="24"/>
        </w:rPr>
        <w:t>, 100663. https://doi.org/10.1016/J.UCLIM.2020.100663</w:t>
      </w:r>
    </w:p>
    <w:p w14:paraId="586A1DCD"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Fujii, Y., Mahmud, M., Tohno, S., Okuda, T., &amp; Mizohata, A. (2016). </w:t>
      </w:r>
      <w:r w:rsidRPr="00130F3A">
        <w:rPr>
          <w:rFonts w:ascii="Times New Roman" w:hAnsi="Times New Roman" w:cs="Times New Roman"/>
          <w:i/>
          <w:iCs/>
          <w:noProof/>
          <w:sz w:val="24"/>
          <w:szCs w:val="24"/>
        </w:rPr>
        <w:t xml:space="preserve">A Case Study of PM 2 . 5 Characterization in Bangi , Selangor , Malaysia during the Southwest Monsoon </w:t>
      </w:r>
      <w:r w:rsidRPr="00130F3A">
        <w:rPr>
          <w:rFonts w:ascii="Times New Roman" w:hAnsi="Times New Roman" w:cs="Times New Roman"/>
          <w:i/>
          <w:iCs/>
          <w:noProof/>
          <w:sz w:val="24"/>
          <w:szCs w:val="24"/>
        </w:rPr>
        <w:lastRenderedPageBreak/>
        <w:t>Season</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Mahmud 2009</w:t>
      </w:r>
      <w:r w:rsidRPr="00130F3A">
        <w:rPr>
          <w:rFonts w:ascii="Times New Roman" w:hAnsi="Times New Roman" w:cs="Times New Roman"/>
          <w:noProof/>
          <w:sz w:val="24"/>
          <w:szCs w:val="24"/>
        </w:rPr>
        <w:t>, 2685–2691. https://doi.org/10.4209/aaqr.2015.04.0277</w:t>
      </w:r>
    </w:p>
    <w:p w14:paraId="7A0627E5"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Garg, A., &amp; Arvind, N. C. G. (2022). Spatio ‑ Temporal Variability and Health Risk Assessment of Benzo [ a ] pyrene in Different Population Through Ambient Air Exposure in Delhi ,. </w:t>
      </w:r>
      <w:r w:rsidRPr="00130F3A">
        <w:rPr>
          <w:rFonts w:ascii="Times New Roman" w:hAnsi="Times New Roman" w:cs="Times New Roman"/>
          <w:i/>
          <w:iCs/>
          <w:noProof/>
          <w:sz w:val="24"/>
          <w:szCs w:val="24"/>
        </w:rPr>
        <w:t>Exposure and Health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14</w:t>
      </w:r>
      <w:r w:rsidRPr="00130F3A">
        <w:rPr>
          <w:rFonts w:ascii="Times New Roman" w:hAnsi="Times New Roman" w:cs="Times New Roman"/>
          <w:noProof/>
          <w:sz w:val="24"/>
          <w:szCs w:val="24"/>
        </w:rPr>
        <w:t>(1), 111–127. https://doi.org/10.1007/s12403-021-00422-8</w:t>
      </w:r>
    </w:p>
    <w:p w14:paraId="59358802"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Gluščić, V., Čačković, M., Pehnec, G., &amp; Bešlić, I. (2020). Ionic composition of PM 2 . 5 particle fraction at a coastal urban background site in Croatia. </w:t>
      </w:r>
      <w:r w:rsidRPr="00130F3A">
        <w:rPr>
          <w:rFonts w:ascii="Times New Roman" w:hAnsi="Times New Roman" w:cs="Times New Roman"/>
          <w:i/>
          <w:iCs/>
          <w:noProof/>
          <w:sz w:val="24"/>
          <w:szCs w:val="24"/>
        </w:rPr>
        <w:t>Atmospheric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w:t>
      </w:r>
      <w:r w:rsidRPr="00130F3A">
        <w:rPr>
          <w:rFonts w:ascii="Times New Roman" w:hAnsi="Times New Roman" w:cs="Times New Roman"/>
          <w:noProof/>
          <w:sz w:val="24"/>
          <w:szCs w:val="24"/>
        </w:rPr>
        <w:t>(12), 2202–2214. https://doi.org/10.1016/j.apr.2020.07.004</w:t>
      </w:r>
    </w:p>
    <w:p w14:paraId="75AF8C77"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Jahedi, F., Rad, H. D., Goudarzi, G., Babaei, A. A., &amp; Angali, K. A. (2021). </w:t>
      </w:r>
      <w:r w:rsidRPr="00130F3A">
        <w:rPr>
          <w:rFonts w:ascii="Times New Roman" w:hAnsi="Times New Roman" w:cs="Times New Roman"/>
          <w:i/>
          <w:iCs/>
          <w:noProof/>
          <w:sz w:val="24"/>
          <w:szCs w:val="24"/>
        </w:rPr>
        <w:t>Polycyclic aromatic hydrocarbons in PM 1 , PM 2 . 5 and PM 10 atmospheric particles : identification , sources , temporal and spatial variations</w:t>
      </w:r>
      <w:r w:rsidRPr="00130F3A">
        <w:rPr>
          <w:rFonts w:ascii="Times New Roman" w:hAnsi="Times New Roman" w:cs="Times New Roman"/>
          <w:noProof/>
          <w:sz w:val="24"/>
          <w:szCs w:val="24"/>
        </w:rPr>
        <w:t>. 851–866.</w:t>
      </w:r>
    </w:p>
    <w:p w14:paraId="6AACA5F7"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Jithin, N. M., Gowtham, J., &amp; Srimuruganandam, A. B. B. (2022). Mass , composition , and sources of particulate matter in residential and traffic sites of an urban environment. </w:t>
      </w:r>
      <w:r w:rsidRPr="00130F3A">
        <w:rPr>
          <w:rFonts w:ascii="Times New Roman" w:hAnsi="Times New Roman" w:cs="Times New Roman"/>
          <w:i/>
          <w:iCs/>
          <w:noProof/>
          <w:sz w:val="24"/>
          <w:szCs w:val="24"/>
        </w:rPr>
        <w:t>Environmental Geochemistry and Health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0123456789</w:t>
      </w:r>
      <w:r w:rsidRPr="00130F3A">
        <w:rPr>
          <w:rFonts w:ascii="Times New Roman" w:hAnsi="Times New Roman" w:cs="Times New Roman"/>
          <w:noProof/>
          <w:sz w:val="24"/>
          <w:szCs w:val="24"/>
        </w:rPr>
        <w:t>. https://doi.org/10.1007/s10653-022-01327-4</w:t>
      </w:r>
    </w:p>
    <w:p w14:paraId="7C67F4EE"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Jodeh, S., Hasan, A. R., Amarah, J., Judeh, F., Salghi, R., Lgaz, H., &amp; Jodeh, W. (2018). </w:t>
      </w:r>
      <w:r w:rsidRPr="00130F3A">
        <w:rPr>
          <w:rFonts w:ascii="Times New Roman" w:hAnsi="Times New Roman" w:cs="Times New Roman"/>
          <w:i/>
          <w:iCs/>
          <w:noProof/>
          <w:sz w:val="24"/>
          <w:szCs w:val="24"/>
        </w:rPr>
        <w:t>Indoor and outdoor air quality analysis for the city of Nablus of residential homes</w:t>
      </w:r>
      <w:r w:rsidRPr="00130F3A">
        <w:rPr>
          <w:rFonts w:ascii="Times New Roman" w:hAnsi="Times New Roman" w:cs="Times New Roman"/>
          <w:noProof/>
          <w:sz w:val="24"/>
          <w:szCs w:val="24"/>
        </w:rPr>
        <w:t>. 229–237.</w:t>
      </w:r>
    </w:p>
    <w:p w14:paraId="3B2C467F"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Kim, K. H., Sekiguchi, K., Kudo, S., &amp; Sakamoto, K. (2011). Characteristics of Atmospheric Elemental Carbon (Char and Soot) in Ultrafine and Fine Particles in a Roadside Environment, Japan.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w:t>
      </w:r>
      <w:r w:rsidRPr="00130F3A">
        <w:rPr>
          <w:rFonts w:ascii="Times New Roman" w:hAnsi="Times New Roman" w:cs="Times New Roman"/>
          <w:noProof/>
          <w:sz w:val="24"/>
          <w:szCs w:val="24"/>
        </w:rPr>
        <w:t>(1), 1–12. https://doi.org/10.4209/aaqr.2010.07.0061</w:t>
      </w:r>
    </w:p>
    <w:p w14:paraId="2C994FAD"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Kumar, A., &amp; Attri, A. K. (2016). Biomass combustion a dominant source of carbonaceous aerosols in the ambient environment of Western Himalayas.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16</w:t>
      </w:r>
      <w:r w:rsidRPr="00130F3A">
        <w:rPr>
          <w:rFonts w:ascii="Times New Roman" w:hAnsi="Times New Roman" w:cs="Times New Roman"/>
          <w:noProof/>
          <w:sz w:val="24"/>
          <w:szCs w:val="24"/>
        </w:rPr>
        <w:t>(3), 519–529. https://doi.org/10.4209/aaqr.2015.05.0284</w:t>
      </w:r>
    </w:p>
    <w:p w14:paraId="10927C0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Kumar, P., Kumar, S., &amp; Yadav, S. (2018). Seasonal variations in size distribution, water-soluble ions, and carbon content of size-segregated aerosols over New Delhi. </w:t>
      </w:r>
      <w:r w:rsidRPr="00130F3A">
        <w:rPr>
          <w:rFonts w:ascii="Times New Roman" w:hAnsi="Times New Roman" w:cs="Times New Roman"/>
          <w:i/>
          <w:iCs/>
          <w:noProof/>
          <w:sz w:val="24"/>
          <w:szCs w:val="24"/>
        </w:rPr>
        <w:t>Environmental Science and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25</w:t>
      </w:r>
      <w:r w:rsidRPr="00130F3A">
        <w:rPr>
          <w:rFonts w:ascii="Times New Roman" w:hAnsi="Times New Roman" w:cs="Times New Roman"/>
          <w:noProof/>
          <w:sz w:val="24"/>
          <w:szCs w:val="24"/>
        </w:rPr>
        <w:t>(6), 6061–6078. https://doi.org/10.1007/s11356-017-0954-6</w:t>
      </w:r>
    </w:p>
    <w:p w14:paraId="5EAC4299"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 B., Zhang, J., Zhao, Y., Yuan, S., Zhao, Q., Shen, G., &amp; Wu, H. (2015). Seasonal variation of urban carbonaceous aerosols in a typical city Nanjing in Yangtze River Delta, China. </w:t>
      </w:r>
      <w:r w:rsidRPr="00130F3A">
        <w:rPr>
          <w:rFonts w:ascii="Times New Roman" w:hAnsi="Times New Roman" w:cs="Times New Roman"/>
          <w:i/>
          <w:iCs/>
          <w:noProof/>
          <w:sz w:val="24"/>
          <w:szCs w:val="24"/>
        </w:rPr>
        <w:t>Atmospheric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106</w:t>
      </w:r>
      <w:r w:rsidRPr="00130F3A">
        <w:rPr>
          <w:rFonts w:ascii="Times New Roman" w:hAnsi="Times New Roman" w:cs="Times New Roman"/>
          <w:noProof/>
          <w:sz w:val="24"/>
          <w:szCs w:val="24"/>
        </w:rPr>
        <w:t>, 223–231. https://doi.org/10.1016/j.atmosenv.2015.01.064</w:t>
      </w:r>
    </w:p>
    <w:p w14:paraId="1183DAAD"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 H., Wang, Q., Yang, M., Li, F., Wang, J., Sun, Y., Wang, C., Wu, H., &amp; Qian, X. (2016). Chemical characterization and source apportionment of PM2.5 aerosols in a megacity of Southeast China. </w:t>
      </w:r>
      <w:r w:rsidRPr="00130F3A">
        <w:rPr>
          <w:rFonts w:ascii="Times New Roman" w:hAnsi="Times New Roman" w:cs="Times New Roman"/>
          <w:i/>
          <w:iCs/>
          <w:noProof/>
          <w:sz w:val="24"/>
          <w:szCs w:val="24"/>
        </w:rPr>
        <w:t>Atmospheric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181</w:t>
      </w:r>
      <w:r w:rsidRPr="00130F3A">
        <w:rPr>
          <w:rFonts w:ascii="Times New Roman" w:hAnsi="Times New Roman" w:cs="Times New Roman"/>
          <w:noProof/>
          <w:sz w:val="24"/>
          <w:szCs w:val="24"/>
        </w:rPr>
        <w:t>, 288–299. https://doi.org/10.1016/J.ATMOSRES.2016.07.005</w:t>
      </w:r>
    </w:p>
    <w:p w14:paraId="0A68D254"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Lim, S., Lee, M., Lee, G., Kim, S., Yoon, S., &amp; Kang, K. (2012). Ionic and carbonaceous compositions of PM10, PM2.5 and PM1.0 at Gosan ABC Superstation and their ratios as source signature. </w:t>
      </w:r>
      <w:r w:rsidRPr="00130F3A">
        <w:rPr>
          <w:rFonts w:ascii="Times New Roman" w:hAnsi="Times New Roman" w:cs="Times New Roman"/>
          <w:i/>
          <w:iCs/>
          <w:noProof/>
          <w:sz w:val="24"/>
          <w:szCs w:val="24"/>
        </w:rPr>
        <w:t>Atmospheric Chemistry and Physics</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12</w:t>
      </w:r>
      <w:r w:rsidRPr="00130F3A">
        <w:rPr>
          <w:rFonts w:ascii="Times New Roman" w:hAnsi="Times New Roman" w:cs="Times New Roman"/>
          <w:noProof/>
          <w:sz w:val="24"/>
          <w:szCs w:val="24"/>
        </w:rPr>
        <w:t xml:space="preserve">(4), 2007–2024. </w:t>
      </w:r>
      <w:r w:rsidRPr="00130F3A">
        <w:rPr>
          <w:rFonts w:ascii="Times New Roman" w:hAnsi="Times New Roman" w:cs="Times New Roman"/>
          <w:noProof/>
          <w:sz w:val="24"/>
          <w:szCs w:val="24"/>
        </w:rPr>
        <w:lastRenderedPageBreak/>
        <w:t>https://doi.org/10.5194/acp-12-2007-2012</w:t>
      </w:r>
    </w:p>
    <w:p w14:paraId="72598BD2"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Liu, H., Jia, M., You, K., Wang, J., Tao, J., Liu, H., Zhang, R., Li, L., Xu, M., Ren, Y., Zhao, Y., Liu, Y., Cheng, K., Fan, Y., &amp; Li, J. (2022). Elucidating the Chemical Compositions and Source Apportionment of Multi-Size Atmospheric Particulate (PM10, PM2.5 and PM1) in 2019–2020 Winter in Xinxiang, North China. </w:t>
      </w:r>
      <w:r w:rsidRPr="00130F3A">
        <w:rPr>
          <w:rFonts w:ascii="Times New Roman" w:hAnsi="Times New Roman" w:cs="Times New Roman"/>
          <w:i/>
          <w:iCs/>
          <w:noProof/>
          <w:sz w:val="24"/>
          <w:szCs w:val="24"/>
        </w:rPr>
        <w:t>Atmosphere</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13</w:t>
      </w:r>
      <w:r w:rsidRPr="00130F3A">
        <w:rPr>
          <w:rFonts w:ascii="Times New Roman" w:hAnsi="Times New Roman" w:cs="Times New Roman"/>
          <w:noProof/>
          <w:sz w:val="24"/>
          <w:szCs w:val="24"/>
        </w:rPr>
        <w:t>(9). https://doi.org/10.3390/atmos13091400</w:t>
      </w:r>
    </w:p>
    <w:p w14:paraId="7055F70A"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Mahapatra, P. S., Panda, U., Mallik, C., Boopathy, R., Jain, S., Sharma, S. K., Mandal, T. K., Senapati, S., Satpathy, P., Panda, S., &amp; Das, T. (2021). Chemical, microstructural, and biological characterization of wintertime PM2.5 during a land campaign study in a coastal city of eastern India. </w:t>
      </w:r>
      <w:r w:rsidRPr="00130F3A">
        <w:rPr>
          <w:rFonts w:ascii="Times New Roman" w:hAnsi="Times New Roman" w:cs="Times New Roman"/>
          <w:i/>
          <w:iCs/>
          <w:noProof/>
          <w:sz w:val="24"/>
          <w:szCs w:val="24"/>
        </w:rPr>
        <w:t>Atmospheric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12</w:t>
      </w:r>
      <w:r w:rsidRPr="00130F3A">
        <w:rPr>
          <w:rFonts w:ascii="Times New Roman" w:hAnsi="Times New Roman" w:cs="Times New Roman"/>
          <w:noProof/>
          <w:sz w:val="24"/>
          <w:szCs w:val="24"/>
        </w:rPr>
        <w:t>(9), 101164. https://doi.org/10.1016/j.apr.2021.101164</w:t>
      </w:r>
    </w:p>
    <w:p w14:paraId="2CF32F4C"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Masiol, M., Benetello, F., Harrison, R. M., Formenton, G., De Gaspari, F., &amp; Pavoni, B. (2015). Spatial, seasonal trends and transboundary transport of PM2.5 inorganic ions in the Veneto region (Northeastern Italy). </w:t>
      </w:r>
      <w:r w:rsidRPr="00130F3A">
        <w:rPr>
          <w:rFonts w:ascii="Times New Roman" w:hAnsi="Times New Roman" w:cs="Times New Roman"/>
          <w:i/>
          <w:iCs/>
          <w:noProof/>
          <w:sz w:val="24"/>
          <w:szCs w:val="24"/>
        </w:rPr>
        <w:t>Atmospheric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117</w:t>
      </w:r>
      <w:r w:rsidRPr="00130F3A">
        <w:rPr>
          <w:rFonts w:ascii="Times New Roman" w:hAnsi="Times New Roman" w:cs="Times New Roman"/>
          <w:noProof/>
          <w:sz w:val="24"/>
          <w:szCs w:val="24"/>
        </w:rPr>
        <w:t>, 19–31. https://doi.org/10.1016/J.ATMOSENV.2015.06.044</w:t>
      </w:r>
    </w:p>
    <w:p w14:paraId="086A4969"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Massey, D., Kulshrestha, A., Masih, J., &amp; Taneja, A. (2012). of residential homes located in North-Central India. </w:t>
      </w:r>
      <w:r w:rsidRPr="00130F3A">
        <w:rPr>
          <w:rFonts w:ascii="Times New Roman" w:hAnsi="Times New Roman" w:cs="Times New Roman"/>
          <w:i/>
          <w:iCs/>
          <w:noProof/>
          <w:sz w:val="24"/>
          <w:szCs w:val="24"/>
        </w:rPr>
        <w:t>Building and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47</w:t>
      </w:r>
      <w:r w:rsidRPr="00130F3A">
        <w:rPr>
          <w:rFonts w:ascii="Times New Roman" w:hAnsi="Times New Roman" w:cs="Times New Roman"/>
          <w:noProof/>
          <w:sz w:val="24"/>
          <w:szCs w:val="24"/>
        </w:rPr>
        <w:t>, 223–231. https://doi.org/10.1016/j.buildenv.2011.07.018</w:t>
      </w:r>
    </w:p>
    <w:p w14:paraId="708EE99A"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Mishra, M., &amp; Kulshrestha, U. C. (2021). Source impact analysis using char-ec/soot-ec ratios in the central indo-gangetic plain (Igp) of India.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21</w:t>
      </w:r>
      <w:r w:rsidRPr="00130F3A">
        <w:rPr>
          <w:rFonts w:ascii="Times New Roman" w:hAnsi="Times New Roman" w:cs="Times New Roman"/>
          <w:noProof/>
          <w:sz w:val="24"/>
          <w:szCs w:val="24"/>
        </w:rPr>
        <w:t>(9), 1–17. https://doi.org/10.4209/aaqr.200628</w:t>
      </w:r>
    </w:p>
    <w:p w14:paraId="35A4BC72"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Nadali, A., Arfaeinia, H., Asadgol, Z., &amp; Fahiminia, M. (2020). Indoor and outdoor concentration of PM 10 , PM 2 . 5 and PM 1 in residential building and evaluation of negative air ions ( NAIs ) in indoor PM removal. </w:t>
      </w:r>
      <w:r w:rsidRPr="00130F3A">
        <w:rPr>
          <w:rFonts w:ascii="Times New Roman" w:hAnsi="Times New Roman" w:cs="Times New Roman"/>
          <w:i/>
          <w:iCs/>
          <w:noProof/>
          <w:sz w:val="24"/>
          <w:szCs w:val="24"/>
        </w:rPr>
        <w:t>Environmental Pollutants and Bioavailability</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32</w:t>
      </w:r>
      <w:r w:rsidRPr="00130F3A">
        <w:rPr>
          <w:rFonts w:ascii="Times New Roman" w:hAnsi="Times New Roman" w:cs="Times New Roman"/>
          <w:noProof/>
          <w:sz w:val="24"/>
          <w:szCs w:val="24"/>
        </w:rPr>
        <w:t>(1), 47–55. https://doi.org/10.1080/26395940.2020.1728198</w:t>
      </w:r>
    </w:p>
    <w:p w14:paraId="0BDE32DD"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Police, S., Sahu, S. K., &amp; Pandit, G. G. (2016). Chemical characterization of atmospheric particulate matter and their source apportionment at an emerging industrial coastal city ,. </w:t>
      </w:r>
      <w:r w:rsidRPr="00130F3A">
        <w:rPr>
          <w:rFonts w:ascii="Times New Roman" w:hAnsi="Times New Roman" w:cs="Times New Roman"/>
          <w:i/>
          <w:iCs/>
          <w:noProof/>
          <w:sz w:val="24"/>
          <w:szCs w:val="24"/>
        </w:rPr>
        <w:t>Atmospheric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7</w:t>
      </w:r>
      <w:r w:rsidRPr="00130F3A">
        <w:rPr>
          <w:rFonts w:ascii="Times New Roman" w:hAnsi="Times New Roman" w:cs="Times New Roman"/>
          <w:noProof/>
          <w:sz w:val="24"/>
          <w:szCs w:val="24"/>
        </w:rPr>
        <w:t>(4), 725–733. https://doi.org/10.1016/j.apr.2016.03.007</w:t>
      </w:r>
    </w:p>
    <w:p w14:paraId="66520CC5"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Sahu, R. K., Pervez, S., Chow, J. C., Watson, J. G., Tiwari, S., Panicker, A. S., Chakrabarty, R. K., &amp; Pervez, Y. F. (2018). Temporal and spatial variations of PM2.5 organic and elemental carbon in Central India. </w:t>
      </w:r>
      <w:r w:rsidRPr="00130F3A">
        <w:rPr>
          <w:rFonts w:ascii="Times New Roman" w:hAnsi="Times New Roman" w:cs="Times New Roman"/>
          <w:i/>
          <w:iCs/>
          <w:noProof/>
          <w:sz w:val="24"/>
          <w:szCs w:val="24"/>
        </w:rPr>
        <w:t>Environmental Geochemistry and Health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40</w:t>
      </w:r>
      <w:r w:rsidRPr="00130F3A">
        <w:rPr>
          <w:rFonts w:ascii="Times New Roman" w:hAnsi="Times New Roman" w:cs="Times New Roman"/>
          <w:noProof/>
          <w:sz w:val="24"/>
          <w:szCs w:val="24"/>
        </w:rPr>
        <w:t>(5), 2205–2222. https://doi.org/10.1007/s10653-018-0093-0</w:t>
      </w:r>
    </w:p>
    <w:p w14:paraId="74C0BC27"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Souza, D. Z., Vasconcellos, P. C., Lee, H., Aurela, M., Saarnio, K., Teinilä, K., &amp; Hillamo, R. (2014). </w:t>
      </w:r>
      <w:r w:rsidRPr="00130F3A">
        <w:rPr>
          <w:rFonts w:ascii="Times New Roman" w:hAnsi="Times New Roman" w:cs="Times New Roman"/>
          <w:i/>
          <w:iCs/>
          <w:noProof/>
          <w:sz w:val="24"/>
          <w:szCs w:val="24"/>
        </w:rPr>
        <w:t>Composition of PM 2 . 5 and PM 10 Collected at Urban Sites in Brazil</w:t>
      </w:r>
      <w:r w:rsidRPr="00130F3A">
        <w:rPr>
          <w:rFonts w:ascii="Times New Roman" w:hAnsi="Times New Roman" w:cs="Times New Roman"/>
          <w:noProof/>
          <w:sz w:val="24"/>
          <w:szCs w:val="24"/>
        </w:rPr>
        <w:t>. 168–176. https://doi.org/10.4209/aaqr.2013.03.0071</w:t>
      </w:r>
    </w:p>
    <w:p w14:paraId="20FF1529"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Srimuruganandam, B., &amp; Shiva Nagendra, S. M. (2011). Chemical characterization of PM10 and PM2.5 mass concentrations emitted by heterogeneous traffic. </w:t>
      </w:r>
      <w:r w:rsidRPr="00130F3A">
        <w:rPr>
          <w:rFonts w:ascii="Times New Roman" w:hAnsi="Times New Roman" w:cs="Times New Roman"/>
          <w:i/>
          <w:iCs/>
          <w:noProof/>
          <w:sz w:val="24"/>
          <w:szCs w:val="24"/>
        </w:rPr>
        <w:t>Science of The Total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409</w:t>
      </w:r>
      <w:r w:rsidRPr="00130F3A">
        <w:rPr>
          <w:rFonts w:ascii="Times New Roman" w:hAnsi="Times New Roman" w:cs="Times New Roman"/>
          <w:noProof/>
          <w:sz w:val="24"/>
          <w:szCs w:val="24"/>
        </w:rPr>
        <w:t>(17), 3144–3157. https://doi.org/10.1016/J.SCITOTENV.2011.04.042</w:t>
      </w:r>
    </w:p>
    <w:p w14:paraId="74DB9C6F"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Talbi, A., Kerchich, Y., &amp; Kerbachi, R. (2018). </w:t>
      </w:r>
      <w:r w:rsidRPr="00130F3A">
        <w:rPr>
          <w:rFonts w:ascii="Times New Roman" w:hAnsi="Times New Roman" w:cs="Times New Roman"/>
          <w:i/>
          <w:iCs/>
          <w:noProof/>
          <w:sz w:val="24"/>
          <w:szCs w:val="24"/>
        </w:rPr>
        <w:t xml:space="preserve">Assessment of annual air pollution levels </w:t>
      </w:r>
      <w:r w:rsidRPr="00130F3A">
        <w:rPr>
          <w:rFonts w:ascii="Times New Roman" w:hAnsi="Times New Roman" w:cs="Times New Roman"/>
          <w:i/>
          <w:iCs/>
          <w:noProof/>
          <w:sz w:val="24"/>
          <w:szCs w:val="24"/>
        </w:rPr>
        <w:lastRenderedPageBreak/>
        <w:t>with PM1 , PM2 . 5 , PM10 and associated heavy metals in Algiers , Algeria * nou e</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232</w:t>
      </w:r>
      <w:r w:rsidRPr="00130F3A">
        <w:rPr>
          <w:rFonts w:ascii="Times New Roman" w:hAnsi="Times New Roman" w:cs="Times New Roman"/>
          <w:noProof/>
          <w:sz w:val="24"/>
          <w:szCs w:val="24"/>
        </w:rPr>
        <w:t>, 252–263. https://doi.org/10.1016/j.envpol.2017.09.041</w:t>
      </w:r>
    </w:p>
    <w:p w14:paraId="280D46A9"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Tham, J., Sarkar, S., Jia, S., Reid, J. S., Mishra, S., Sudiana, I. M., Swarup, S., Ong, C. N., &amp; Yu, L. E. (2019). Impacts of peat-forest smoke on urban PM2.5 in the Maritime Continent during 2012–2015: Carbonaceous profiles and indicators. </w:t>
      </w:r>
      <w:r w:rsidRPr="00130F3A">
        <w:rPr>
          <w:rFonts w:ascii="Times New Roman" w:hAnsi="Times New Roman" w:cs="Times New Roman"/>
          <w:i/>
          <w:iCs/>
          <w:noProof/>
          <w:sz w:val="24"/>
          <w:szCs w:val="24"/>
        </w:rPr>
        <w:t>Environmental Pollution</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248</w:t>
      </w:r>
      <w:r w:rsidRPr="00130F3A">
        <w:rPr>
          <w:rFonts w:ascii="Times New Roman" w:hAnsi="Times New Roman" w:cs="Times New Roman"/>
          <w:noProof/>
          <w:sz w:val="24"/>
          <w:szCs w:val="24"/>
        </w:rPr>
        <w:t>, 496–505. https://doi.org/10.1016/j.envpol.2019.02.049</w:t>
      </w:r>
    </w:p>
    <w:p w14:paraId="205C9072"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Thi, N., Thuy, T., Dung, N. T., Sekiguchi, K., Thuy, L. B., Thi, N., Hien, T., &amp; Yamaguchi, R. (2018). </w:t>
      </w:r>
      <w:r w:rsidRPr="00130F3A">
        <w:rPr>
          <w:rFonts w:ascii="Times New Roman" w:hAnsi="Times New Roman" w:cs="Times New Roman"/>
          <w:i/>
          <w:iCs/>
          <w:noProof/>
          <w:sz w:val="24"/>
          <w:szCs w:val="24"/>
        </w:rPr>
        <w:t>at Urban Locations in Hanoi , Vietnam</w:t>
      </w:r>
      <w:r w:rsidRPr="00130F3A">
        <w:rPr>
          <w:rFonts w:ascii="Times New Roman" w:hAnsi="Times New Roman" w:cs="Times New Roman"/>
          <w:noProof/>
          <w:sz w:val="24"/>
          <w:szCs w:val="24"/>
        </w:rPr>
        <w:t>. 1591–1605. https://doi.org/10.4209/aaqr.2017.11.0502</w:t>
      </w:r>
    </w:p>
    <w:p w14:paraId="1A1E3118"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Zhang, J., Yang, L., Mellouki, A., Wen, L., Yang, Y., &amp; Gao, Y. (2016). </w:t>
      </w:r>
      <w:r w:rsidRPr="00130F3A">
        <w:rPr>
          <w:rFonts w:ascii="Times New Roman" w:hAnsi="Times New Roman" w:cs="Times New Roman"/>
          <w:i/>
          <w:iCs/>
          <w:noProof/>
          <w:sz w:val="24"/>
          <w:szCs w:val="24"/>
        </w:rPr>
        <w:t>Science of the Total Environment Chemical characteristics and in fl uence of continental out fl ow on PM 1 . 0 , PM 2 . 5 and PM 10 measured at Tuoji island in the Bohai Sea</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573</w:t>
      </w:r>
      <w:r w:rsidRPr="00130F3A">
        <w:rPr>
          <w:rFonts w:ascii="Times New Roman" w:hAnsi="Times New Roman" w:cs="Times New Roman"/>
          <w:noProof/>
          <w:sz w:val="24"/>
          <w:szCs w:val="24"/>
        </w:rPr>
        <w:t>, 699–706. https://doi.org/10.1016/j.scitotenv.2016.08.146</w:t>
      </w:r>
    </w:p>
    <w:p w14:paraId="134E2ABB"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rPr>
      </w:pPr>
      <w:r w:rsidRPr="00130F3A">
        <w:rPr>
          <w:rFonts w:ascii="Times New Roman" w:hAnsi="Times New Roman" w:cs="Times New Roman"/>
          <w:noProof/>
          <w:sz w:val="24"/>
          <w:szCs w:val="24"/>
        </w:rPr>
        <w:t xml:space="preserve">Zhao, P. S., Dong, F., He, D., Zhao, X. J., Zhang, X. L., Zhang, W. Z., Yao, Q., &amp; Liu, H. Y. (2013). Characteristics of concentrations and chemical compositions for PM&amp;amp;lt;sub&amp;amp;gt;2.5&amp;amp;lt;/sub&amp;amp;gt; in the region of Beijing, Tianjin, and Hebei, China. </w:t>
      </w:r>
      <w:r w:rsidRPr="00130F3A">
        <w:rPr>
          <w:rFonts w:ascii="Times New Roman" w:hAnsi="Times New Roman" w:cs="Times New Roman"/>
          <w:i/>
          <w:iCs/>
          <w:noProof/>
          <w:sz w:val="24"/>
          <w:szCs w:val="24"/>
        </w:rPr>
        <w:t>Atmospheric Chemistry and Physics</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13</w:t>
      </w:r>
      <w:r w:rsidRPr="00130F3A">
        <w:rPr>
          <w:rFonts w:ascii="Times New Roman" w:hAnsi="Times New Roman" w:cs="Times New Roman"/>
          <w:noProof/>
          <w:sz w:val="24"/>
          <w:szCs w:val="24"/>
        </w:rPr>
        <w:t>(9), 4631–4644. https://doi.org/10.5194/acp-13-4631-2013</w:t>
      </w:r>
    </w:p>
    <w:p w14:paraId="4072BC84" w14:textId="6B1C0A83"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fldChar w:fldCharType="begin" w:fldLock="1"/>
      </w:r>
      <w:r>
        <w:rPr>
          <w:rFonts w:ascii="Times New Roman" w:eastAsia="Times New Roman" w:hAnsi="Times New Roman" w:cs="Times New Roman"/>
          <w:sz w:val="24"/>
          <w:szCs w:val="24"/>
        </w:rPr>
        <w:instrText xml:space="preserve">ADDIN Mendeley Bibliography CSL_BIBLIOGRAPHY </w:instrText>
      </w:r>
      <w:r>
        <w:rPr>
          <w:rFonts w:ascii="Times New Roman" w:eastAsia="Times New Roman" w:hAnsi="Times New Roman" w:cs="Times New Roman"/>
          <w:sz w:val="24"/>
          <w:szCs w:val="24"/>
        </w:rPr>
        <w:fldChar w:fldCharType="separate"/>
      </w:r>
      <w:r w:rsidRPr="00130F3A">
        <w:rPr>
          <w:rFonts w:ascii="Times New Roman" w:hAnsi="Times New Roman" w:cs="Times New Roman"/>
          <w:noProof/>
          <w:sz w:val="24"/>
          <w:szCs w:val="24"/>
        </w:rPr>
        <w:t xml:space="preserve">Bes, I. (2012). </w:t>
      </w:r>
      <w:r w:rsidRPr="00130F3A">
        <w:rPr>
          <w:rFonts w:ascii="Times New Roman" w:hAnsi="Times New Roman" w:cs="Times New Roman"/>
          <w:i/>
          <w:iCs/>
          <w:noProof/>
          <w:sz w:val="24"/>
          <w:szCs w:val="24"/>
        </w:rPr>
        <w:t>Winter Mass Concentrations of Carbon Species in PM 10 , PM 2 . 5 and PM 1 in Zagreb Air , Croatia</w:t>
      </w:r>
      <w:r w:rsidRPr="00130F3A">
        <w:rPr>
          <w:rFonts w:ascii="Times New Roman" w:hAnsi="Times New Roman" w:cs="Times New Roman"/>
          <w:noProof/>
          <w:sz w:val="24"/>
          <w:szCs w:val="24"/>
        </w:rPr>
        <w:t>. 1087–1090. https://doi.org/10.1007/s00128-012-0787-4</w:t>
      </w:r>
    </w:p>
    <w:p w14:paraId="0CB6D9B7"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Chithra, V. S., &amp; Nagendra, S. M. S. (2013). Chemical and morphological characteristics of indoor and outdoor particulate matter in an urban environment. </w:t>
      </w:r>
      <w:r w:rsidRPr="00130F3A">
        <w:rPr>
          <w:rFonts w:ascii="Times New Roman" w:hAnsi="Times New Roman" w:cs="Times New Roman"/>
          <w:i/>
          <w:iCs/>
          <w:noProof/>
          <w:sz w:val="24"/>
          <w:szCs w:val="24"/>
        </w:rPr>
        <w:t>Atmospheric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77</w:t>
      </w:r>
      <w:r w:rsidRPr="00130F3A">
        <w:rPr>
          <w:rFonts w:ascii="Times New Roman" w:hAnsi="Times New Roman" w:cs="Times New Roman"/>
          <w:noProof/>
          <w:sz w:val="24"/>
          <w:szCs w:val="24"/>
        </w:rPr>
        <w:t>, 579–587. https://doi.org/10.1016/j.atmosenv.2013.05.044</w:t>
      </w:r>
    </w:p>
    <w:p w14:paraId="5DCAF91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Choochuay, C., Pongpiachan, S., Tipmanee, D., Deelaman, W., Suttinun, O., Wang, Q., Xing, L., Li, G., Han, Y., Palakun, J., Poshyachinda, S., Aukkaravittayapun, S., Surapipith, V., &amp; Cao, J. (2020). Long-range transboundary atmospheric transport of polycyclic aromatic hydrocarbons, carbonaceous compositions, and water-soluble ionic species in southern thailand.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20</w:t>
      </w:r>
      <w:r w:rsidRPr="00130F3A">
        <w:rPr>
          <w:rFonts w:ascii="Times New Roman" w:hAnsi="Times New Roman" w:cs="Times New Roman"/>
          <w:noProof/>
          <w:sz w:val="24"/>
          <w:szCs w:val="24"/>
        </w:rPr>
        <w:t>(7), 1591–1606. https://doi.org/10.4209/aaqr.2020.03.0120</w:t>
      </w:r>
    </w:p>
    <w:p w14:paraId="4EC24590"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Colbeck, I., Nasir, Z. A., Ahmad, S., &amp; Ali, Z. (2011). </w:t>
      </w:r>
      <w:r w:rsidRPr="00130F3A">
        <w:rPr>
          <w:rFonts w:ascii="Times New Roman" w:hAnsi="Times New Roman" w:cs="Times New Roman"/>
          <w:i/>
          <w:iCs/>
          <w:noProof/>
          <w:sz w:val="24"/>
          <w:szCs w:val="24"/>
        </w:rPr>
        <w:t>Lahore , Pakistan</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w:t>
      </w:r>
      <w:r w:rsidRPr="00130F3A">
        <w:rPr>
          <w:rFonts w:ascii="Times New Roman" w:hAnsi="Times New Roman" w:cs="Times New Roman"/>
          <w:noProof/>
          <w:sz w:val="24"/>
          <w:szCs w:val="24"/>
        </w:rPr>
        <w:t>, 689–695.</w:t>
      </w:r>
    </w:p>
    <w:p w14:paraId="0DF3823A"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Devi, N. L., Kumar, A., &amp; Yadav, I. C. (2020). PM10 and PM2.5 in Indo-Gangetic Plain (IGP) of India: Chemical characterization, source analysis, and transport pathways. </w:t>
      </w:r>
      <w:r w:rsidRPr="00130F3A">
        <w:rPr>
          <w:rFonts w:ascii="Times New Roman" w:hAnsi="Times New Roman" w:cs="Times New Roman"/>
          <w:i/>
          <w:iCs/>
          <w:noProof/>
          <w:sz w:val="24"/>
          <w:szCs w:val="24"/>
        </w:rPr>
        <w:t>Urban Climate</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33</w:t>
      </w:r>
      <w:r w:rsidRPr="00130F3A">
        <w:rPr>
          <w:rFonts w:ascii="Times New Roman" w:hAnsi="Times New Roman" w:cs="Times New Roman"/>
          <w:noProof/>
          <w:sz w:val="24"/>
          <w:szCs w:val="24"/>
        </w:rPr>
        <w:t>, 100663. https://doi.org/10.1016/J.UCLIM.2020.100663</w:t>
      </w:r>
    </w:p>
    <w:p w14:paraId="51D7A789"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Fujii, Y., Mahmud, M., Tohno, S., Okuda, T., &amp; Mizohata, A. (2016). </w:t>
      </w:r>
      <w:r w:rsidRPr="00130F3A">
        <w:rPr>
          <w:rFonts w:ascii="Times New Roman" w:hAnsi="Times New Roman" w:cs="Times New Roman"/>
          <w:i/>
          <w:iCs/>
          <w:noProof/>
          <w:sz w:val="24"/>
          <w:szCs w:val="24"/>
        </w:rPr>
        <w:t>A Case Study of PM 2 . 5 Characterization in Bangi , Selangor , Malaysia during the Southwest Monsoon Season</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Mahmud 2009</w:t>
      </w:r>
      <w:r w:rsidRPr="00130F3A">
        <w:rPr>
          <w:rFonts w:ascii="Times New Roman" w:hAnsi="Times New Roman" w:cs="Times New Roman"/>
          <w:noProof/>
          <w:sz w:val="24"/>
          <w:szCs w:val="24"/>
        </w:rPr>
        <w:t>, 2685–2691. https://doi.org/10.4209/aaqr.2015.04.0277</w:t>
      </w:r>
    </w:p>
    <w:p w14:paraId="5943230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Garg, A., &amp; Arvind, N. C. G. (2022). Spatio ‑ Temporal Variability and Health Risk Assessment of Benzo [ a ] pyrene in Different Population Through Ambient Air Exposure in Delhi ,. </w:t>
      </w:r>
      <w:r w:rsidRPr="00130F3A">
        <w:rPr>
          <w:rFonts w:ascii="Times New Roman" w:hAnsi="Times New Roman" w:cs="Times New Roman"/>
          <w:i/>
          <w:iCs/>
          <w:noProof/>
          <w:sz w:val="24"/>
          <w:szCs w:val="24"/>
        </w:rPr>
        <w:t>Exposure and Health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14</w:t>
      </w:r>
      <w:r w:rsidRPr="00130F3A">
        <w:rPr>
          <w:rFonts w:ascii="Times New Roman" w:hAnsi="Times New Roman" w:cs="Times New Roman"/>
          <w:noProof/>
          <w:sz w:val="24"/>
          <w:szCs w:val="24"/>
        </w:rPr>
        <w:t>(1), 111–127. https://doi.org/10.1007/s12403-021-00422-8</w:t>
      </w:r>
    </w:p>
    <w:p w14:paraId="7FA307AC"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lastRenderedPageBreak/>
        <w:t xml:space="preserve">Gluščić, V., Čačković, M., Pehnec, G., &amp; Bešlić, I. (2020). Ionic composition of PM 2 . 5 particle fraction at a coastal urban background site in Croatia. </w:t>
      </w:r>
      <w:r w:rsidRPr="00130F3A">
        <w:rPr>
          <w:rFonts w:ascii="Times New Roman" w:hAnsi="Times New Roman" w:cs="Times New Roman"/>
          <w:i/>
          <w:iCs/>
          <w:noProof/>
          <w:sz w:val="24"/>
          <w:szCs w:val="24"/>
        </w:rPr>
        <w:t>Atmospheric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w:t>
      </w:r>
      <w:r w:rsidRPr="00130F3A">
        <w:rPr>
          <w:rFonts w:ascii="Times New Roman" w:hAnsi="Times New Roman" w:cs="Times New Roman"/>
          <w:noProof/>
          <w:sz w:val="24"/>
          <w:szCs w:val="24"/>
        </w:rPr>
        <w:t>(12), 2202–2214. https://doi.org/10.1016/j.apr.2020.07.004</w:t>
      </w:r>
    </w:p>
    <w:p w14:paraId="2C6A4CAB"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Jahedi, F., Rad, H. D., Goudarzi, G., Babaei, A. A., &amp; Angali, K. A. (2021). </w:t>
      </w:r>
      <w:r w:rsidRPr="00130F3A">
        <w:rPr>
          <w:rFonts w:ascii="Times New Roman" w:hAnsi="Times New Roman" w:cs="Times New Roman"/>
          <w:i/>
          <w:iCs/>
          <w:noProof/>
          <w:sz w:val="24"/>
          <w:szCs w:val="24"/>
        </w:rPr>
        <w:t>Polycyclic aromatic hydrocarbons in PM 1 , PM 2 . 5 and PM 10 atmospheric particles : identification , sources , temporal and spatial variations</w:t>
      </w:r>
      <w:r w:rsidRPr="00130F3A">
        <w:rPr>
          <w:rFonts w:ascii="Times New Roman" w:hAnsi="Times New Roman" w:cs="Times New Roman"/>
          <w:noProof/>
          <w:sz w:val="24"/>
          <w:szCs w:val="24"/>
        </w:rPr>
        <w:t>. 851–866.</w:t>
      </w:r>
    </w:p>
    <w:p w14:paraId="050C0747"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Jithin, N. M., Gowtham, J., &amp; Srimuruganandam, A. B. B. (2022). Mass , composition , and sources of particulate matter in residential and traffic sites of an urban environment. </w:t>
      </w:r>
      <w:r w:rsidRPr="00130F3A">
        <w:rPr>
          <w:rFonts w:ascii="Times New Roman" w:hAnsi="Times New Roman" w:cs="Times New Roman"/>
          <w:i/>
          <w:iCs/>
          <w:noProof/>
          <w:sz w:val="24"/>
          <w:szCs w:val="24"/>
        </w:rPr>
        <w:t>Environmental Geochemistry and Health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0123456789</w:t>
      </w:r>
      <w:r w:rsidRPr="00130F3A">
        <w:rPr>
          <w:rFonts w:ascii="Times New Roman" w:hAnsi="Times New Roman" w:cs="Times New Roman"/>
          <w:noProof/>
          <w:sz w:val="24"/>
          <w:szCs w:val="24"/>
        </w:rPr>
        <w:t>. https://doi.org/10.1007/s10653-022-01327-4</w:t>
      </w:r>
    </w:p>
    <w:p w14:paraId="397FE96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Jodeh, S., Hasan, A. R., Amarah, J., Judeh, F., Salghi, R., Lgaz, H., &amp; Jodeh, W. (2018). </w:t>
      </w:r>
      <w:r w:rsidRPr="00130F3A">
        <w:rPr>
          <w:rFonts w:ascii="Times New Roman" w:hAnsi="Times New Roman" w:cs="Times New Roman"/>
          <w:i/>
          <w:iCs/>
          <w:noProof/>
          <w:sz w:val="24"/>
          <w:szCs w:val="24"/>
        </w:rPr>
        <w:t>Indoor and outdoor air quality analysis for the city of Nablus of residential homes</w:t>
      </w:r>
      <w:r w:rsidRPr="00130F3A">
        <w:rPr>
          <w:rFonts w:ascii="Times New Roman" w:hAnsi="Times New Roman" w:cs="Times New Roman"/>
          <w:noProof/>
          <w:sz w:val="24"/>
          <w:szCs w:val="24"/>
        </w:rPr>
        <w:t>. 229–237.</w:t>
      </w:r>
    </w:p>
    <w:p w14:paraId="7B29567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Kim, K. H., Sekiguchi, K., Kudo, S., &amp; Sakamoto, K. (2011). Characteristics of Atmospheric Elemental Carbon (Char and Soot) in Ultrafine and Fine Particles in a Roadside Environment, Japan.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w:t>
      </w:r>
      <w:r w:rsidRPr="00130F3A">
        <w:rPr>
          <w:rFonts w:ascii="Times New Roman" w:hAnsi="Times New Roman" w:cs="Times New Roman"/>
          <w:noProof/>
          <w:sz w:val="24"/>
          <w:szCs w:val="24"/>
        </w:rPr>
        <w:t>(1), 1–12. https://doi.org/10.4209/aaqr.2010.07.0061</w:t>
      </w:r>
    </w:p>
    <w:p w14:paraId="7BE671A9" w14:textId="034E0CAA"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Kumar, A., &amp; Attri, A. K. (2016). Biomass combustion </w:t>
      </w:r>
      <w:r w:rsidR="00D86AA9">
        <w:rPr>
          <w:rFonts w:ascii="Times New Roman" w:hAnsi="Times New Roman" w:cs="Times New Roman"/>
          <w:noProof/>
          <w:sz w:val="24"/>
          <w:szCs w:val="24"/>
        </w:rPr>
        <w:t xml:space="preserve">is </w:t>
      </w:r>
      <w:r w:rsidRPr="00130F3A">
        <w:rPr>
          <w:rFonts w:ascii="Times New Roman" w:hAnsi="Times New Roman" w:cs="Times New Roman"/>
          <w:noProof/>
          <w:sz w:val="24"/>
          <w:szCs w:val="24"/>
        </w:rPr>
        <w:t xml:space="preserve">a dominant source of carbonaceous aerosols in the ambient environment of </w:t>
      </w:r>
      <w:r w:rsidR="00D86AA9">
        <w:rPr>
          <w:rFonts w:ascii="Times New Roman" w:hAnsi="Times New Roman" w:cs="Times New Roman"/>
          <w:noProof/>
          <w:sz w:val="24"/>
          <w:szCs w:val="24"/>
        </w:rPr>
        <w:t xml:space="preserve">the </w:t>
      </w:r>
      <w:r w:rsidRPr="00130F3A">
        <w:rPr>
          <w:rFonts w:ascii="Times New Roman" w:hAnsi="Times New Roman" w:cs="Times New Roman"/>
          <w:noProof/>
          <w:sz w:val="24"/>
          <w:szCs w:val="24"/>
        </w:rPr>
        <w:t xml:space="preserve">Western Himalayas.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16</w:t>
      </w:r>
      <w:r w:rsidRPr="00130F3A">
        <w:rPr>
          <w:rFonts w:ascii="Times New Roman" w:hAnsi="Times New Roman" w:cs="Times New Roman"/>
          <w:noProof/>
          <w:sz w:val="24"/>
          <w:szCs w:val="24"/>
        </w:rPr>
        <w:t>(3), 519–529. https://doi.org/10.4209/aaqr.2015.05.0284</w:t>
      </w:r>
    </w:p>
    <w:p w14:paraId="52A35236"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Kumar, P., Kumar, S., &amp; Yadav, S. (2018). Seasonal variations in size distribution, water-soluble ions, and carbon content of size-segregated aerosols over New Delhi. </w:t>
      </w:r>
      <w:r w:rsidRPr="00130F3A">
        <w:rPr>
          <w:rFonts w:ascii="Times New Roman" w:hAnsi="Times New Roman" w:cs="Times New Roman"/>
          <w:i/>
          <w:iCs/>
          <w:noProof/>
          <w:sz w:val="24"/>
          <w:szCs w:val="24"/>
        </w:rPr>
        <w:t>Environmental Science and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25</w:t>
      </w:r>
      <w:r w:rsidRPr="00130F3A">
        <w:rPr>
          <w:rFonts w:ascii="Times New Roman" w:hAnsi="Times New Roman" w:cs="Times New Roman"/>
          <w:noProof/>
          <w:sz w:val="24"/>
          <w:szCs w:val="24"/>
        </w:rPr>
        <w:t>(6), 6061–6078. https://doi.org/10.1007/s11356-017-0954-6</w:t>
      </w:r>
    </w:p>
    <w:p w14:paraId="5E95B828" w14:textId="332CE16A"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 B., Zhang, J., Zhao, Y., Yuan, S., Zhao, Q., Shen, G., &amp; Wu, H. (2015). Seasonal variation of urban carbonaceous aerosols in a typical city Nanjing in </w:t>
      </w:r>
      <w:r w:rsidR="00D86AA9">
        <w:rPr>
          <w:rFonts w:ascii="Times New Roman" w:hAnsi="Times New Roman" w:cs="Times New Roman"/>
          <w:noProof/>
          <w:sz w:val="24"/>
          <w:szCs w:val="24"/>
        </w:rPr>
        <w:t xml:space="preserve">the </w:t>
      </w:r>
      <w:r w:rsidRPr="00130F3A">
        <w:rPr>
          <w:rFonts w:ascii="Times New Roman" w:hAnsi="Times New Roman" w:cs="Times New Roman"/>
          <w:noProof/>
          <w:sz w:val="24"/>
          <w:szCs w:val="24"/>
        </w:rPr>
        <w:t xml:space="preserve">Yangtze River Delta, China. </w:t>
      </w:r>
      <w:r w:rsidRPr="00130F3A">
        <w:rPr>
          <w:rFonts w:ascii="Times New Roman" w:hAnsi="Times New Roman" w:cs="Times New Roman"/>
          <w:i/>
          <w:iCs/>
          <w:noProof/>
          <w:sz w:val="24"/>
          <w:szCs w:val="24"/>
        </w:rPr>
        <w:t>Atmospheric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106</w:t>
      </w:r>
      <w:r w:rsidRPr="00130F3A">
        <w:rPr>
          <w:rFonts w:ascii="Times New Roman" w:hAnsi="Times New Roman" w:cs="Times New Roman"/>
          <w:noProof/>
          <w:sz w:val="24"/>
          <w:szCs w:val="24"/>
        </w:rPr>
        <w:t>, 223–231. https://doi.org/10.1016/j.atmosenv.2015.01.064</w:t>
      </w:r>
    </w:p>
    <w:p w14:paraId="30C6CEDE"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 H., Wang, Q., Yang, M., Li, F., Wang, J., Sun, Y., Wang, C., Wu, H., &amp; Qian, X. (2016). Chemical characterization and source apportionment of PM2.5 aerosols in a megacity of Southeast China. </w:t>
      </w:r>
      <w:r w:rsidRPr="00130F3A">
        <w:rPr>
          <w:rFonts w:ascii="Times New Roman" w:hAnsi="Times New Roman" w:cs="Times New Roman"/>
          <w:i/>
          <w:iCs/>
          <w:noProof/>
          <w:sz w:val="24"/>
          <w:szCs w:val="24"/>
        </w:rPr>
        <w:t>Atmospheric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181</w:t>
      </w:r>
      <w:r w:rsidRPr="00130F3A">
        <w:rPr>
          <w:rFonts w:ascii="Times New Roman" w:hAnsi="Times New Roman" w:cs="Times New Roman"/>
          <w:noProof/>
          <w:sz w:val="24"/>
          <w:szCs w:val="24"/>
        </w:rPr>
        <w:t>, 288–299. https://doi.org/10.1016/J.ATMOSRES.2016.07.005</w:t>
      </w:r>
    </w:p>
    <w:p w14:paraId="55FAE98C" w14:textId="548568B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Lim, S., Lee, M., Lee, G., Kim, S., Yoon, S., &amp; Kang, K. (2012). Ionic and carbonaceous compositions of PM10, PM2.5</w:t>
      </w:r>
      <w:r w:rsidR="00D86AA9">
        <w:rPr>
          <w:rFonts w:ascii="Times New Roman" w:hAnsi="Times New Roman" w:cs="Times New Roman"/>
          <w:noProof/>
          <w:sz w:val="24"/>
          <w:szCs w:val="24"/>
        </w:rPr>
        <w:t>,</w:t>
      </w:r>
      <w:r w:rsidRPr="00130F3A">
        <w:rPr>
          <w:rFonts w:ascii="Times New Roman" w:hAnsi="Times New Roman" w:cs="Times New Roman"/>
          <w:noProof/>
          <w:sz w:val="24"/>
          <w:szCs w:val="24"/>
        </w:rPr>
        <w:t xml:space="preserve"> and PM1.0 at Gosan ABC Superstation and their ratios as source signature. </w:t>
      </w:r>
      <w:r w:rsidRPr="00130F3A">
        <w:rPr>
          <w:rFonts w:ascii="Times New Roman" w:hAnsi="Times New Roman" w:cs="Times New Roman"/>
          <w:i/>
          <w:iCs/>
          <w:noProof/>
          <w:sz w:val="24"/>
          <w:szCs w:val="24"/>
        </w:rPr>
        <w:t>Atmospheric Chemistry and Physics</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12</w:t>
      </w:r>
      <w:r w:rsidRPr="00130F3A">
        <w:rPr>
          <w:rFonts w:ascii="Times New Roman" w:hAnsi="Times New Roman" w:cs="Times New Roman"/>
          <w:noProof/>
          <w:sz w:val="24"/>
          <w:szCs w:val="24"/>
        </w:rPr>
        <w:t>(4), 2007–2024. https://doi.org/10.5194/acp-12-2007-2012</w:t>
      </w:r>
    </w:p>
    <w:p w14:paraId="15DE83F7"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Liu, H., Jia, M., You, K., Wang, J., Tao, J., Liu, H., Zhang, R., Li, L., Xu, M., Ren, Y., Zhao, Y., Liu, Y., Cheng, K., Fan, Y., &amp; Li, J. (2022). Elucidating the Chemical Compositions and Source Apportionment of Multi-Size Atmospheric Particulate (PM10, PM2.5 and PM1) in 2019–2020 Winter in Xinxiang, North China. </w:t>
      </w:r>
      <w:r w:rsidRPr="00130F3A">
        <w:rPr>
          <w:rFonts w:ascii="Times New Roman" w:hAnsi="Times New Roman" w:cs="Times New Roman"/>
          <w:i/>
          <w:iCs/>
          <w:noProof/>
          <w:sz w:val="24"/>
          <w:szCs w:val="24"/>
        </w:rPr>
        <w:t>Atmosphere</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13</w:t>
      </w:r>
      <w:r w:rsidRPr="00130F3A">
        <w:rPr>
          <w:rFonts w:ascii="Times New Roman" w:hAnsi="Times New Roman" w:cs="Times New Roman"/>
          <w:noProof/>
          <w:sz w:val="24"/>
          <w:szCs w:val="24"/>
        </w:rPr>
        <w:t>(9). https://doi.org/10.3390/atmos13091400</w:t>
      </w:r>
    </w:p>
    <w:p w14:paraId="147967FC"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lastRenderedPageBreak/>
        <w:t xml:space="preserve">Mahapatra, P. S., Panda, U., Mallik, C., Boopathy, R., Jain, S., Sharma, S. K., Mandal, T. K., Senapati, S., Satpathy, P., Panda, S., &amp; Das, T. (2021). Chemical, microstructural, and biological characterization of wintertime PM2.5 during a land campaign study in a coastal city of eastern India. </w:t>
      </w:r>
      <w:r w:rsidRPr="00130F3A">
        <w:rPr>
          <w:rFonts w:ascii="Times New Roman" w:hAnsi="Times New Roman" w:cs="Times New Roman"/>
          <w:i/>
          <w:iCs/>
          <w:noProof/>
          <w:sz w:val="24"/>
          <w:szCs w:val="24"/>
        </w:rPr>
        <w:t>Atmospheric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12</w:t>
      </w:r>
      <w:r w:rsidRPr="00130F3A">
        <w:rPr>
          <w:rFonts w:ascii="Times New Roman" w:hAnsi="Times New Roman" w:cs="Times New Roman"/>
          <w:noProof/>
          <w:sz w:val="24"/>
          <w:szCs w:val="24"/>
        </w:rPr>
        <w:t>(9), 101164. https://doi.org/10.1016/j.apr.2021.101164</w:t>
      </w:r>
    </w:p>
    <w:p w14:paraId="1096EC71"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Masiol, M., Benetello, F., Harrison, R. M., Formenton, G., De Gaspari, F., &amp; Pavoni, B. (2015). Spatial, seasonal trends and transboundary transport of PM2.5 inorganic ions in the Veneto region (Northeastern Italy). </w:t>
      </w:r>
      <w:r w:rsidRPr="00130F3A">
        <w:rPr>
          <w:rFonts w:ascii="Times New Roman" w:hAnsi="Times New Roman" w:cs="Times New Roman"/>
          <w:i/>
          <w:iCs/>
          <w:noProof/>
          <w:sz w:val="24"/>
          <w:szCs w:val="24"/>
        </w:rPr>
        <w:t>Atmospheric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117</w:t>
      </w:r>
      <w:r w:rsidRPr="00130F3A">
        <w:rPr>
          <w:rFonts w:ascii="Times New Roman" w:hAnsi="Times New Roman" w:cs="Times New Roman"/>
          <w:noProof/>
          <w:sz w:val="24"/>
          <w:szCs w:val="24"/>
        </w:rPr>
        <w:t>, 19–31. https://doi.org/10.1016/J.ATMOSENV.2015.06.044</w:t>
      </w:r>
    </w:p>
    <w:p w14:paraId="08F95FE1"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Massey, D., Kulshrestha, A., Masih, J., &amp; Taneja, A. (2012). of residential homes located in North-Central India. </w:t>
      </w:r>
      <w:r w:rsidRPr="00130F3A">
        <w:rPr>
          <w:rFonts w:ascii="Times New Roman" w:hAnsi="Times New Roman" w:cs="Times New Roman"/>
          <w:i/>
          <w:iCs/>
          <w:noProof/>
          <w:sz w:val="24"/>
          <w:szCs w:val="24"/>
        </w:rPr>
        <w:t>Building and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47</w:t>
      </w:r>
      <w:r w:rsidRPr="00130F3A">
        <w:rPr>
          <w:rFonts w:ascii="Times New Roman" w:hAnsi="Times New Roman" w:cs="Times New Roman"/>
          <w:noProof/>
          <w:sz w:val="24"/>
          <w:szCs w:val="24"/>
        </w:rPr>
        <w:t>, 223–231. https://doi.org/10.1016/j.buildenv.2011.07.018</w:t>
      </w:r>
    </w:p>
    <w:p w14:paraId="61DFF06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Mishra, M., &amp; Kulshrestha, U. C. (2021). Source impact analysis using char-ec/soot-ec ratios in the central indo-gangetic plain (Igp) of India. </w:t>
      </w:r>
      <w:r w:rsidRPr="00130F3A">
        <w:rPr>
          <w:rFonts w:ascii="Times New Roman" w:hAnsi="Times New Roman" w:cs="Times New Roman"/>
          <w:i/>
          <w:iCs/>
          <w:noProof/>
          <w:sz w:val="24"/>
          <w:szCs w:val="24"/>
        </w:rPr>
        <w:t>Aerosol and Air Quality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21</w:t>
      </w:r>
      <w:r w:rsidRPr="00130F3A">
        <w:rPr>
          <w:rFonts w:ascii="Times New Roman" w:hAnsi="Times New Roman" w:cs="Times New Roman"/>
          <w:noProof/>
          <w:sz w:val="24"/>
          <w:szCs w:val="24"/>
        </w:rPr>
        <w:t>(9), 1–17. https://doi.org/10.4209/aaqr.200628</w:t>
      </w:r>
    </w:p>
    <w:p w14:paraId="6715E1E6"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Nadali, A., Arfaeinia, H., Asadgol, Z., &amp; Fahiminia, M. (2020). Indoor and outdoor concentration of PM 10 , PM 2 . 5 and PM 1 in residential building and evaluation of negative air ions ( NAIs ) in indoor PM removal. </w:t>
      </w:r>
      <w:r w:rsidRPr="00130F3A">
        <w:rPr>
          <w:rFonts w:ascii="Times New Roman" w:hAnsi="Times New Roman" w:cs="Times New Roman"/>
          <w:i/>
          <w:iCs/>
          <w:noProof/>
          <w:sz w:val="24"/>
          <w:szCs w:val="24"/>
        </w:rPr>
        <w:t>Environmental Pollutants and Bioavailability</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32</w:t>
      </w:r>
      <w:r w:rsidRPr="00130F3A">
        <w:rPr>
          <w:rFonts w:ascii="Times New Roman" w:hAnsi="Times New Roman" w:cs="Times New Roman"/>
          <w:noProof/>
          <w:sz w:val="24"/>
          <w:szCs w:val="24"/>
        </w:rPr>
        <w:t>(1), 47–55. https://doi.org/10.1080/26395940.2020.1728198</w:t>
      </w:r>
    </w:p>
    <w:p w14:paraId="4D882FE3"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Police, S., Sahu, S. K., &amp; Pandit, G. G. (2016). Chemical characterization of atmospheric particulate matter and their source apportionment at an emerging industrial coastal city ,. </w:t>
      </w:r>
      <w:r w:rsidRPr="00130F3A">
        <w:rPr>
          <w:rFonts w:ascii="Times New Roman" w:hAnsi="Times New Roman" w:cs="Times New Roman"/>
          <w:i/>
          <w:iCs/>
          <w:noProof/>
          <w:sz w:val="24"/>
          <w:szCs w:val="24"/>
        </w:rPr>
        <w:t>Atmospheric Pollution Research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7</w:t>
      </w:r>
      <w:r w:rsidRPr="00130F3A">
        <w:rPr>
          <w:rFonts w:ascii="Times New Roman" w:hAnsi="Times New Roman" w:cs="Times New Roman"/>
          <w:noProof/>
          <w:sz w:val="24"/>
          <w:szCs w:val="24"/>
        </w:rPr>
        <w:t>(4), 725–733. https://doi.org/10.1016/j.apr.2016.03.007</w:t>
      </w:r>
    </w:p>
    <w:p w14:paraId="7CA1F08D"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Sahu, R. K., Pervez, S., Chow, J. C., Watson, J. G., Tiwari, S., Panicker, A. S., Chakrabarty, R. K., &amp; Pervez, Y. F. (2018). Temporal and spatial variations of PM2.5 organic and elemental carbon in Central India. </w:t>
      </w:r>
      <w:r w:rsidRPr="00130F3A">
        <w:rPr>
          <w:rFonts w:ascii="Times New Roman" w:hAnsi="Times New Roman" w:cs="Times New Roman"/>
          <w:i/>
          <w:iCs/>
          <w:noProof/>
          <w:sz w:val="24"/>
          <w:szCs w:val="24"/>
        </w:rPr>
        <w:t>Environmental Geochemistry and Health</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40</w:t>
      </w:r>
      <w:r w:rsidRPr="00130F3A">
        <w:rPr>
          <w:rFonts w:ascii="Times New Roman" w:hAnsi="Times New Roman" w:cs="Times New Roman"/>
          <w:noProof/>
          <w:sz w:val="24"/>
          <w:szCs w:val="24"/>
        </w:rPr>
        <w:t>(5), 2205–2222. https://doi.org/10.1007/s10653-018-0093-0</w:t>
      </w:r>
    </w:p>
    <w:p w14:paraId="6B96504C"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Souza, D. Z., Vasconcellos, P. C., Lee, H., Aurela, M., Saarnio, K., Teinilä, K., &amp; Hillamo, R. (2014). </w:t>
      </w:r>
      <w:r w:rsidRPr="00130F3A">
        <w:rPr>
          <w:rFonts w:ascii="Times New Roman" w:hAnsi="Times New Roman" w:cs="Times New Roman"/>
          <w:i/>
          <w:iCs/>
          <w:noProof/>
          <w:sz w:val="24"/>
          <w:szCs w:val="24"/>
        </w:rPr>
        <w:t>Composition of PM 2 . 5 and PM 10 Collected at Urban Sites in Brazil</w:t>
      </w:r>
      <w:r w:rsidRPr="00130F3A">
        <w:rPr>
          <w:rFonts w:ascii="Times New Roman" w:hAnsi="Times New Roman" w:cs="Times New Roman"/>
          <w:noProof/>
          <w:sz w:val="24"/>
          <w:szCs w:val="24"/>
        </w:rPr>
        <w:t>. 168–176. https://doi.org/10.4209/aaqr.2013.03.0071</w:t>
      </w:r>
    </w:p>
    <w:p w14:paraId="00937637"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Srimuruganandam, B., &amp; Shiva Nagendra, S. M. (2011). Chemical characterization of PM10 and PM2.5 mass concentrations emitted by heterogeneous traffic. </w:t>
      </w:r>
      <w:r w:rsidRPr="00130F3A">
        <w:rPr>
          <w:rFonts w:ascii="Times New Roman" w:hAnsi="Times New Roman" w:cs="Times New Roman"/>
          <w:i/>
          <w:iCs/>
          <w:noProof/>
          <w:sz w:val="24"/>
          <w:szCs w:val="24"/>
        </w:rPr>
        <w:t>Science of The Total Environment</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409</w:t>
      </w:r>
      <w:r w:rsidRPr="00130F3A">
        <w:rPr>
          <w:rFonts w:ascii="Times New Roman" w:hAnsi="Times New Roman" w:cs="Times New Roman"/>
          <w:noProof/>
          <w:sz w:val="24"/>
          <w:szCs w:val="24"/>
        </w:rPr>
        <w:t>(17), 3144–3157. https://doi.org/10.1016/J.SCITOTENV.2011.04.042</w:t>
      </w:r>
    </w:p>
    <w:p w14:paraId="342AC02C" w14:textId="17CF2B80"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Talbi, A., Kerchich, Y., &amp; Kerbachi, R. (2018). </w:t>
      </w:r>
      <w:r w:rsidRPr="00130F3A">
        <w:rPr>
          <w:rFonts w:ascii="Times New Roman" w:hAnsi="Times New Roman" w:cs="Times New Roman"/>
          <w:i/>
          <w:iCs/>
          <w:noProof/>
          <w:sz w:val="24"/>
          <w:szCs w:val="24"/>
        </w:rPr>
        <w:t>Assessment of annual air pollution levels with PM1, PM2 . 5, PM10</w:t>
      </w:r>
      <w:r w:rsidR="00D86AA9">
        <w:rPr>
          <w:rFonts w:ascii="Times New Roman" w:hAnsi="Times New Roman" w:cs="Times New Roman"/>
          <w:i/>
          <w:iCs/>
          <w:noProof/>
          <w:sz w:val="24"/>
          <w:szCs w:val="24"/>
        </w:rPr>
        <w:t>,</w:t>
      </w:r>
      <w:r w:rsidRPr="00130F3A">
        <w:rPr>
          <w:rFonts w:ascii="Times New Roman" w:hAnsi="Times New Roman" w:cs="Times New Roman"/>
          <w:i/>
          <w:iCs/>
          <w:noProof/>
          <w:sz w:val="24"/>
          <w:szCs w:val="24"/>
        </w:rPr>
        <w:t xml:space="preserve"> and associated heavy metals in Algiers , Algeria * nou e</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232</w:t>
      </w:r>
      <w:r w:rsidRPr="00130F3A">
        <w:rPr>
          <w:rFonts w:ascii="Times New Roman" w:hAnsi="Times New Roman" w:cs="Times New Roman"/>
          <w:noProof/>
          <w:sz w:val="24"/>
          <w:szCs w:val="24"/>
        </w:rPr>
        <w:t>, 252–263. https://doi.org/10.1016/j.envpol.2017.09.041</w:t>
      </w:r>
    </w:p>
    <w:p w14:paraId="671B278F"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Tham, J., Sarkar, S., Jia, S., Reid, J. S., Mishra, S., Sudiana, I. M., Swarup, S., Ong, C. N., &amp; Yu, L. E. (2019). Impacts of peat-forest smoke on urban PM2.5 in the Maritime Continent during 2012–2015: Carbonaceous profiles and indicators. </w:t>
      </w:r>
      <w:r w:rsidRPr="00130F3A">
        <w:rPr>
          <w:rFonts w:ascii="Times New Roman" w:hAnsi="Times New Roman" w:cs="Times New Roman"/>
          <w:i/>
          <w:iCs/>
          <w:noProof/>
          <w:sz w:val="24"/>
          <w:szCs w:val="24"/>
        </w:rPr>
        <w:t>Environmental Pollution</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248</w:t>
      </w:r>
      <w:r w:rsidRPr="00130F3A">
        <w:rPr>
          <w:rFonts w:ascii="Times New Roman" w:hAnsi="Times New Roman" w:cs="Times New Roman"/>
          <w:noProof/>
          <w:sz w:val="24"/>
          <w:szCs w:val="24"/>
        </w:rPr>
        <w:t>, 496–505. https://doi.org/10.1016/j.envpol.2019.02.049</w:t>
      </w:r>
    </w:p>
    <w:p w14:paraId="17C97A8C"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lastRenderedPageBreak/>
        <w:t xml:space="preserve">Thi, N., Thuy, T., Dung, N. T., Sekiguchi, K., Thuy, L. B., Thi, N., Hien, T., &amp; Yamaguchi, R. (2018). </w:t>
      </w:r>
      <w:r w:rsidRPr="00130F3A">
        <w:rPr>
          <w:rFonts w:ascii="Times New Roman" w:hAnsi="Times New Roman" w:cs="Times New Roman"/>
          <w:i/>
          <w:iCs/>
          <w:noProof/>
          <w:sz w:val="24"/>
          <w:szCs w:val="24"/>
        </w:rPr>
        <w:t>at Urban Locations in Hanoi , Vietnam</w:t>
      </w:r>
      <w:r w:rsidRPr="00130F3A">
        <w:rPr>
          <w:rFonts w:ascii="Times New Roman" w:hAnsi="Times New Roman" w:cs="Times New Roman"/>
          <w:noProof/>
          <w:sz w:val="24"/>
          <w:szCs w:val="24"/>
        </w:rPr>
        <w:t>. 1591–1605. https://doi.org/10.4209/aaqr.2017.11.0502</w:t>
      </w:r>
    </w:p>
    <w:p w14:paraId="276F03B5" w14:textId="3BF37AD5"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szCs w:val="24"/>
        </w:rPr>
      </w:pPr>
      <w:r w:rsidRPr="00130F3A">
        <w:rPr>
          <w:rFonts w:ascii="Times New Roman" w:hAnsi="Times New Roman" w:cs="Times New Roman"/>
          <w:noProof/>
          <w:sz w:val="24"/>
          <w:szCs w:val="24"/>
        </w:rPr>
        <w:t xml:space="preserve">Zhang, J., Yang, L., Mellouki, A., Wen, L., Yang, Y., &amp; Gao, Y. (2016). </w:t>
      </w:r>
      <w:r w:rsidRPr="00130F3A">
        <w:rPr>
          <w:rFonts w:ascii="Times New Roman" w:hAnsi="Times New Roman" w:cs="Times New Roman"/>
          <w:i/>
          <w:iCs/>
          <w:noProof/>
          <w:sz w:val="24"/>
          <w:szCs w:val="24"/>
        </w:rPr>
        <w:t>Science of the Total Environment Chemical characteristics and in</w:t>
      </w:r>
      <w:r w:rsidR="00D86AA9">
        <w:rPr>
          <w:rFonts w:ascii="Times New Roman" w:hAnsi="Times New Roman" w:cs="Times New Roman"/>
          <w:i/>
          <w:iCs/>
          <w:noProof/>
          <w:sz w:val="24"/>
          <w:szCs w:val="24"/>
        </w:rPr>
        <w:t>fl</w:t>
      </w:r>
      <w:r w:rsidRPr="00130F3A">
        <w:rPr>
          <w:rFonts w:ascii="Times New Roman" w:hAnsi="Times New Roman" w:cs="Times New Roman"/>
          <w:i/>
          <w:iCs/>
          <w:noProof/>
          <w:sz w:val="24"/>
          <w:szCs w:val="24"/>
        </w:rPr>
        <w:t>uence of continental out</w:t>
      </w:r>
      <w:r w:rsidR="00D86AA9">
        <w:rPr>
          <w:rFonts w:ascii="Times New Roman" w:hAnsi="Times New Roman" w:cs="Times New Roman"/>
          <w:i/>
          <w:iCs/>
          <w:noProof/>
          <w:sz w:val="24"/>
          <w:szCs w:val="24"/>
        </w:rPr>
        <w:t>fl</w:t>
      </w:r>
      <w:r w:rsidRPr="00130F3A">
        <w:rPr>
          <w:rFonts w:ascii="Times New Roman" w:hAnsi="Times New Roman" w:cs="Times New Roman"/>
          <w:i/>
          <w:iCs/>
          <w:noProof/>
          <w:sz w:val="24"/>
          <w:szCs w:val="24"/>
        </w:rPr>
        <w:t>ow on PM 1 . 0 , PM 2 . 5 and PM 10 measured at Tuoji island in the Bohai Sea</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573</w:t>
      </w:r>
      <w:r w:rsidRPr="00130F3A">
        <w:rPr>
          <w:rFonts w:ascii="Times New Roman" w:hAnsi="Times New Roman" w:cs="Times New Roman"/>
          <w:noProof/>
          <w:sz w:val="24"/>
          <w:szCs w:val="24"/>
        </w:rPr>
        <w:t>, 699–706. https://doi.org/10.1016/j.scitotenv.2016.08.146</w:t>
      </w:r>
    </w:p>
    <w:p w14:paraId="68EE0F18" w14:textId="77777777" w:rsidR="00130F3A" w:rsidRPr="00130F3A" w:rsidRDefault="00130F3A" w:rsidP="00130F3A">
      <w:pPr>
        <w:widowControl w:val="0"/>
        <w:autoSpaceDE w:val="0"/>
        <w:autoSpaceDN w:val="0"/>
        <w:adjustRightInd w:val="0"/>
        <w:spacing w:after="240" w:line="240" w:lineRule="auto"/>
        <w:ind w:left="480" w:hanging="480"/>
        <w:rPr>
          <w:rFonts w:ascii="Times New Roman" w:hAnsi="Times New Roman" w:cs="Times New Roman"/>
          <w:noProof/>
          <w:sz w:val="24"/>
        </w:rPr>
      </w:pPr>
      <w:r w:rsidRPr="00130F3A">
        <w:rPr>
          <w:rFonts w:ascii="Times New Roman" w:hAnsi="Times New Roman" w:cs="Times New Roman"/>
          <w:noProof/>
          <w:sz w:val="24"/>
          <w:szCs w:val="24"/>
        </w:rPr>
        <w:t xml:space="preserve">Zhao, P. S., Dong, F., He, D., Zhao, X. J., Zhang, X. L., Zhang, W. Z., Yao, Q., &amp; Liu, H. Y. (2013). Characteristics of concentrations and chemical compositions for PM&amp;amp;lt;sub&amp;amp;gt;2.5&amp;amp;lt;/sub&amp;amp;gt; in the region of Beijing, Tianjin, and Hebei, China. </w:t>
      </w:r>
      <w:r w:rsidRPr="00130F3A">
        <w:rPr>
          <w:rFonts w:ascii="Times New Roman" w:hAnsi="Times New Roman" w:cs="Times New Roman"/>
          <w:i/>
          <w:iCs/>
          <w:noProof/>
          <w:sz w:val="24"/>
          <w:szCs w:val="24"/>
        </w:rPr>
        <w:t>Atmospheric Chemistry and Physics</w:t>
      </w:r>
      <w:r w:rsidRPr="00130F3A">
        <w:rPr>
          <w:rFonts w:ascii="Times New Roman" w:hAnsi="Times New Roman" w:cs="Times New Roman"/>
          <w:noProof/>
          <w:sz w:val="24"/>
          <w:szCs w:val="24"/>
        </w:rPr>
        <w:t xml:space="preserve">, </w:t>
      </w:r>
      <w:r w:rsidRPr="00130F3A">
        <w:rPr>
          <w:rFonts w:ascii="Times New Roman" w:hAnsi="Times New Roman" w:cs="Times New Roman"/>
          <w:i/>
          <w:iCs/>
          <w:noProof/>
          <w:sz w:val="24"/>
          <w:szCs w:val="24"/>
        </w:rPr>
        <w:t>13</w:t>
      </w:r>
      <w:r w:rsidRPr="00130F3A">
        <w:rPr>
          <w:rFonts w:ascii="Times New Roman" w:hAnsi="Times New Roman" w:cs="Times New Roman"/>
          <w:noProof/>
          <w:sz w:val="24"/>
          <w:szCs w:val="24"/>
        </w:rPr>
        <w:t>(9), 4631–4644. https://doi.org/10.5194/acp-13-4631-2013</w:t>
      </w:r>
    </w:p>
    <w:p w14:paraId="208D15B2" w14:textId="36E78668" w:rsidR="00AC646E" w:rsidRDefault="00130F3A" w:rsidP="00AC646E">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end"/>
      </w:r>
    </w:p>
    <w:sectPr w:rsidR="00AC646E" w:rsidSect="00A5185C">
      <w:footerReference w:type="default" r:id="rId17"/>
      <w:pgSz w:w="11906" w:h="16838"/>
      <w:pgMar w:top="1440" w:right="1440" w:bottom="1440" w:left="1440" w:header="708" w:footer="708"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192AB" w14:textId="77777777" w:rsidR="005A07D5" w:rsidRDefault="005A07D5">
      <w:pPr>
        <w:spacing w:after="0" w:line="240" w:lineRule="auto"/>
      </w:pPr>
      <w:r>
        <w:separator/>
      </w:r>
    </w:p>
  </w:endnote>
  <w:endnote w:type="continuationSeparator" w:id="0">
    <w:p w14:paraId="708057A0" w14:textId="77777777" w:rsidR="005A07D5" w:rsidRDefault="005A07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ungsuh">
    <w:altName w:val="Gungsuh"/>
    <w:charset w:val="81"/>
    <w:family w:val="roman"/>
    <w:pitch w:val="variable"/>
    <w:sig w:usb0="B00002AF" w:usb1="69D77CFB" w:usb2="00000030" w:usb3="00000000" w:csb0="0008009F" w:csb1="00000000"/>
  </w:font>
  <w:font w:name="Noto Sans">
    <w:charset w:val="00"/>
    <w:family w:val="swiss"/>
    <w:pitch w:val="variable"/>
    <w:sig w:usb0="E00082FF" w:usb1="400078FF" w:usb2="00000021"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BF6F5F" w14:textId="77777777" w:rsidR="00685D34" w:rsidRDefault="00000000">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275BFE">
      <w:rPr>
        <w:noProof/>
        <w:color w:val="000000"/>
      </w:rPr>
      <w:t>1</w:t>
    </w:r>
    <w:r>
      <w:rPr>
        <w:color w:val="000000"/>
      </w:rPr>
      <w:fldChar w:fldCharType="end"/>
    </w:r>
  </w:p>
  <w:p w14:paraId="0C206C50" w14:textId="276D7A48" w:rsidR="00685D34" w:rsidRPr="00D46DB4" w:rsidRDefault="00685D34" w:rsidP="00D46DB4">
    <w:pPr>
      <w:keepNext/>
      <w:spacing w:line="276" w:lineRule="auto"/>
      <w:ind w:left="720"/>
      <w:rPr>
        <w:rFonts w:ascii="Times New Roman" w:eastAsia="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0C4BBD" w14:textId="77777777" w:rsidR="005A07D5" w:rsidRDefault="005A07D5">
      <w:pPr>
        <w:spacing w:after="0" w:line="240" w:lineRule="auto"/>
      </w:pPr>
      <w:r>
        <w:separator/>
      </w:r>
    </w:p>
  </w:footnote>
  <w:footnote w:type="continuationSeparator" w:id="0">
    <w:p w14:paraId="698060B9" w14:textId="77777777" w:rsidR="005A07D5" w:rsidRDefault="005A07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IzMjUwNDQ1NzAyNzFQ0lEKTi0uzszPAykwrwUA20Ui1iwAAAA="/>
  </w:docVars>
  <w:rsids>
    <w:rsidRoot w:val="00685D34"/>
    <w:rsid w:val="0012677D"/>
    <w:rsid w:val="00130F3A"/>
    <w:rsid w:val="0014506D"/>
    <w:rsid w:val="00151BD7"/>
    <w:rsid w:val="001F206E"/>
    <w:rsid w:val="00275BFE"/>
    <w:rsid w:val="0028707A"/>
    <w:rsid w:val="002F6C15"/>
    <w:rsid w:val="003A15B8"/>
    <w:rsid w:val="003B19D4"/>
    <w:rsid w:val="003D0F20"/>
    <w:rsid w:val="003F41CE"/>
    <w:rsid w:val="004C45D7"/>
    <w:rsid w:val="00557473"/>
    <w:rsid w:val="00581DAF"/>
    <w:rsid w:val="00583308"/>
    <w:rsid w:val="005A07D5"/>
    <w:rsid w:val="005D1144"/>
    <w:rsid w:val="00685D34"/>
    <w:rsid w:val="006A5154"/>
    <w:rsid w:val="006C1364"/>
    <w:rsid w:val="00735207"/>
    <w:rsid w:val="0085017F"/>
    <w:rsid w:val="00890B9A"/>
    <w:rsid w:val="008D52DA"/>
    <w:rsid w:val="009748DA"/>
    <w:rsid w:val="009F3492"/>
    <w:rsid w:val="00A44CDF"/>
    <w:rsid w:val="00A5185C"/>
    <w:rsid w:val="00AC646E"/>
    <w:rsid w:val="00AD1D93"/>
    <w:rsid w:val="00B1038C"/>
    <w:rsid w:val="00C44D6E"/>
    <w:rsid w:val="00C8158E"/>
    <w:rsid w:val="00D0066D"/>
    <w:rsid w:val="00D1269F"/>
    <w:rsid w:val="00D171F7"/>
    <w:rsid w:val="00D2461F"/>
    <w:rsid w:val="00D46DB4"/>
    <w:rsid w:val="00D86AA9"/>
    <w:rsid w:val="00DA5690"/>
    <w:rsid w:val="00DA5F3F"/>
    <w:rsid w:val="00E27731"/>
    <w:rsid w:val="00EB21A3"/>
    <w:rsid w:val="00FF2D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7D77D3"/>
  <w15:docId w15:val="{76D35E81-FB23-4B4F-A776-87A3216A41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2AB0"/>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CE2A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E2AB0"/>
    <w:pPr>
      <w:spacing w:after="200" w:line="240" w:lineRule="auto"/>
    </w:pPr>
    <w:rPr>
      <w:i/>
      <w:iCs/>
      <w:color w:val="44546A" w:themeColor="text2"/>
      <w:sz w:val="18"/>
      <w:szCs w:val="18"/>
    </w:rPr>
  </w:style>
  <w:style w:type="paragraph" w:styleId="Footer">
    <w:name w:val="footer"/>
    <w:basedOn w:val="Normal"/>
    <w:link w:val="FooterChar"/>
    <w:uiPriority w:val="99"/>
    <w:unhideWhenUsed/>
    <w:rsid w:val="00CE2A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2AB0"/>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table" w:customStyle="1" w:styleId="a2">
    <w:basedOn w:val="TableNormal"/>
    <w:pPr>
      <w:spacing w:after="0" w:line="240" w:lineRule="auto"/>
    </w:pPr>
    <w:tblPr>
      <w:tblStyleRowBandSize w:val="1"/>
      <w:tblStyleColBandSize w:val="1"/>
      <w:tblCellMar>
        <w:top w:w="100" w:type="dxa"/>
        <w:left w:w="100" w:type="dxa"/>
        <w:bottom w:w="100" w:type="dxa"/>
        <w:right w:w="100" w:type="dxa"/>
      </w:tblCellMar>
    </w:tblPr>
  </w:style>
  <w:style w:type="table" w:customStyle="1" w:styleId="a3">
    <w:basedOn w:val="TableNormal"/>
    <w:pPr>
      <w:spacing w:after="0" w:line="240" w:lineRule="auto"/>
    </w:pPr>
    <w:tblPr>
      <w:tblStyleRowBandSize w:val="1"/>
      <w:tblStyleColBandSize w:val="1"/>
      <w:tblCellMar>
        <w:top w:w="100" w:type="dxa"/>
        <w:left w:w="100" w:type="dxa"/>
        <w:bottom w:w="100" w:type="dxa"/>
        <w:right w:w="100" w:type="dxa"/>
      </w:tblCellMar>
    </w:tblPr>
  </w:style>
  <w:style w:type="table" w:customStyle="1" w:styleId="a4">
    <w:basedOn w:val="TableNormal"/>
    <w:pPr>
      <w:spacing w:after="0" w:line="240" w:lineRule="auto"/>
    </w:pPr>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paragraph" w:styleId="FootnoteText">
    <w:name w:val="footnote text"/>
    <w:basedOn w:val="Normal"/>
    <w:link w:val="FootnoteTextChar"/>
    <w:uiPriority w:val="99"/>
    <w:semiHidden/>
    <w:unhideWhenUsed/>
    <w:rsid w:val="009F349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F3492"/>
    <w:rPr>
      <w:sz w:val="20"/>
      <w:szCs w:val="20"/>
    </w:rPr>
  </w:style>
  <w:style w:type="character" w:styleId="FootnoteReference">
    <w:name w:val="footnote reference"/>
    <w:basedOn w:val="DefaultParagraphFont"/>
    <w:uiPriority w:val="99"/>
    <w:semiHidden/>
    <w:unhideWhenUsed/>
    <w:rsid w:val="009F3492"/>
    <w:rPr>
      <w:vertAlign w:val="superscript"/>
    </w:rPr>
  </w:style>
  <w:style w:type="character" w:styleId="LineNumber">
    <w:name w:val="line number"/>
    <w:basedOn w:val="DefaultParagraphFont"/>
    <w:uiPriority w:val="99"/>
    <w:semiHidden/>
    <w:unhideWhenUsed/>
    <w:rsid w:val="00A5185C"/>
  </w:style>
  <w:style w:type="paragraph" w:styleId="Header">
    <w:name w:val="header"/>
    <w:basedOn w:val="Normal"/>
    <w:link w:val="HeaderChar"/>
    <w:uiPriority w:val="99"/>
    <w:unhideWhenUsed/>
    <w:rsid w:val="00D46D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6DB4"/>
  </w:style>
  <w:style w:type="paragraph" w:styleId="Revision">
    <w:name w:val="Revision"/>
    <w:hidden/>
    <w:uiPriority w:val="99"/>
    <w:semiHidden/>
    <w:rsid w:val="00C44D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91480">
      <w:bodyDiv w:val="1"/>
      <w:marLeft w:val="0"/>
      <w:marRight w:val="0"/>
      <w:marTop w:val="0"/>
      <w:marBottom w:val="0"/>
      <w:divBdr>
        <w:top w:val="none" w:sz="0" w:space="0" w:color="auto"/>
        <w:left w:val="none" w:sz="0" w:space="0" w:color="auto"/>
        <w:bottom w:val="none" w:sz="0" w:space="0" w:color="auto"/>
        <w:right w:val="none" w:sz="0" w:space="0" w:color="auto"/>
      </w:divBdr>
    </w:div>
    <w:div w:id="284436215">
      <w:bodyDiv w:val="1"/>
      <w:marLeft w:val="0"/>
      <w:marRight w:val="0"/>
      <w:marTop w:val="0"/>
      <w:marBottom w:val="0"/>
      <w:divBdr>
        <w:top w:val="none" w:sz="0" w:space="0" w:color="auto"/>
        <w:left w:val="none" w:sz="0" w:space="0" w:color="auto"/>
        <w:bottom w:val="none" w:sz="0" w:space="0" w:color="auto"/>
        <w:right w:val="none" w:sz="0" w:space="0" w:color="auto"/>
      </w:divBdr>
    </w:div>
    <w:div w:id="795174666">
      <w:bodyDiv w:val="1"/>
      <w:marLeft w:val="0"/>
      <w:marRight w:val="0"/>
      <w:marTop w:val="0"/>
      <w:marBottom w:val="0"/>
      <w:divBdr>
        <w:top w:val="none" w:sz="0" w:space="0" w:color="auto"/>
        <w:left w:val="none" w:sz="0" w:space="0" w:color="auto"/>
        <w:bottom w:val="none" w:sz="0" w:space="0" w:color="auto"/>
        <w:right w:val="none" w:sz="0" w:space="0" w:color="auto"/>
      </w:divBdr>
    </w:div>
    <w:div w:id="809979549">
      <w:bodyDiv w:val="1"/>
      <w:marLeft w:val="0"/>
      <w:marRight w:val="0"/>
      <w:marTop w:val="0"/>
      <w:marBottom w:val="0"/>
      <w:divBdr>
        <w:top w:val="none" w:sz="0" w:space="0" w:color="auto"/>
        <w:left w:val="none" w:sz="0" w:space="0" w:color="auto"/>
        <w:bottom w:val="none" w:sz="0" w:space="0" w:color="auto"/>
        <w:right w:val="none" w:sz="0" w:space="0" w:color="auto"/>
      </w:divBdr>
    </w:div>
    <w:div w:id="890313708">
      <w:bodyDiv w:val="1"/>
      <w:marLeft w:val="0"/>
      <w:marRight w:val="0"/>
      <w:marTop w:val="0"/>
      <w:marBottom w:val="0"/>
      <w:divBdr>
        <w:top w:val="none" w:sz="0" w:space="0" w:color="auto"/>
        <w:left w:val="none" w:sz="0" w:space="0" w:color="auto"/>
        <w:bottom w:val="none" w:sz="0" w:space="0" w:color="auto"/>
        <w:right w:val="none" w:sz="0" w:space="0" w:color="auto"/>
      </w:divBdr>
    </w:div>
    <w:div w:id="955403872">
      <w:bodyDiv w:val="1"/>
      <w:marLeft w:val="0"/>
      <w:marRight w:val="0"/>
      <w:marTop w:val="0"/>
      <w:marBottom w:val="0"/>
      <w:divBdr>
        <w:top w:val="none" w:sz="0" w:space="0" w:color="auto"/>
        <w:left w:val="none" w:sz="0" w:space="0" w:color="auto"/>
        <w:bottom w:val="none" w:sz="0" w:space="0" w:color="auto"/>
        <w:right w:val="none" w:sz="0" w:space="0" w:color="auto"/>
      </w:divBdr>
    </w:div>
    <w:div w:id="998772986">
      <w:bodyDiv w:val="1"/>
      <w:marLeft w:val="0"/>
      <w:marRight w:val="0"/>
      <w:marTop w:val="0"/>
      <w:marBottom w:val="0"/>
      <w:divBdr>
        <w:top w:val="none" w:sz="0" w:space="0" w:color="auto"/>
        <w:left w:val="none" w:sz="0" w:space="0" w:color="auto"/>
        <w:bottom w:val="none" w:sz="0" w:space="0" w:color="auto"/>
        <w:right w:val="none" w:sz="0" w:space="0" w:color="auto"/>
      </w:divBdr>
    </w:div>
    <w:div w:id="1007050807">
      <w:bodyDiv w:val="1"/>
      <w:marLeft w:val="0"/>
      <w:marRight w:val="0"/>
      <w:marTop w:val="0"/>
      <w:marBottom w:val="0"/>
      <w:divBdr>
        <w:top w:val="none" w:sz="0" w:space="0" w:color="auto"/>
        <w:left w:val="none" w:sz="0" w:space="0" w:color="auto"/>
        <w:bottom w:val="none" w:sz="0" w:space="0" w:color="auto"/>
        <w:right w:val="none" w:sz="0" w:space="0" w:color="auto"/>
      </w:divBdr>
    </w:div>
    <w:div w:id="1088186437">
      <w:bodyDiv w:val="1"/>
      <w:marLeft w:val="0"/>
      <w:marRight w:val="0"/>
      <w:marTop w:val="0"/>
      <w:marBottom w:val="0"/>
      <w:divBdr>
        <w:top w:val="none" w:sz="0" w:space="0" w:color="auto"/>
        <w:left w:val="none" w:sz="0" w:space="0" w:color="auto"/>
        <w:bottom w:val="none" w:sz="0" w:space="0" w:color="auto"/>
        <w:right w:val="none" w:sz="0" w:space="0" w:color="auto"/>
      </w:divBdr>
    </w:div>
    <w:div w:id="1189445112">
      <w:bodyDiv w:val="1"/>
      <w:marLeft w:val="0"/>
      <w:marRight w:val="0"/>
      <w:marTop w:val="0"/>
      <w:marBottom w:val="0"/>
      <w:divBdr>
        <w:top w:val="none" w:sz="0" w:space="0" w:color="auto"/>
        <w:left w:val="none" w:sz="0" w:space="0" w:color="auto"/>
        <w:bottom w:val="none" w:sz="0" w:space="0" w:color="auto"/>
        <w:right w:val="none" w:sz="0" w:space="0" w:color="auto"/>
      </w:divBdr>
    </w:div>
    <w:div w:id="1239973135">
      <w:bodyDiv w:val="1"/>
      <w:marLeft w:val="0"/>
      <w:marRight w:val="0"/>
      <w:marTop w:val="0"/>
      <w:marBottom w:val="0"/>
      <w:divBdr>
        <w:top w:val="none" w:sz="0" w:space="0" w:color="auto"/>
        <w:left w:val="none" w:sz="0" w:space="0" w:color="auto"/>
        <w:bottom w:val="none" w:sz="0" w:space="0" w:color="auto"/>
        <w:right w:val="none" w:sz="0" w:space="0" w:color="auto"/>
      </w:divBdr>
    </w:div>
    <w:div w:id="1306737131">
      <w:bodyDiv w:val="1"/>
      <w:marLeft w:val="0"/>
      <w:marRight w:val="0"/>
      <w:marTop w:val="0"/>
      <w:marBottom w:val="0"/>
      <w:divBdr>
        <w:top w:val="none" w:sz="0" w:space="0" w:color="auto"/>
        <w:left w:val="none" w:sz="0" w:space="0" w:color="auto"/>
        <w:bottom w:val="none" w:sz="0" w:space="0" w:color="auto"/>
        <w:right w:val="none" w:sz="0" w:space="0" w:color="auto"/>
      </w:divBdr>
    </w:div>
    <w:div w:id="1371340814">
      <w:bodyDiv w:val="1"/>
      <w:marLeft w:val="0"/>
      <w:marRight w:val="0"/>
      <w:marTop w:val="0"/>
      <w:marBottom w:val="0"/>
      <w:divBdr>
        <w:top w:val="none" w:sz="0" w:space="0" w:color="auto"/>
        <w:left w:val="none" w:sz="0" w:space="0" w:color="auto"/>
        <w:bottom w:val="none" w:sz="0" w:space="0" w:color="auto"/>
        <w:right w:val="none" w:sz="0" w:space="0" w:color="auto"/>
      </w:divBdr>
    </w:div>
    <w:div w:id="1526283661">
      <w:bodyDiv w:val="1"/>
      <w:marLeft w:val="0"/>
      <w:marRight w:val="0"/>
      <w:marTop w:val="0"/>
      <w:marBottom w:val="0"/>
      <w:divBdr>
        <w:top w:val="none" w:sz="0" w:space="0" w:color="auto"/>
        <w:left w:val="none" w:sz="0" w:space="0" w:color="auto"/>
        <w:bottom w:val="none" w:sz="0" w:space="0" w:color="auto"/>
        <w:right w:val="none" w:sz="0" w:space="0" w:color="auto"/>
      </w:divBdr>
    </w:div>
    <w:div w:id="1588802563">
      <w:bodyDiv w:val="1"/>
      <w:marLeft w:val="0"/>
      <w:marRight w:val="0"/>
      <w:marTop w:val="0"/>
      <w:marBottom w:val="0"/>
      <w:divBdr>
        <w:top w:val="none" w:sz="0" w:space="0" w:color="auto"/>
        <w:left w:val="none" w:sz="0" w:space="0" w:color="auto"/>
        <w:bottom w:val="none" w:sz="0" w:space="0" w:color="auto"/>
        <w:right w:val="none" w:sz="0" w:space="0" w:color="auto"/>
      </w:divBdr>
    </w:div>
    <w:div w:id="1738555965">
      <w:bodyDiv w:val="1"/>
      <w:marLeft w:val="0"/>
      <w:marRight w:val="0"/>
      <w:marTop w:val="0"/>
      <w:marBottom w:val="0"/>
      <w:divBdr>
        <w:top w:val="none" w:sz="0" w:space="0" w:color="auto"/>
        <w:left w:val="none" w:sz="0" w:space="0" w:color="auto"/>
        <w:bottom w:val="none" w:sz="0" w:space="0" w:color="auto"/>
        <w:right w:val="none" w:sz="0" w:space="0" w:color="auto"/>
      </w:divBdr>
    </w:div>
    <w:div w:id="1945260013">
      <w:bodyDiv w:val="1"/>
      <w:marLeft w:val="0"/>
      <w:marRight w:val="0"/>
      <w:marTop w:val="0"/>
      <w:marBottom w:val="0"/>
      <w:divBdr>
        <w:top w:val="none" w:sz="0" w:space="0" w:color="auto"/>
        <w:left w:val="none" w:sz="0" w:space="0" w:color="auto"/>
        <w:bottom w:val="none" w:sz="0" w:space="0" w:color="auto"/>
        <w:right w:val="none" w:sz="0" w:space="0" w:color="auto"/>
      </w:divBdr>
    </w:div>
    <w:div w:id="2017073460">
      <w:bodyDiv w:val="1"/>
      <w:marLeft w:val="0"/>
      <w:marRight w:val="0"/>
      <w:marTop w:val="0"/>
      <w:marBottom w:val="0"/>
      <w:divBdr>
        <w:top w:val="none" w:sz="0" w:space="0" w:color="auto"/>
        <w:left w:val="none" w:sz="0" w:space="0" w:color="auto"/>
        <w:bottom w:val="none" w:sz="0" w:space="0" w:color="auto"/>
        <w:right w:val="none" w:sz="0" w:space="0" w:color="auto"/>
      </w:divBdr>
    </w:div>
    <w:div w:id="2021930354">
      <w:bodyDiv w:val="1"/>
      <w:marLeft w:val="0"/>
      <w:marRight w:val="0"/>
      <w:marTop w:val="0"/>
      <w:marBottom w:val="0"/>
      <w:divBdr>
        <w:top w:val="none" w:sz="0" w:space="0" w:color="auto"/>
        <w:left w:val="none" w:sz="0" w:space="0" w:color="auto"/>
        <w:bottom w:val="none" w:sz="0" w:space="0" w:color="auto"/>
        <w:right w:val="none" w:sz="0" w:space="0" w:color="auto"/>
      </w:divBdr>
    </w:div>
    <w:div w:id="2053531031">
      <w:bodyDiv w:val="1"/>
      <w:marLeft w:val="0"/>
      <w:marRight w:val="0"/>
      <w:marTop w:val="0"/>
      <w:marBottom w:val="0"/>
      <w:divBdr>
        <w:top w:val="none" w:sz="0" w:space="0" w:color="auto"/>
        <w:left w:val="none" w:sz="0" w:space="0" w:color="auto"/>
        <w:bottom w:val="none" w:sz="0" w:space="0" w:color="auto"/>
        <w:right w:val="none" w:sz="0" w:space="0" w:color="auto"/>
      </w:divBdr>
    </w:div>
    <w:div w:id="20950072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698MuaW69+5t+GE/uQvMdWXrvrQ==">AMUW2mWVpdUlnpefYiUXglHIRzBxY0/XRWUI3VfthQ56O6OHv31YD+bXtmtaLxsxfYb5YIlR9usC/kH5BitPejFwBXOoM1ClZVBNckqihxag1O7rV5XIaBH4H0amAmfBnlUUU82KwIsM</go:docsCustomData>
</go:gDocsCustomXmlDataStorage>
</file>

<file path=customXml/itemProps1.xml><?xml version="1.0" encoding="utf-8"?>
<ds:datastoreItem xmlns:ds="http://schemas.openxmlformats.org/officeDocument/2006/customXml" ds:itemID="{9CC38030-7C5F-4267-88FC-0306B4CD2890}">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19</Pages>
  <Words>16702</Words>
  <Characters>95202</Characters>
  <Application>Microsoft Office Word</Application>
  <DocSecurity>0</DocSecurity>
  <Lines>793</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Shruti Tripathi</dc:creator>
  <cp:lastModifiedBy>Shruti Tripathi</cp:lastModifiedBy>
  <cp:revision>5</cp:revision>
  <dcterms:created xsi:type="dcterms:W3CDTF">2023-01-29T13:57:00Z</dcterms:created>
  <dcterms:modified xsi:type="dcterms:W3CDTF">2023-02-02T07:19:00Z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0x01010013860157AB831843B9AE61594DA0A4C3</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7th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 6th edition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y fmtid="{D5CDD505-2E9C-101B-9397-08002B2CF9AE}" pid="23" name="Mendeley Document_1">
    <vt:lpwstr>True</vt:lpwstr>
  </property>
  <property fmtid="{D5CDD505-2E9C-101B-9397-08002B2CF9AE}" pid="24" name="Mendeley Unique User Id_1">
    <vt:lpwstr>eb8c0237-aae2-31de-b202-bca2c62f79cd</vt:lpwstr>
  </property>
  <property fmtid="{D5CDD505-2E9C-101B-9397-08002B2CF9AE}" pid="25" name="Mendeley Citation Style_1">
    <vt:lpwstr>http://www.zotero.org/styles/apa</vt:lpwstr>
  </property>
</Properties>
</file>