
<file path=[Content_Types].xml><?xml version="1.0" encoding="utf-8"?>
<Types xmlns="http://schemas.openxmlformats.org/package/2006/content-types">
  <Default Extension="tiff" ContentType="image/tif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/>
          <w:kern w:val="0"/>
          <w:sz w:val="40"/>
          <w:szCs w:val="24"/>
        </w:rPr>
      </w:pPr>
      <w:r>
        <w:rPr>
          <w:rFonts w:ascii="Times New Roman" w:hAnsi="Times New Roman"/>
          <w:kern w:val="0"/>
          <w:sz w:val="40"/>
          <w:szCs w:val="24"/>
        </w:rPr>
        <w:t>Supplemental Information</w:t>
      </w:r>
    </w:p>
    <w:p>
      <w:pPr>
        <w:spacing w:line="480" w:lineRule="auto"/>
        <w:rPr>
          <w:rFonts w:hint="eastAsia" w:ascii="Times New Roman" w:hAnsi="Times New Roman" w:eastAsia="宋体"/>
          <w:kern w:val="0"/>
          <w:sz w:val="32"/>
          <w:szCs w:val="24"/>
          <w:lang w:eastAsia="zh-CN"/>
        </w:rPr>
      </w:pPr>
      <w:r>
        <w:rPr>
          <w:rFonts w:hint="eastAsia" w:ascii="Times New Roman" w:hAnsi="Times New Roman" w:eastAsia="宋体"/>
          <w:kern w:val="0"/>
          <w:sz w:val="32"/>
          <w:szCs w:val="24"/>
          <w:lang w:eastAsia="zh-CN"/>
        </w:rPr>
        <w:drawing>
          <wp:inline distT="0" distB="0" distL="114300" distR="114300">
            <wp:extent cx="5408930" cy="2596515"/>
            <wp:effectExtent l="0" t="0" r="1270" b="13335"/>
            <wp:docPr id="3" name="图片 3" descr="SF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F1-2"/>
                    <pic:cNvPicPr>
                      <a:picLocks noChangeAspect="1"/>
                    </pic:cNvPicPr>
                  </pic:nvPicPr>
                  <pic:blipFill>
                    <a:blip r:embed="rId6"/>
                    <a:srcRect r="8311" b="24722"/>
                    <a:stretch>
                      <a:fillRect/>
                    </a:stretch>
                  </pic:blipFill>
                  <pic:spPr>
                    <a:xfrm>
                      <a:off x="0" y="0"/>
                      <a:ext cx="5408930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/>
          <w:kern w:val="0"/>
          <w:sz w:val="32"/>
          <w:szCs w:val="24"/>
          <w:highlight w:val="yellow"/>
        </w:rPr>
      </w:pPr>
      <w:bookmarkStart w:id="1" w:name="_GoBack"/>
      <w:bookmarkEnd w:id="1"/>
      <w:r>
        <w:rPr>
          <w:rFonts w:hint="eastAsia" w:ascii="Times New Roman" w:hAnsi="Times New Roman"/>
          <w:b/>
          <w:bCs/>
          <w:kern w:val="0"/>
          <w:sz w:val="28"/>
          <w:szCs w:val="28"/>
        </w:rPr>
        <w:t xml:space="preserve">Figure </w:t>
      </w:r>
      <w:r>
        <w:rPr>
          <w:rFonts w:hint="eastAsia" w:ascii="Times New Roman" w:hAnsi="Times New Roman"/>
          <w:b/>
          <w:bCs/>
          <w:kern w:val="0"/>
          <w:sz w:val="28"/>
          <w:szCs w:val="28"/>
          <w:lang w:val="en-US" w:eastAsia="zh-CN"/>
        </w:rPr>
        <w:t>S1</w:t>
      </w:r>
      <w:r>
        <w:rPr>
          <w:rFonts w:hint="eastAsia" w:ascii="Times New Roman" w:hAnsi="Times New Roman"/>
          <w:kern w:val="0"/>
          <w:sz w:val="28"/>
          <w:szCs w:val="28"/>
        </w:rPr>
        <w:t>. Effects of different doses of SAL</w:t>
      </w:r>
      <w:r>
        <w:rPr>
          <w:rFonts w:hint="eastAsia" w:ascii="Times New Roman" w:hAnsi="Times New Roman"/>
          <w:kern w:val="0"/>
          <w:sz w:val="28"/>
          <w:szCs w:val="28"/>
          <w:lang w:val="en-US" w:eastAsia="zh-CN"/>
        </w:rPr>
        <w:t xml:space="preserve"> on non-small cell lung cancer. </w:t>
      </w:r>
      <w:bookmarkStart w:id="0" w:name="OLE_LINK1"/>
      <w:r>
        <w:rPr>
          <w:rFonts w:hint="eastAsia" w:ascii="Times New Roman" w:hAnsi="Times New Roman"/>
          <w:kern w:val="0"/>
          <w:sz w:val="28"/>
          <w:szCs w:val="28"/>
          <w:lang w:val="en-US" w:eastAsia="zh-CN"/>
        </w:rPr>
        <w:t>D</w:t>
      </w:r>
      <w:r>
        <w:rPr>
          <w:rFonts w:hint="eastAsia" w:ascii="Times New Roman" w:hAnsi="Times New Roman"/>
          <w:kern w:val="0"/>
          <w:sz w:val="28"/>
          <w:szCs w:val="28"/>
        </w:rPr>
        <w:t>ifferent doses of SAL</w:t>
      </w:r>
      <w:bookmarkEnd w:id="0"/>
      <w:r>
        <w:rPr>
          <w:rFonts w:hint="eastAsia" w:ascii="Times New Roman" w:hAnsi="Times New Roman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/>
          <w:kern w:val="0"/>
          <w:sz w:val="28"/>
          <w:szCs w:val="28"/>
        </w:rPr>
        <w:t>(1.0 mg/kg·d、3.0 mg/kg·d、6.0 mg/kg·d) on the tumor size of non-small cell lung cancer (</w:t>
      </w:r>
      <w:r>
        <w:rPr>
          <w:rFonts w:hint="eastAsia" w:ascii="Times New Roman" w:hAnsi="Times New Roman"/>
          <w:b/>
          <w:bCs/>
          <w:kern w:val="0"/>
          <w:sz w:val="28"/>
          <w:szCs w:val="28"/>
        </w:rPr>
        <w:t>A</w:t>
      </w:r>
      <w:r>
        <w:rPr>
          <w:rFonts w:hint="eastAsia" w:ascii="Times New Roman" w:hAnsi="Times New Roman"/>
          <w:kern w:val="0"/>
          <w:sz w:val="28"/>
          <w:szCs w:val="28"/>
        </w:rPr>
        <w:t>) and the survival rate of tumor-bearing mice (</w:t>
      </w:r>
      <w:r>
        <w:rPr>
          <w:rFonts w:hint="eastAsia" w:ascii="Times New Roman" w:hAnsi="Times New Roman"/>
          <w:b/>
          <w:bCs/>
          <w:kern w:val="0"/>
          <w:sz w:val="28"/>
          <w:szCs w:val="28"/>
        </w:rPr>
        <w:t>B</w:t>
      </w:r>
      <w:r>
        <w:rPr>
          <w:rFonts w:hint="eastAsia" w:ascii="Times New Roman" w:hAnsi="Times New Roman"/>
          <w:kern w:val="0"/>
          <w:sz w:val="28"/>
          <w:szCs w:val="28"/>
        </w:rPr>
        <w:t xml:space="preserve">). PTX (2.0 mg/kg·d) treatment as positive control, PBS as negative control. </w:t>
      </w:r>
    </w:p>
    <w:p>
      <w:pPr>
        <w:spacing w:line="480" w:lineRule="auto"/>
        <w:jc w:val="center"/>
        <w:rPr>
          <w:rFonts w:ascii="Times New Roman" w:hAnsi="Times New Roman"/>
          <w:kern w:val="0"/>
          <w:sz w:val="32"/>
          <w:szCs w:val="24"/>
        </w:rPr>
      </w:pPr>
      <w:r>
        <w:rPr>
          <w:rFonts w:hint="eastAsia" w:ascii="Times New Roman" w:hAnsi="Times New Roman"/>
          <w:kern w:val="0"/>
          <w:sz w:val="32"/>
          <w:szCs w:val="24"/>
        </w:rPr>
        <w:drawing>
          <wp:inline distT="0" distB="0" distL="114300" distR="114300">
            <wp:extent cx="4730115" cy="5727065"/>
            <wp:effectExtent l="0" t="0" r="13335" b="6985"/>
            <wp:docPr id="2" name="图片 2" descr="Figure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S1"/>
                    <pic:cNvPicPr>
                      <a:picLocks noChangeAspect="1"/>
                    </pic:cNvPicPr>
                  </pic:nvPicPr>
                  <pic:blipFill>
                    <a:blip r:embed="rId7"/>
                    <a:srcRect t="11864" r="895"/>
                    <a:stretch>
                      <a:fillRect/>
                    </a:stretch>
                  </pic:blipFill>
                  <pic:spPr>
                    <a:xfrm>
                      <a:off x="0" y="0"/>
                      <a:ext cx="4730115" cy="572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highlight w:val="yellow"/>
        </w:rPr>
      </w:pPr>
      <w:r>
        <w:rPr>
          <w:rFonts w:hint="eastAsia" w:ascii="Times New Roman" w:hAnsi="Times New Roman"/>
          <w:b/>
          <w:bCs/>
          <w:kern w:val="0"/>
          <w:sz w:val="28"/>
          <w:szCs w:val="28"/>
        </w:rPr>
        <w:t xml:space="preserve">Figure </w:t>
      </w:r>
      <w:r>
        <w:rPr>
          <w:rFonts w:hint="eastAsia" w:ascii="Times New Roman" w:hAnsi="Times New Roman"/>
          <w:b/>
          <w:bCs/>
          <w:kern w:val="0"/>
          <w:sz w:val="28"/>
          <w:szCs w:val="28"/>
          <w:lang w:val="en-US" w:eastAsia="zh-CN"/>
        </w:rPr>
        <w:t>S2</w:t>
      </w:r>
      <w:r>
        <w:rPr>
          <w:rFonts w:hint="eastAsia" w:ascii="Times New Roman" w:hAnsi="Times New Roman"/>
          <w:kern w:val="0"/>
          <w:sz w:val="28"/>
          <w:szCs w:val="28"/>
        </w:rPr>
        <w:t xml:space="preserve">. </w:t>
      </w:r>
      <w:r>
        <w:rPr>
          <w:rFonts w:hint="eastAsia" w:ascii="Times New Roman" w:hAnsi="Times New Roman"/>
          <w:kern w:val="0"/>
          <w:sz w:val="28"/>
          <w:szCs w:val="28"/>
          <w:lang w:val="en-US" w:eastAsia="zh-CN"/>
        </w:rPr>
        <w:t>I</w:t>
      </w:r>
      <w:r>
        <w:rPr>
          <w:rFonts w:hint="eastAsia" w:ascii="Times New Roman" w:hAnsi="Times New Roman"/>
          <w:kern w:val="0"/>
          <w:sz w:val="28"/>
          <w:szCs w:val="28"/>
        </w:rPr>
        <w:t>solat</w:t>
      </w:r>
      <w:r>
        <w:rPr>
          <w:rFonts w:hint="eastAsia" w:ascii="Times New Roman" w:hAnsi="Times New Roman"/>
          <w:kern w:val="0"/>
          <w:sz w:val="28"/>
          <w:szCs w:val="28"/>
          <w:lang w:val="en-US" w:eastAsia="zh-CN"/>
        </w:rPr>
        <w:t xml:space="preserve">ed </w:t>
      </w:r>
      <w:r>
        <w:rPr>
          <w:rFonts w:hint="eastAsia" w:ascii="Times New Roman" w:hAnsi="Times New Roman"/>
          <w:kern w:val="0"/>
          <w:sz w:val="28"/>
          <w:szCs w:val="28"/>
        </w:rPr>
        <w:t>Treg and the effect of SAL</w:t>
      </w:r>
      <w:r>
        <w:rPr>
          <w:rFonts w:ascii="Times New Roman" w:hAnsi="Times New Roman"/>
          <w:kern w:val="0"/>
          <w:sz w:val="28"/>
          <w:szCs w:val="28"/>
        </w:rPr>
        <w:t xml:space="preserve"> </w:t>
      </w:r>
      <w:r>
        <w:rPr>
          <w:rFonts w:hint="eastAsia" w:ascii="Times New Roman" w:hAnsi="Times New Roman"/>
          <w:kern w:val="0"/>
          <w:sz w:val="28"/>
          <w:szCs w:val="28"/>
        </w:rPr>
        <w:t xml:space="preserve">on Treg. </w:t>
      </w:r>
      <w:r>
        <w:rPr>
          <w:rFonts w:ascii="Times New Roman" w:hAnsi="Times New Roman"/>
          <w:kern w:val="0"/>
          <w:sz w:val="28"/>
          <w:szCs w:val="28"/>
        </w:rPr>
        <w:t>(</w:t>
      </w:r>
      <w:r>
        <w:rPr>
          <w:rFonts w:ascii="Times New Roman" w:hAnsi="Times New Roman"/>
          <w:b/>
          <w:bCs/>
          <w:kern w:val="0"/>
          <w:sz w:val="28"/>
          <w:szCs w:val="28"/>
        </w:rPr>
        <w:t>A</w:t>
      </w:r>
      <w:r>
        <w:rPr>
          <w:rFonts w:ascii="Times New Roman" w:hAnsi="Times New Roman"/>
          <w:kern w:val="0"/>
          <w:sz w:val="28"/>
          <w:szCs w:val="28"/>
        </w:rPr>
        <w:t>)</w:t>
      </w:r>
      <w:r>
        <w:rPr>
          <w:rFonts w:hint="eastAsia" w:ascii="Times New Roman" w:hAnsi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/>
          <w:kern w:val="0"/>
          <w:sz w:val="28"/>
          <w:szCs w:val="28"/>
        </w:rPr>
        <w:t>Purity of mouse spleen CD4</w:t>
      </w:r>
      <w:r>
        <w:rPr>
          <w:rFonts w:ascii="Times New Roman" w:hAnsi="Times New Roman"/>
          <w:kern w:val="0"/>
          <w:sz w:val="28"/>
          <w:szCs w:val="28"/>
          <w:vertAlign w:val="superscript"/>
        </w:rPr>
        <w:t>+</w:t>
      </w:r>
      <w:r>
        <w:rPr>
          <w:rFonts w:ascii="Times New Roman" w:hAnsi="Times New Roman"/>
          <w:kern w:val="0"/>
          <w:sz w:val="28"/>
          <w:szCs w:val="28"/>
        </w:rPr>
        <w:t>CD25</w:t>
      </w:r>
      <w:r>
        <w:rPr>
          <w:rFonts w:ascii="Times New Roman" w:hAnsi="Times New Roman"/>
          <w:kern w:val="0"/>
          <w:sz w:val="28"/>
          <w:szCs w:val="28"/>
          <w:vertAlign w:val="superscript"/>
        </w:rPr>
        <w:t>+</w:t>
      </w:r>
      <w:r>
        <w:rPr>
          <w:rFonts w:ascii="Times New Roman" w:hAnsi="Times New Roman"/>
          <w:kern w:val="0"/>
          <w:sz w:val="28"/>
          <w:szCs w:val="28"/>
        </w:rPr>
        <w:t xml:space="preserve">T cells sorted by magnetic beads. </w:t>
      </w:r>
      <w:r>
        <w:rPr>
          <w:rFonts w:hint="eastAsia" w:ascii="Times New Roman" w:hAnsi="Times New Roman"/>
          <w:kern w:val="0"/>
          <w:sz w:val="28"/>
          <w:szCs w:val="28"/>
        </w:rPr>
        <w:t>(</w:t>
      </w:r>
      <w:r>
        <w:rPr>
          <w:rFonts w:hint="eastAsia" w:ascii="Times New Roman" w:hAnsi="Times New Roman"/>
          <w:b/>
          <w:bCs/>
          <w:kern w:val="0"/>
          <w:sz w:val="28"/>
          <w:szCs w:val="28"/>
        </w:rPr>
        <w:t>B</w:t>
      </w:r>
      <w:r>
        <w:rPr>
          <w:rFonts w:hint="eastAsia" w:ascii="Times New Roman" w:hAnsi="Times New Roman"/>
          <w:kern w:val="0"/>
          <w:sz w:val="28"/>
          <w:szCs w:val="28"/>
        </w:rPr>
        <w:t xml:space="preserve">) </w:t>
      </w:r>
      <w:r>
        <w:rPr>
          <w:rFonts w:ascii="Times New Roman" w:hAnsi="Times New Roman"/>
          <w:kern w:val="0"/>
          <w:sz w:val="28"/>
          <w:szCs w:val="28"/>
        </w:rPr>
        <w:t>The apoptosis rate of Treg stimulated by different concentrations of SAL was detected by flow cytometry</w:t>
      </w:r>
      <w:r>
        <w:rPr>
          <w:rFonts w:hint="eastAsia" w:ascii="Times New Roman" w:hAnsi="Times New Roman"/>
          <w:kern w:val="0"/>
          <w:sz w:val="28"/>
          <w:szCs w:val="28"/>
        </w:rPr>
        <w:t xml:space="preserve">. </w:t>
      </w:r>
    </w:p>
    <w:sectPr>
      <w:headerReference r:id="rId3" w:type="first"/>
      <w:footerReference r:id="rId4" w:type="default"/>
      <w:pgSz w:w="11906" w:h="16838"/>
      <w:pgMar w:top="1440" w:right="1800" w:bottom="1440" w:left="1800" w:header="851" w:footer="992" w:gutter="0"/>
      <w:lnNumType w:countBy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苏新诗柳楷_GBK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59212220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U0OWI0NGFmN2RlMDc4YzUwMzI5NTk5YjRhYjdkMmEifQ=="/>
  </w:docVars>
  <w:rsids>
    <w:rsidRoot w:val="0003438E"/>
    <w:rsid w:val="0003438E"/>
    <w:rsid w:val="00173BFE"/>
    <w:rsid w:val="002163BC"/>
    <w:rsid w:val="003147CC"/>
    <w:rsid w:val="00713FA1"/>
    <w:rsid w:val="0079623F"/>
    <w:rsid w:val="007E1058"/>
    <w:rsid w:val="007F4EC9"/>
    <w:rsid w:val="00887C18"/>
    <w:rsid w:val="009C4BD5"/>
    <w:rsid w:val="00A85AEF"/>
    <w:rsid w:val="00A87E9A"/>
    <w:rsid w:val="00BF7B4C"/>
    <w:rsid w:val="00C9114C"/>
    <w:rsid w:val="00CA63C2"/>
    <w:rsid w:val="00D84B1A"/>
    <w:rsid w:val="00FB22C9"/>
    <w:rsid w:val="177971DF"/>
    <w:rsid w:val="2CCD616B"/>
    <w:rsid w:val="3C4C2CAC"/>
    <w:rsid w:val="42883E15"/>
    <w:rsid w:val="491F505F"/>
    <w:rsid w:val="50955AEE"/>
    <w:rsid w:val="5C987B1B"/>
    <w:rsid w:val="665D64E6"/>
    <w:rsid w:val="6ED748E2"/>
    <w:rsid w:val="722B2E1E"/>
    <w:rsid w:val="7B4A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character" w:styleId="6">
    <w:name w:val="line number"/>
    <w:basedOn w:val="5"/>
    <w:semiHidden/>
    <w:unhideWhenUsed/>
    <w:qFormat/>
    <w:uiPriority w:val="99"/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8">
    <w:name w:val="页眉 字符"/>
    <w:basedOn w:val="5"/>
    <w:link w:val="3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</Words>
  <Characters>496</Characters>
  <Lines>4</Lines>
  <Paragraphs>1</Paragraphs>
  <TotalTime>0</TotalTime>
  <ScaleCrop>false</ScaleCrop>
  <LinksUpToDate>false</LinksUpToDate>
  <CharactersWithSpaces>589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2022-08-27T15:41:00Z</dcterms:created>
  <dc:creator>张燕丽</dc:creator>
  <cp:lastModifiedBy>林玮</cp:lastModifiedBy>
  <dcterms:modified xsi:type="dcterms:W3CDTF">2023-02-25T13:45:19Z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97DEE6CAABCA4B2D9DAB7C0B66F19A98</vt:lpwstr>
  </property>
</Properties>
</file>