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734A87" w14:textId="77777777" w:rsidR="00AC7AC2" w:rsidRDefault="00AC7AC2" w:rsidP="00AC7AC2">
      <w:pPr>
        <w:rPr>
          <w:b/>
          <w:u w:val="single"/>
        </w:rPr>
      </w:pPr>
      <w:r w:rsidRPr="00BC2608">
        <w:rPr>
          <w:b/>
          <w:u w:val="single"/>
        </w:rPr>
        <w:t>Supplementary Materials</w:t>
      </w:r>
    </w:p>
    <w:p w14:paraId="38FF044B" w14:textId="77777777" w:rsidR="00AC7AC2" w:rsidRPr="00AC7AC2" w:rsidRDefault="00AC7AC2" w:rsidP="00AC7AC2">
      <w:pPr>
        <w:pStyle w:val="ListParagraph"/>
        <w:numPr>
          <w:ilvl w:val="0"/>
          <w:numId w:val="1"/>
        </w:numPr>
        <w:rPr>
          <w:b/>
          <w:u w:val="single"/>
        </w:rPr>
      </w:pPr>
      <w:r w:rsidRPr="00AC7AC2">
        <w:rPr>
          <w:b/>
          <w:u w:val="single"/>
        </w:rPr>
        <w:t>GAM Methodology</w:t>
      </w:r>
    </w:p>
    <w:p w14:paraId="2A5496A0" w14:textId="77777777" w:rsidR="00AC7AC2" w:rsidRDefault="00AC7AC2" w:rsidP="00AC7AC2">
      <w:pPr>
        <w:rPr>
          <w:b/>
          <w:bCs/>
        </w:rPr>
      </w:pPr>
      <w:r>
        <w:rPr>
          <w:b/>
          <w:bCs/>
        </w:rPr>
        <w:t>GAMs</w:t>
      </w:r>
    </w:p>
    <w:p w14:paraId="0A2348C0" w14:textId="57BA9792" w:rsidR="00AC7AC2" w:rsidRDefault="00AC7AC2" w:rsidP="00AC7AC2">
      <w:pPr>
        <w:rPr>
          <w:rFonts w:eastAsiaTheme="minorEastAsia"/>
          <w:bCs/>
        </w:rPr>
      </w:pPr>
      <w:r>
        <w:rPr>
          <w:bCs/>
        </w:rPr>
        <w:t xml:space="preserve">Generalized additive models (GAMs) were first developed by Hastie and Tibshirani 1986 as an effective way of modelling non-linear relationships </w:t>
      </w:r>
      <w:r>
        <w:rPr>
          <w:bCs/>
        </w:rPr>
        <w:fldChar w:fldCharType="begin" w:fldLock="1"/>
      </w:r>
      <w:r>
        <w:rPr>
          <w:bCs/>
        </w:rPr>
        <w:instrText>ADDIN CSL_CITATION {"citationItems":[{"id":"ITEM-1","itemData":{"DOI":"10.1214/ss/1177013604","ISSN":"08834237","abstract":"Likelihood-based regression models such as the normal linear regression model and the linear logistic model, assume a linear (or some other parametric) form for the covariates X1, X2,…, Xp. We introduce the class of generalized additive models which replaces the linear form Σ βjXj by a sum of smooth functions Σ sj(Xj). The sj(·)‘s are unspecified functions that are estimated using a scatterplot smoother, in an iterative procedure we call the local scoring algorithm. The technique is applicable to any likelihood-based regression model: the class of generalized linear models contains many of these. In this class the linear predictor η = Σ βjXj is replaced by the additive predictor Σ sj(Xj); hence, the name generalized additive models. We illustrate the technique with binary response and survival data. In both cases, the method proves to be useful in uncovering nonlinear covariate effects. It has the advantage of being completely automatic, i.e., no \"detective work\" is needed on the part of the statistician. As a theoretical underpinning, the technique is viewed as an empirical method of maximizing the expected log likelihood, or equivalently, of minimizing the Kullback-Leibler distance to the true model. © 1986, Institute of Mathematical Statistics. All Rights Reserved.","author":[{"dropping-particle":"","family":"Hastie","given":"Trevor","non-dropping-particle":"","parse-names":false,"suffix":""},{"dropping-particle":"","family":"Tibshirani","given":"Robert","non-dropping-particle":"","parse-names":false,"suffix":""}],"container-title":"Statistical Science","id":"ITEM-1","issue":"3","issued":{"date-parts":[["1986"]]},"page":"297-310","title":"Generalized additive models","type":"article-journal","volume":"1"},"uris":["http://www.mendeley.com/documents/?uuid=aee86b85-ca5c-4c6a-b82a-3d39e06b3637"]}],"mendeley":{"formattedCitation":"[24]","plainTextFormattedCitation":"[24]","previouslyFormattedCitation":"[24]"},"properties":{"noteIndex":0},"schema":"https://github.com/citation-style-language/schema/raw/master/csl-citation.json"}</w:instrText>
      </w:r>
      <w:r>
        <w:rPr>
          <w:bCs/>
        </w:rPr>
        <w:fldChar w:fldCharType="separate"/>
      </w:r>
      <w:r w:rsidRPr="00DC12F3">
        <w:rPr>
          <w:bCs/>
          <w:noProof/>
        </w:rPr>
        <w:t>[24]</w:t>
      </w:r>
      <w:r>
        <w:rPr>
          <w:bCs/>
        </w:rPr>
        <w:fldChar w:fldCharType="end"/>
      </w:r>
      <w:r>
        <w:rPr>
          <w:bCs/>
        </w:rPr>
        <w:t xml:space="preserve">.  They have the benefits of being much more flexible than a linear regression model, but retain much more interpretability than ‘black box’ learning algorithms. The general concept behind GAMs is that the dependant variable </w:t>
      </w:r>
      <m:oMath>
        <m:r>
          <w:rPr>
            <w:rFonts w:ascii="Cambria Math" w:hAnsi="Cambria Math"/>
          </w:rPr>
          <m:t>y</m:t>
        </m:r>
      </m:oMath>
      <w:r>
        <w:rPr>
          <w:rFonts w:eastAsiaTheme="minorEastAsia"/>
          <w:bCs/>
        </w:rPr>
        <w:t>, can be estimated by the sum of smooth patterns from individual predictor variables a</w:t>
      </w:r>
      <w:r w:rsidR="005A0184">
        <w:rPr>
          <w:rFonts w:eastAsiaTheme="minorEastAsia"/>
          <w:bCs/>
        </w:rPr>
        <w:t xml:space="preserve">nd take the general structure as in </w:t>
      </w:r>
      <w:r w:rsidR="005A0184">
        <w:rPr>
          <w:rFonts w:eastAsiaTheme="minorEastAsia"/>
          <w:bCs/>
        </w:rPr>
        <w:fldChar w:fldCharType="begin"/>
      </w:r>
      <w:r w:rsidR="005A0184">
        <w:rPr>
          <w:rFonts w:eastAsiaTheme="minorEastAsia"/>
          <w:bCs/>
        </w:rPr>
        <w:instrText xml:space="preserve"> REF _Ref126153810 \h </w:instrText>
      </w:r>
      <w:r w:rsidR="005A0184">
        <w:rPr>
          <w:rFonts w:eastAsiaTheme="minorEastAsia"/>
          <w:bCs/>
        </w:rPr>
      </w:r>
      <w:r w:rsidR="005A0184">
        <w:rPr>
          <w:rFonts w:eastAsiaTheme="minorEastAsia"/>
          <w:bCs/>
        </w:rPr>
        <w:fldChar w:fldCharType="separate"/>
      </w:r>
      <w:r w:rsidR="005A0184">
        <w:t>Equation S</w:t>
      </w:r>
      <w:r w:rsidR="005A0184">
        <w:rPr>
          <w:noProof/>
        </w:rPr>
        <w:t>1</w:t>
      </w:r>
      <w:r w:rsidR="005A0184">
        <w:rPr>
          <w:rFonts w:eastAsiaTheme="minorEastAsia"/>
          <w:bCs/>
        </w:rPr>
        <w:fldChar w:fldCharType="end"/>
      </w:r>
      <w:r>
        <w:rPr>
          <w:rFonts w:eastAsiaTheme="minorEastAsia"/>
          <w:bCs/>
        </w:rPr>
        <w:t>:</w:t>
      </w:r>
    </w:p>
    <w:p w14:paraId="5F73974B" w14:textId="7EFD2502" w:rsidR="005A0184" w:rsidRDefault="005A0184" w:rsidP="005A0184">
      <w:pPr>
        <w:pStyle w:val="Caption"/>
        <w:keepNext/>
      </w:pPr>
      <w:bookmarkStart w:id="0" w:name="_Ref126153810"/>
      <w:r>
        <w:t>Equation S</w:t>
      </w:r>
      <w:fldSimple w:instr=" SEQ Equation_S \* ARABIC ">
        <w:r>
          <w:rPr>
            <w:noProof/>
          </w:rPr>
          <w:t>1</w:t>
        </w:r>
      </w:fldSimple>
      <w:bookmarkEnd w:id="0"/>
    </w:p>
    <w:p w14:paraId="06AAB250" w14:textId="77777777" w:rsidR="00AC7AC2" w:rsidRPr="00026C8E" w:rsidRDefault="00AC7AC2" w:rsidP="00AC7AC2">
      <w:pPr>
        <w:rPr>
          <w:rFonts w:eastAsiaTheme="minorEastAsia"/>
          <w:bCs/>
        </w:rPr>
      </w:pPr>
      <m:oMathPara>
        <m:oMath>
          <m:r>
            <w:rPr>
              <w:rFonts w:ascii="Cambria Math" w:eastAsiaTheme="minorEastAsia" w:hAnsi="Cambria Math"/>
            </w:rPr>
            <m:t>g</m:t>
          </m:r>
          <m:d>
            <m:dPr>
              <m:ctrlPr>
                <w:rPr>
                  <w:rFonts w:ascii="Cambria Math" w:eastAsiaTheme="minorEastAsia" w:hAnsi="Cambria Math"/>
                  <w:bCs/>
                  <w:i/>
                </w:rPr>
              </m:ctrlPr>
            </m:dPr>
            <m:e>
              <m:r>
                <w:rPr>
                  <w:rFonts w:ascii="Cambria Math" w:eastAsiaTheme="minorEastAsia" w:hAnsi="Cambria Math"/>
                </w:rPr>
                <m:t>E</m:t>
              </m:r>
              <m:d>
                <m:dPr>
                  <m:ctrlPr>
                    <w:rPr>
                      <w:rFonts w:ascii="Cambria Math" w:eastAsiaTheme="minorEastAsia" w:hAnsi="Cambria Math"/>
                      <w:bCs/>
                      <w:i/>
                    </w:rPr>
                  </m:ctrlPr>
                </m:dPr>
                <m:e>
                  <m:r>
                    <w:rPr>
                      <w:rFonts w:ascii="Cambria Math" w:eastAsiaTheme="minorEastAsia" w:hAnsi="Cambria Math"/>
                    </w:rPr>
                    <m:t>Y</m:t>
                  </m:r>
                </m:e>
              </m:d>
            </m:e>
          </m:d>
          <m:r>
            <w:rPr>
              <w:rFonts w:ascii="Cambria Math" w:eastAsiaTheme="minorEastAsia" w:hAnsi="Cambria Math"/>
            </w:rPr>
            <m:t>=α+</m:t>
          </m:r>
          <m:sSub>
            <m:sSubPr>
              <m:ctrlPr>
                <w:rPr>
                  <w:rFonts w:ascii="Cambria Math" w:eastAsiaTheme="minorEastAsia" w:hAnsi="Cambria Math"/>
                  <w:bCs/>
                  <w:i/>
                </w:rPr>
              </m:ctrlPr>
            </m:sSubPr>
            <m:e>
              <m:r>
                <w:rPr>
                  <w:rFonts w:ascii="Cambria Math" w:eastAsiaTheme="minorEastAsia" w:hAnsi="Cambria Math"/>
                </w:rPr>
                <m:t>s</m:t>
              </m:r>
            </m:e>
            <m:sub>
              <m:r>
                <w:rPr>
                  <w:rFonts w:ascii="Cambria Math" w:eastAsiaTheme="minorEastAsia" w:hAnsi="Cambria Math"/>
                </w:rPr>
                <m:t>1</m:t>
              </m:r>
            </m:sub>
          </m:sSub>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1</m:t>
                  </m:r>
                </m:sub>
              </m:sSub>
            </m:e>
          </m:d>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s</m:t>
              </m:r>
            </m:e>
            <m:sub>
              <m:r>
                <w:rPr>
                  <w:rFonts w:ascii="Cambria Math" w:eastAsiaTheme="minorEastAsia" w:hAnsi="Cambria Math"/>
                </w:rPr>
                <m:t>2</m:t>
              </m:r>
            </m:sub>
          </m:sSub>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2</m:t>
                  </m:r>
                </m:sub>
              </m:sSub>
            </m:e>
          </m:d>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s</m:t>
              </m:r>
            </m:e>
            <m:sub>
              <m:r>
                <w:rPr>
                  <w:rFonts w:ascii="Cambria Math" w:eastAsiaTheme="minorEastAsia" w:hAnsi="Cambria Math"/>
                </w:rPr>
                <m:t>n</m:t>
              </m:r>
            </m:sub>
          </m:sSub>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n</m:t>
                  </m:r>
                </m:sub>
              </m:sSub>
            </m:e>
          </m:d>
        </m:oMath>
      </m:oMathPara>
    </w:p>
    <w:p w14:paraId="5D876241" w14:textId="77777777" w:rsidR="00AC7AC2" w:rsidRDefault="00AC7AC2" w:rsidP="00AC7AC2">
      <w:pPr>
        <w:rPr>
          <w:rFonts w:eastAsiaTheme="minorEastAsia"/>
          <w:bCs/>
        </w:rPr>
      </w:pPr>
      <w:r>
        <w:rPr>
          <w:rFonts w:eastAsiaTheme="minorEastAsia"/>
          <w:bCs/>
        </w:rPr>
        <w:t xml:space="preserve">Where </w:t>
      </w:r>
      <m:oMath>
        <m:r>
          <w:rPr>
            <w:rFonts w:ascii="Cambria Math" w:eastAsiaTheme="minorEastAsia" w:hAnsi="Cambria Math"/>
          </w:rPr>
          <m:t xml:space="preserve">g() </m:t>
        </m:r>
      </m:oMath>
      <w:r>
        <w:rPr>
          <w:rFonts w:eastAsiaTheme="minorEastAsia"/>
          <w:bCs/>
        </w:rPr>
        <w:t xml:space="preserve">is some function from the exponential family,  </w:t>
      </w:r>
      <m:oMath>
        <m:r>
          <w:rPr>
            <w:rFonts w:ascii="Cambria Math" w:eastAsiaTheme="minorEastAsia" w:hAnsi="Cambria Math"/>
          </w:rPr>
          <m:t>α</m:t>
        </m:r>
      </m:oMath>
      <w:r>
        <w:rPr>
          <w:rFonts w:eastAsiaTheme="minorEastAsia"/>
          <w:bCs/>
        </w:rPr>
        <w:t xml:space="preserve">  is the intercept, and </w:t>
      </w:r>
      <m:oMath>
        <m:sSub>
          <m:sSubPr>
            <m:ctrlPr>
              <w:rPr>
                <w:rFonts w:ascii="Cambria Math" w:eastAsiaTheme="minorEastAsia" w:hAnsi="Cambria Math"/>
                <w:bCs/>
                <w:i/>
              </w:rPr>
            </m:ctrlPr>
          </m:sSubPr>
          <m:e>
            <m:r>
              <w:rPr>
                <w:rFonts w:ascii="Cambria Math" w:eastAsiaTheme="minorEastAsia" w:hAnsi="Cambria Math"/>
              </w:rPr>
              <m:t>s</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s</m:t>
            </m:r>
          </m:e>
          <m:sub>
            <m:r>
              <w:rPr>
                <w:rFonts w:ascii="Cambria Math" w:eastAsiaTheme="minorEastAsia" w:hAnsi="Cambria Math"/>
              </w:rPr>
              <m:t>n</m:t>
            </m:r>
          </m:sub>
        </m:sSub>
        <m:r>
          <w:rPr>
            <w:rFonts w:ascii="Cambria Math" w:eastAsiaTheme="minorEastAsia" w:hAnsi="Cambria Math"/>
          </w:rPr>
          <m:t>()</m:t>
        </m:r>
      </m:oMath>
      <w:r>
        <w:rPr>
          <w:rFonts w:eastAsiaTheme="minorEastAsia"/>
          <w:bCs/>
        </w:rPr>
        <w:t xml:space="preserve"> are smooth nonparametric functions. A variety of smooth functions may be permitted in GAM modelling, however in our analysis we use penalized cubic regression splines due to their relative simplicity and versatility within unidimensional smooths. </w:t>
      </w:r>
    </w:p>
    <w:p w14:paraId="2DD1447C" w14:textId="77777777" w:rsidR="00AC7AC2" w:rsidRPr="00ED2128" w:rsidRDefault="00AC7AC2" w:rsidP="00AC7AC2">
      <w:pPr>
        <w:rPr>
          <w:rFonts w:eastAsiaTheme="minorEastAsia"/>
          <w:b/>
          <w:bCs/>
        </w:rPr>
      </w:pPr>
      <w:r w:rsidRPr="00ED2128">
        <w:rPr>
          <w:rFonts w:eastAsiaTheme="minorEastAsia"/>
          <w:b/>
          <w:bCs/>
        </w:rPr>
        <w:t>Penalized cubic regression splines</w:t>
      </w:r>
    </w:p>
    <w:p w14:paraId="503D1FF7" w14:textId="4EEE0EEB" w:rsidR="00AC7AC2" w:rsidRDefault="00AC7AC2" w:rsidP="00AC7AC2">
      <w:pPr>
        <w:rPr>
          <w:rFonts w:eastAsiaTheme="minorEastAsia"/>
          <w:bCs/>
        </w:rPr>
      </w:pPr>
      <w:r>
        <w:rPr>
          <w:rFonts w:eastAsiaTheme="minorEastAsia"/>
          <w:bCs/>
        </w:rPr>
        <w:t xml:space="preserve">To describe a penalized cubic regression spline we first begin with the concept of a cubic spline. These are a </w:t>
      </w:r>
      <w:r>
        <w:rPr>
          <w:rFonts w:ascii="Calibri" w:hAnsi="Calibri" w:cs="Calibri"/>
        </w:rPr>
        <w:t>construction of sections of cubic polynomials and are joined at specified locations known as ‘knots’ such that the curve is continuous up to the second derivative. It follows that the greater the number of knots, the greater the flexibility of the spline.</w:t>
      </w:r>
      <w:r>
        <w:rPr>
          <w:rFonts w:eastAsiaTheme="minorEastAsia"/>
          <w:bCs/>
        </w:rPr>
        <w:t xml:space="preserve"> In our analysis we also use a related spline called a cyclic penalized cubic regression spline which extends the concept of a penalized cubic regression spline such that two ends also are continuous up to the second derivative. Cubic spline regression attempts to fit the spline to data by minimizing the residual sum of squares. However, this approach can lead to overfitting and excessive ‘wiggliness’. The solution to this is to reward smoothness by adding a penalization term to the fitting function which calculates the integrated square of the second derivatives (i.e. the slope of the slopes).  </w:t>
      </w:r>
      <w:r w:rsidR="005A0184">
        <w:rPr>
          <w:rFonts w:eastAsiaTheme="minorEastAsia"/>
          <w:bCs/>
        </w:rPr>
        <w:t xml:space="preserve">The fitting function is given in </w:t>
      </w:r>
      <w:r w:rsidR="005A0184">
        <w:rPr>
          <w:rFonts w:eastAsiaTheme="minorEastAsia"/>
          <w:bCs/>
        </w:rPr>
        <w:fldChar w:fldCharType="begin"/>
      </w:r>
      <w:r w:rsidR="005A0184">
        <w:rPr>
          <w:rFonts w:eastAsiaTheme="minorEastAsia"/>
          <w:bCs/>
        </w:rPr>
        <w:instrText xml:space="preserve"> REF _Ref126153775 \h </w:instrText>
      </w:r>
      <w:r w:rsidR="005A0184">
        <w:rPr>
          <w:rFonts w:eastAsiaTheme="minorEastAsia"/>
          <w:bCs/>
        </w:rPr>
      </w:r>
      <w:r w:rsidR="005A0184">
        <w:rPr>
          <w:rFonts w:eastAsiaTheme="minorEastAsia"/>
          <w:bCs/>
        </w:rPr>
        <w:fldChar w:fldCharType="separate"/>
      </w:r>
      <w:r w:rsidR="005A0184">
        <w:t>Equation S</w:t>
      </w:r>
      <w:r w:rsidR="005A0184">
        <w:rPr>
          <w:noProof/>
        </w:rPr>
        <w:t>2</w:t>
      </w:r>
      <w:r w:rsidR="005A0184">
        <w:rPr>
          <w:rFonts w:eastAsiaTheme="minorEastAsia"/>
          <w:bCs/>
        </w:rPr>
        <w:fldChar w:fldCharType="end"/>
      </w:r>
    </w:p>
    <w:p w14:paraId="3591802D" w14:textId="272D4F5B" w:rsidR="005A0184" w:rsidRDefault="005A0184" w:rsidP="005A0184">
      <w:pPr>
        <w:pStyle w:val="Caption"/>
        <w:keepNext/>
      </w:pPr>
      <w:bookmarkStart w:id="1" w:name="_Ref126153775"/>
      <w:r>
        <w:t>Equation S</w:t>
      </w:r>
      <w:fldSimple w:instr=" SEQ Equation_S \* ARABIC ">
        <w:r>
          <w:rPr>
            <w:noProof/>
          </w:rPr>
          <w:t>2</w:t>
        </w:r>
      </w:fldSimple>
      <w:bookmarkEnd w:id="1"/>
    </w:p>
    <w:p w14:paraId="5400152E" w14:textId="77777777" w:rsidR="00AC7AC2" w:rsidRDefault="005A0184" w:rsidP="00AC7AC2">
      <w:pPr>
        <w:rPr>
          <w:rFonts w:eastAsiaTheme="minorEastAsia"/>
          <w:bCs/>
        </w:rPr>
      </w:pPr>
      <m:oMathPara>
        <m:oMath>
          <m:nary>
            <m:naryPr>
              <m:chr m:val="∑"/>
              <m:limLoc m:val="undOvr"/>
              <m:ctrlPr>
                <w:rPr>
                  <w:rFonts w:ascii="Cambria Math" w:eastAsiaTheme="minorEastAsia" w:hAnsi="Cambria Math"/>
                  <w:bCs/>
                  <w:i/>
                </w:rPr>
              </m:ctrlPr>
            </m:naryPr>
            <m:sub>
              <m:r>
                <w:rPr>
                  <w:rFonts w:ascii="Cambria Math" w:eastAsiaTheme="minorEastAsia" w:hAnsi="Cambria Math"/>
                </w:rPr>
                <m:t>i=1</m:t>
              </m:r>
            </m:sub>
            <m:sup>
              <m:r>
                <w:rPr>
                  <w:rFonts w:ascii="Cambria Math" w:eastAsiaTheme="minorEastAsia" w:hAnsi="Cambria Math"/>
                </w:rPr>
                <m:t>n</m:t>
              </m:r>
            </m:sup>
            <m:e>
              <m:sSup>
                <m:sSupPr>
                  <m:ctrlPr>
                    <w:rPr>
                      <w:rFonts w:ascii="Cambria Math" w:eastAsiaTheme="minorEastAsia" w:hAnsi="Cambria Math"/>
                      <w:bCs/>
                      <w:i/>
                    </w:rPr>
                  </m:ctrlPr>
                </m:sSupPr>
                <m:e>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-f</m:t>
                      </m:r>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i</m:t>
                              </m:r>
                            </m:sub>
                          </m:sSub>
                        </m:e>
                      </m:d>
                    </m:e>
                  </m:d>
                </m:e>
                <m:sup>
                  <m:r>
                    <w:rPr>
                      <w:rFonts w:ascii="Cambria Math" w:eastAsiaTheme="minorEastAsia" w:hAnsi="Cambria Math"/>
                    </w:rPr>
                    <m:t>2</m:t>
                  </m:r>
                </m:sup>
              </m:sSup>
              <m:r>
                <w:rPr>
                  <w:rFonts w:ascii="Cambria Math" w:eastAsiaTheme="minorEastAsia" w:hAnsi="Cambria Math"/>
                </w:rPr>
                <m:t>+λ</m:t>
              </m:r>
              <m:nary>
                <m:naryPr>
                  <m:limLoc m:val="undOvr"/>
                  <m:subHide m:val="1"/>
                  <m:supHide m:val="1"/>
                  <m:ctrlPr>
                    <w:rPr>
                      <w:rFonts w:ascii="Cambria Math" w:eastAsiaTheme="minorEastAsia" w:hAnsi="Cambria Math"/>
                      <w:bCs/>
                      <w:i/>
                    </w:rPr>
                  </m:ctrlPr>
                </m:naryPr>
                <m:sub/>
                <m:sup/>
                <m:e>
                  <m:sSup>
                    <m:sSupPr>
                      <m:ctrlPr>
                        <w:rPr>
                          <w:rFonts w:ascii="Cambria Math" w:eastAsiaTheme="minorEastAsia" w:hAnsi="Cambria Math"/>
                          <w:bCs/>
                          <w:i/>
                        </w:rPr>
                      </m:ctrlPr>
                    </m:sSupPr>
                    <m:e>
                      <m:d>
                        <m:dPr>
                          <m:ctrlPr>
                            <w:rPr>
                              <w:rFonts w:ascii="Cambria Math" w:eastAsiaTheme="minorEastAsia" w:hAnsi="Cambria Math"/>
                              <w:bCs/>
                              <w:i/>
                            </w:rPr>
                          </m:ctrlPr>
                        </m:dPr>
                        <m:e>
                          <m:r>
                            <w:rPr>
                              <w:rFonts w:ascii="Cambria Math" w:eastAsiaTheme="minorEastAsia" w:hAnsi="Cambria Math"/>
                            </w:rPr>
                            <m:t>f''</m:t>
                          </m:r>
                          <m:d>
                            <m:dPr>
                              <m:ctrlPr>
                                <w:rPr>
                                  <w:rFonts w:ascii="Cambria Math" w:eastAsiaTheme="minorEastAsia" w:hAnsi="Cambria Math"/>
                                  <w:bCs/>
                                  <w:i/>
                                </w:rPr>
                              </m:ctrlPr>
                            </m:dPr>
                            <m:e>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i</m:t>
                                  </m:r>
                                </m:sub>
                              </m:sSub>
                            </m:e>
                          </m:d>
                        </m:e>
                      </m:d>
                    </m:e>
                    <m:sup>
                      <m:r>
                        <w:rPr>
                          <w:rFonts w:ascii="Cambria Math" w:eastAsiaTheme="minorEastAsia" w:hAnsi="Cambria Math"/>
                        </w:rPr>
                        <m:t>2</m:t>
                      </m:r>
                    </m:sup>
                  </m:sSup>
                  <m:r>
                    <w:rPr>
                      <w:rFonts w:ascii="Cambria Math" w:eastAsiaTheme="minorEastAsia" w:hAnsi="Cambria Math"/>
                    </w:rPr>
                    <m:t>dx</m:t>
                  </m:r>
                </m:e>
              </m:nary>
            </m:e>
          </m:nary>
        </m:oMath>
      </m:oMathPara>
    </w:p>
    <w:p w14:paraId="2239665F" w14:textId="4CA2C256" w:rsidR="00AC7AC2" w:rsidRDefault="00AC7AC2" w:rsidP="00AC7AC2">
      <w:pPr>
        <w:rPr>
          <w:rFonts w:eastAsiaTheme="minorEastAsia"/>
          <w:bCs/>
        </w:rPr>
      </w:pPr>
      <w:r>
        <w:rPr>
          <w:rFonts w:eastAsiaTheme="minorEastAsia"/>
          <w:bCs/>
        </w:rPr>
        <w:t>Where the first term</w:t>
      </w:r>
      <w:r w:rsidR="005A0184">
        <w:rPr>
          <w:rFonts w:eastAsiaTheme="minorEastAsia"/>
          <w:bCs/>
        </w:rPr>
        <w:t xml:space="preserve"> in </w:t>
      </w:r>
      <w:r w:rsidR="005A0184">
        <w:rPr>
          <w:rFonts w:eastAsiaTheme="minorEastAsia"/>
          <w:bCs/>
        </w:rPr>
        <w:fldChar w:fldCharType="begin"/>
      </w:r>
      <w:r w:rsidR="005A0184">
        <w:rPr>
          <w:rFonts w:eastAsiaTheme="minorEastAsia"/>
          <w:bCs/>
        </w:rPr>
        <w:instrText xml:space="preserve"> REF _Ref126153775 \h </w:instrText>
      </w:r>
      <w:r w:rsidR="005A0184">
        <w:rPr>
          <w:rFonts w:eastAsiaTheme="minorEastAsia"/>
          <w:bCs/>
        </w:rPr>
      </w:r>
      <w:r w:rsidR="005A0184">
        <w:rPr>
          <w:rFonts w:eastAsiaTheme="minorEastAsia"/>
          <w:bCs/>
        </w:rPr>
        <w:fldChar w:fldCharType="separate"/>
      </w:r>
      <w:r w:rsidR="005A0184">
        <w:t>Equation S</w:t>
      </w:r>
      <w:r w:rsidR="005A0184">
        <w:rPr>
          <w:noProof/>
        </w:rPr>
        <w:t>2</w:t>
      </w:r>
      <w:r w:rsidR="005A0184">
        <w:rPr>
          <w:rFonts w:eastAsiaTheme="minorEastAsia"/>
          <w:bCs/>
        </w:rPr>
        <w:fldChar w:fldCharType="end"/>
      </w:r>
      <w:r>
        <w:rPr>
          <w:rFonts w:eastAsiaTheme="minorEastAsia"/>
          <w:bCs/>
        </w:rPr>
        <w:t xml:space="preserve"> is the standard residual sum of squares, and the second is the penalization term. </w:t>
      </w:r>
      <m:oMath>
        <m:r>
          <w:rPr>
            <w:rFonts w:ascii="Cambria Math" w:eastAsiaTheme="minorEastAsia" w:hAnsi="Cambria Math"/>
          </w:rPr>
          <m:t>λ</m:t>
        </m:r>
      </m:oMath>
      <w:r>
        <w:rPr>
          <w:rFonts w:eastAsiaTheme="minorEastAsia"/>
          <w:bCs/>
        </w:rPr>
        <w:t xml:space="preserve"> is a tuneable smoothing parameter such that as </w:t>
      </w:r>
      <m:oMath>
        <m:r>
          <w:rPr>
            <w:rFonts w:ascii="Cambria Math" w:eastAsiaTheme="minorEastAsia" w:hAnsi="Cambria Math"/>
          </w:rPr>
          <m:t>λ→∞</m:t>
        </m:r>
      </m:oMath>
      <w:r>
        <w:rPr>
          <w:rFonts w:eastAsiaTheme="minorEastAsia"/>
          <w:bCs/>
        </w:rPr>
        <w:t xml:space="preserve"> the smooth becomes linear. In the R package </w:t>
      </w:r>
      <w:r>
        <w:rPr>
          <w:rFonts w:eastAsiaTheme="minorEastAsia"/>
          <w:bCs/>
          <w:i/>
        </w:rPr>
        <w:t>mgcv</w:t>
      </w:r>
      <w:r>
        <w:rPr>
          <w:rFonts w:eastAsiaTheme="minorEastAsia"/>
          <w:bCs/>
        </w:rPr>
        <w:t xml:space="preserve"> </w:t>
      </w:r>
      <w:r>
        <w:rPr>
          <w:rFonts w:eastAsiaTheme="minorEastAsia"/>
          <w:bCs/>
        </w:rPr>
        <w:fldChar w:fldCharType="begin" w:fldLock="1"/>
      </w:r>
      <w:r>
        <w:rPr>
          <w:rFonts w:eastAsiaTheme="minorEastAsia"/>
          <w:bCs/>
        </w:rPr>
        <w:instrText>ADDIN CSL_CITATION {"citationItems":[{"id":"ITEM-1","itemData":{"author":[{"dropping-particle":"","family":"Wood","given":"S.N.","non-dropping-particle":"","parse-names":false,"suffix":""}],"container-title":"Journal of the Royal Statistical Society (B)","id":"ITEM-1","issue":"1","issued":{"date-parts":[["2011"]]},"page":"3-36","title":"Fast stable restricted maximum likelihood and marginal likelihood estimation of semiparametric generalized linear models","type":"article-journal","volume":"73"},"uris":["http://www.mendeley.com/documents/?uuid=eeb1e544-1781-49ac-ab31-b96c9e516c8a"]}],"mendeley":{"formattedCitation":"[10]","plainTextFormattedCitation":"[10]","previouslyFormattedCitation":"[10]"},"properties":{"noteIndex":0},"schema":"https://github.com/citation-style-language/schema/raw/master/csl-citation.json"}</w:instrText>
      </w:r>
      <w:r>
        <w:rPr>
          <w:rFonts w:eastAsiaTheme="minorEastAsia"/>
          <w:bCs/>
        </w:rPr>
        <w:fldChar w:fldCharType="separate"/>
      </w:r>
      <w:r w:rsidRPr="00C85F5B">
        <w:rPr>
          <w:rFonts w:eastAsiaTheme="minorEastAsia"/>
          <w:bCs/>
          <w:noProof/>
        </w:rPr>
        <w:t>[10]</w:t>
      </w:r>
      <w:r>
        <w:rPr>
          <w:rFonts w:eastAsiaTheme="minorEastAsia"/>
          <w:bCs/>
        </w:rPr>
        <w:fldChar w:fldCharType="end"/>
      </w:r>
      <w:r>
        <w:rPr>
          <w:rFonts w:eastAsiaTheme="minorEastAsia"/>
          <w:bCs/>
        </w:rPr>
        <w:t>optimizes the smoothing parameter by Restr</w:t>
      </w:r>
      <w:r w:rsidR="005A0184">
        <w:rPr>
          <w:rFonts w:eastAsiaTheme="minorEastAsia"/>
          <w:bCs/>
        </w:rPr>
        <w:t xml:space="preserve">icted Maximum Likelihood (REML). </w:t>
      </w:r>
    </w:p>
    <w:p w14:paraId="0F190A21" w14:textId="77777777" w:rsidR="00AC7AC2" w:rsidRDefault="00AC7AC2" w:rsidP="00AC7AC2">
      <w:pPr>
        <w:rPr>
          <w:b/>
          <w:u w:val="single"/>
        </w:rPr>
      </w:pPr>
    </w:p>
    <w:p w14:paraId="4EA64FA1" w14:textId="77777777" w:rsidR="00AC7AC2" w:rsidRPr="00AC7AC2" w:rsidRDefault="00AC7AC2" w:rsidP="00AC7AC2">
      <w:pPr>
        <w:pStyle w:val="ListParagraph"/>
        <w:numPr>
          <w:ilvl w:val="0"/>
          <w:numId w:val="1"/>
        </w:numPr>
        <w:rPr>
          <w:b/>
          <w:u w:val="single"/>
        </w:rPr>
      </w:pPr>
      <w:r w:rsidRPr="00AC7AC2">
        <w:rPr>
          <w:b/>
          <w:u w:val="single"/>
        </w:rPr>
        <w:t>Model Checking</w:t>
      </w:r>
      <w:bookmarkStart w:id="2" w:name="_GoBack"/>
      <w:bookmarkEnd w:id="2"/>
    </w:p>
    <w:p w14:paraId="5D49C3CE" w14:textId="77777777" w:rsidR="00AC7AC2" w:rsidRDefault="00AC7AC2" w:rsidP="00AC7AC2">
      <w:pPr>
        <w:keepNext/>
      </w:pPr>
      <w:r w:rsidRPr="005E71FB">
        <w:rPr>
          <w:b/>
          <w:noProof/>
          <w:lang w:eastAsia="en-GB"/>
        </w:rPr>
        <w:lastRenderedPageBreak/>
        <w:drawing>
          <wp:inline distT="0" distB="0" distL="0" distR="0" wp14:anchorId="51932594" wp14:editId="15157FCD">
            <wp:extent cx="5990500" cy="4894202"/>
            <wp:effectExtent l="0" t="0" r="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93806" cy="4896903"/>
                    </a:xfrm>
                    <a:prstGeom prst="rect">
                      <a:avLst/>
                    </a:prstGeom>
                    <a:noFill/>
                  </pic:spPr>
                </pic:pic>
              </a:graphicData>
            </a:graphic>
          </wp:inline>
        </w:drawing>
      </w:r>
    </w:p>
    <w:p w14:paraId="71E99A63" w14:textId="267AA060" w:rsidR="00AC7AC2" w:rsidRDefault="005A5606" w:rsidP="00AC7AC2">
      <w:pPr>
        <w:pStyle w:val="Caption"/>
        <w:rPr>
          <w:b/>
          <w:u w:val="single"/>
        </w:rPr>
      </w:pPr>
      <w:bookmarkStart w:id="3" w:name="_Ref125714928"/>
      <w:r>
        <w:t>Figure</w:t>
      </w:r>
      <w:r w:rsidR="00AC7AC2">
        <w:t xml:space="preserve"> S</w:t>
      </w:r>
      <w:fldSimple w:instr=" SEQ Fig._S \* ARABIC ">
        <w:r>
          <w:rPr>
            <w:noProof/>
          </w:rPr>
          <w:t>1</w:t>
        </w:r>
      </w:fldSimple>
      <w:bookmarkEnd w:id="3"/>
      <w:r w:rsidR="00AC7AC2">
        <w:t xml:space="preserve"> – Autocorrelation (A) and Partial Autocorrelation (B) plots of gam model prior to addition of autoregressive terms. </w:t>
      </w:r>
      <w:r w:rsidR="00AC7AC2">
        <w:rPr>
          <w:i w:val="0"/>
        </w:rPr>
        <w:t xml:space="preserve">Blue dashed line shows level of 95% statistical significance. </w:t>
      </w:r>
      <w:r w:rsidR="00AC7AC2">
        <w:t xml:space="preserve">(A) Demonstrates significant levels of autocorrelation in the model residuals at non-zero lags. From (B), the significant spike a 1 month lag indicates an AR(1) process. </w:t>
      </w:r>
    </w:p>
    <w:p w14:paraId="29D4BF07" w14:textId="77777777" w:rsidR="00AC7AC2" w:rsidRDefault="00AC7AC2" w:rsidP="00AC7AC2">
      <w:pPr>
        <w:rPr>
          <w:b/>
          <w:u w:val="single"/>
        </w:rPr>
      </w:pPr>
    </w:p>
    <w:p w14:paraId="61B13B25" w14:textId="77777777" w:rsidR="00AC7AC2" w:rsidRDefault="00AC7AC2" w:rsidP="00AC7AC2">
      <w:pPr>
        <w:rPr>
          <w:b/>
          <w:u w:val="single"/>
        </w:rPr>
      </w:pPr>
    </w:p>
    <w:p w14:paraId="029B85DC" w14:textId="1716194E" w:rsidR="008A1956" w:rsidRDefault="008A1956" w:rsidP="00AC7AC2">
      <w:pPr>
        <w:keepNext/>
        <w:rPr>
          <w:noProof/>
          <w:lang w:eastAsia="en-GB"/>
        </w:rPr>
      </w:pPr>
      <w:r>
        <w:rPr>
          <w:noProof/>
          <w:lang w:eastAsia="en-GB"/>
        </w:rPr>
        <w:lastRenderedPageBreak/>
        <w:drawing>
          <wp:inline distT="0" distB="0" distL="0" distR="0" wp14:anchorId="45D57105" wp14:editId="57E02222">
            <wp:extent cx="5731510" cy="312610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fga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126105"/>
                    </a:xfrm>
                    <a:prstGeom prst="rect">
                      <a:avLst/>
                    </a:prstGeom>
                  </pic:spPr>
                </pic:pic>
              </a:graphicData>
            </a:graphic>
          </wp:inline>
        </w:drawing>
      </w:r>
    </w:p>
    <w:p w14:paraId="14D51D2C" w14:textId="148511F2" w:rsidR="008A1956" w:rsidRPr="00D801D7" w:rsidRDefault="008A1956" w:rsidP="008A1956">
      <w:pPr>
        <w:pStyle w:val="Caption"/>
        <w:rPr>
          <w:b/>
          <w:i w:val="0"/>
          <w:u w:val="single"/>
        </w:rPr>
      </w:pPr>
      <w:bookmarkStart w:id="4" w:name="_Ref125715170"/>
      <w:r>
        <w:t>Figure  S</w:t>
      </w:r>
      <w:fldSimple w:instr=" SEQ Fig._S \* ARABIC ">
        <w:r>
          <w:rPr>
            <w:noProof/>
          </w:rPr>
          <w:t>2</w:t>
        </w:r>
      </w:fldSimple>
      <w:bookmarkEnd w:id="4"/>
      <w:r>
        <w:t xml:space="preserve"> </w:t>
      </w:r>
      <w:r>
        <w:rPr>
          <w:i w:val="0"/>
        </w:rPr>
        <w:t xml:space="preserve"> - Autocorrelation of residuals of final GAM model with additional y</w:t>
      </w:r>
      <w:r>
        <w:rPr>
          <w:i w:val="0"/>
          <w:vertAlign w:val="subscript"/>
        </w:rPr>
        <w:t>t-1</w:t>
      </w:r>
      <w:r>
        <w:rPr>
          <w:i w:val="0"/>
          <w:vertAlign w:val="subscript"/>
        </w:rPr>
        <w:softHyphen/>
      </w:r>
      <w:r>
        <w:rPr>
          <w:i w:val="0"/>
        </w:rPr>
        <w:t xml:space="preserve"> term. Blue dashed line shows level of 95% statistical significance. The lack of statistical significance at any non-zero lag period indicates that remaining autocorrelation in the model is of an acceptable level.  </w:t>
      </w:r>
    </w:p>
    <w:p w14:paraId="451A348A" w14:textId="77777777" w:rsidR="008A1956" w:rsidRDefault="008A1956" w:rsidP="00AC7AC2">
      <w:pPr>
        <w:keepNext/>
        <w:rPr>
          <w:noProof/>
          <w:lang w:eastAsia="en-GB"/>
        </w:rPr>
      </w:pPr>
    </w:p>
    <w:p w14:paraId="582FCC4E" w14:textId="77777777" w:rsidR="008A1956" w:rsidRDefault="008A1956" w:rsidP="00AC7AC2">
      <w:pPr>
        <w:keepNext/>
        <w:rPr>
          <w:noProof/>
          <w:lang w:eastAsia="en-GB"/>
        </w:rPr>
      </w:pPr>
    </w:p>
    <w:p w14:paraId="6736DED8" w14:textId="195E780A" w:rsidR="00AC7AC2" w:rsidRDefault="00AC7AC2" w:rsidP="00AC7AC2">
      <w:pPr>
        <w:keepNext/>
      </w:pPr>
      <w:r>
        <w:rPr>
          <w:noProof/>
          <w:lang w:eastAsia="en-GB"/>
        </w:rPr>
        <w:drawing>
          <wp:inline distT="0" distB="0" distL="0" distR="0" wp14:anchorId="74D49790" wp14:editId="1AC76314">
            <wp:extent cx="6222287" cy="3378369"/>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28345" cy="3381658"/>
                    </a:xfrm>
                    <a:prstGeom prst="rect">
                      <a:avLst/>
                    </a:prstGeom>
                    <a:noFill/>
                  </pic:spPr>
                </pic:pic>
              </a:graphicData>
            </a:graphic>
          </wp:inline>
        </w:drawing>
      </w:r>
    </w:p>
    <w:p w14:paraId="3F0FED98" w14:textId="7AFABEEF" w:rsidR="00AC7AC2" w:rsidRDefault="005A5606" w:rsidP="00AC7AC2">
      <w:pPr>
        <w:pStyle w:val="Caption"/>
      </w:pPr>
      <w:r>
        <w:t>Figure</w:t>
      </w:r>
      <w:r w:rsidR="00AC7AC2">
        <w:t xml:space="preserve"> S</w:t>
      </w:r>
      <w:fldSimple w:instr=" SEQ Fig._S \* ARABIC ">
        <w:r w:rsidR="008A1956">
          <w:rPr>
            <w:noProof/>
          </w:rPr>
          <w:t>3</w:t>
        </w:r>
      </w:fldSimple>
      <w:r w:rsidR="00AC7AC2">
        <w:t xml:space="preserve">. Model checking residual analysis plot of GAM. (A) Shows a  Quantile-quantile (QQ) of model residuals against quantiles derived from simulating data from the fitted model. The position of points along the x=y line suggests the modelling distribution assumption (here negative binomial) is reasonable. The histogram of model residuals in (B) roughly follows the normal distribution which does not suggest any underlying assumptions in the model have been violated. (C) Shows a plot of model residuals on the y-axis and predictor values on the x-axis. That the points appear to be symmetrically distributed in both x and y axes supports the validity of the model. (D) Shows the response variable vs. the fitted value. The points mostly follow a diagonal band around the (0,1) line indicating the model fits the data well with one major outlier. </w:t>
      </w:r>
    </w:p>
    <w:p w14:paraId="611AB3FD" w14:textId="77777777" w:rsidR="00AC7AC2" w:rsidRDefault="00AC7AC2" w:rsidP="00AC7AC2"/>
    <w:p w14:paraId="5877CD98" w14:textId="77777777" w:rsidR="00AC7AC2" w:rsidRPr="005E71FB" w:rsidRDefault="00AC7AC2" w:rsidP="00AC7AC2"/>
    <w:p w14:paraId="07173483" w14:textId="5AA987D2" w:rsidR="00AC7AC2" w:rsidRDefault="00AC7AC2" w:rsidP="00AC7AC2">
      <w:pPr>
        <w:keepNext/>
      </w:pPr>
    </w:p>
    <w:p w14:paraId="407E190E" w14:textId="77777777" w:rsidR="00AC7AC2" w:rsidRPr="00AC7AC2" w:rsidRDefault="00AC7AC2" w:rsidP="00AC7AC2">
      <w:pPr>
        <w:pStyle w:val="ListParagraph"/>
        <w:numPr>
          <w:ilvl w:val="0"/>
          <w:numId w:val="1"/>
        </w:numPr>
        <w:rPr>
          <w:b/>
          <w:u w:val="single"/>
        </w:rPr>
      </w:pPr>
      <w:r w:rsidRPr="00AC7AC2">
        <w:rPr>
          <w:b/>
          <w:u w:val="single"/>
        </w:rPr>
        <w:t>Additional Plots</w:t>
      </w:r>
    </w:p>
    <w:p w14:paraId="40940D78" w14:textId="77777777" w:rsidR="00AC7AC2" w:rsidRDefault="00AC7AC2" w:rsidP="00AC7AC2">
      <w:pPr>
        <w:rPr>
          <w:b/>
          <w:u w:val="single"/>
        </w:rPr>
      </w:pPr>
      <w:r w:rsidRPr="00AE2FA1">
        <w:rPr>
          <w:b/>
          <w:noProof/>
          <w:lang w:eastAsia="en-GB"/>
        </w:rPr>
        <w:drawing>
          <wp:inline distT="0" distB="0" distL="0" distR="0" wp14:anchorId="0FC7F16A" wp14:editId="04851E6B">
            <wp:extent cx="6500206" cy="219354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39783" cy="2206902"/>
                    </a:xfrm>
                    <a:prstGeom prst="rect">
                      <a:avLst/>
                    </a:prstGeom>
                    <a:noFill/>
                  </pic:spPr>
                </pic:pic>
              </a:graphicData>
            </a:graphic>
          </wp:inline>
        </w:drawing>
      </w:r>
    </w:p>
    <w:p w14:paraId="0AD59734" w14:textId="1A9EA4FD" w:rsidR="00AC7AC2" w:rsidRPr="00BC2608" w:rsidRDefault="005A5606" w:rsidP="00AC7AC2">
      <w:pPr>
        <w:pStyle w:val="Caption"/>
        <w:rPr>
          <w:b/>
          <w:u w:val="single"/>
        </w:rPr>
      </w:pPr>
      <w:bookmarkStart w:id="5" w:name="_Ref125726247"/>
      <w:bookmarkStart w:id="6" w:name="_Ref125733692"/>
      <w:r>
        <w:t>Figure</w:t>
      </w:r>
      <w:r w:rsidR="00AC7AC2">
        <w:t xml:space="preserve"> S</w:t>
      </w:r>
      <w:fldSimple w:instr=" SEQ Fig._S \* ARABIC ">
        <w:r>
          <w:rPr>
            <w:noProof/>
          </w:rPr>
          <w:t>4</w:t>
        </w:r>
      </w:fldSimple>
      <w:bookmarkEnd w:id="5"/>
      <w:bookmarkEnd w:id="6"/>
      <w:r w:rsidR="00AC7AC2">
        <w:t xml:space="preserve"> – Partial effect curves for non-environmental smooths in GAM model. The long term trend estimated by the model is shown by the partial effect of date in (A) where a decreasing trend is evident. The seasonal trend is estimated by the model given by the partial effect of month-of-year (B).</w:t>
      </w:r>
    </w:p>
    <w:p w14:paraId="3F165ADE" w14:textId="77777777" w:rsidR="006049D5" w:rsidRDefault="006049D5"/>
    <w:sectPr w:rsidR="006049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C4442D"/>
    <w:multiLevelType w:val="hybridMultilevel"/>
    <w:tmpl w:val="0576FC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AC2"/>
    <w:rsid w:val="00240957"/>
    <w:rsid w:val="002B2B91"/>
    <w:rsid w:val="005A0184"/>
    <w:rsid w:val="005A5606"/>
    <w:rsid w:val="006049D5"/>
    <w:rsid w:val="00643071"/>
    <w:rsid w:val="008A1956"/>
    <w:rsid w:val="00AB3A6F"/>
    <w:rsid w:val="00AC7AC2"/>
    <w:rsid w:val="00B94465"/>
    <w:rsid w:val="00DA04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0AE28"/>
  <w15:chartTrackingRefBased/>
  <w15:docId w15:val="{723CEA57-4795-4E6D-8108-C2A34A4A5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7A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AC7AC2"/>
    <w:pPr>
      <w:spacing w:after="200" w:line="240" w:lineRule="auto"/>
    </w:pPr>
    <w:rPr>
      <w:i/>
      <w:iCs/>
      <w:color w:val="44546A" w:themeColor="text2"/>
      <w:sz w:val="18"/>
      <w:szCs w:val="18"/>
    </w:rPr>
  </w:style>
  <w:style w:type="paragraph" w:styleId="ListParagraph">
    <w:name w:val="List Paragraph"/>
    <w:basedOn w:val="Normal"/>
    <w:uiPriority w:val="34"/>
    <w:qFormat/>
    <w:rsid w:val="00AC7AC2"/>
    <w:pPr>
      <w:ind w:left="720"/>
      <w:contextualSpacing/>
    </w:pPr>
  </w:style>
  <w:style w:type="paragraph" w:styleId="BalloonText">
    <w:name w:val="Balloon Text"/>
    <w:basedOn w:val="Normal"/>
    <w:link w:val="BalloonTextChar"/>
    <w:uiPriority w:val="99"/>
    <w:semiHidden/>
    <w:unhideWhenUsed/>
    <w:rsid w:val="005A56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56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510e3d4-a247-4f98-bac3-01940a724a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46AFB0EF40E5A46802255A465F5B9AB" ma:contentTypeVersion="14" ma:contentTypeDescription="Create a new document." ma:contentTypeScope="" ma:versionID="229cda2d080955fa7a4623c581f09c15">
  <xsd:schema xmlns:xsd="http://www.w3.org/2001/XMLSchema" xmlns:xs="http://www.w3.org/2001/XMLSchema" xmlns:p="http://schemas.microsoft.com/office/2006/metadata/properties" xmlns:ns3="2510e3d4-a247-4f98-bac3-01940a724ae8" xmlns:ns4="79369b3a-1b7f-431b-8dd4-4019c35a058a" targetNamespace="http://schemas.microsoft.com/office/2006/metadata/properties" ma:root="true" ma:fieldsID="ea1af3d42415dea091aab83d19d03d59" ns3:_="" ns4:_="">
    <xsd:import namespace="2510e3d4-a247-4f98-bac3-01940a724ae8"/>
    <xsd:import namespace="79369b3a-1b7f-431b-8dd4-4019c35a058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10e3d4-a247-4f98-bac3-01940a724a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activity" ma:index="21"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369b3a-1b7f-431b-8dd4-4019c35a058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6EF9B-4F67-4102-BC2A-D19BABFF5DF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79369b3a-1b7f-431b-8dd4-4019c35a058a"/>
    <ds:schemaRef ds:uri="2510e3d4-a247-4f98-bac3-01940a724ae8"/>
    <ds:schemaRef ds:uri="http://www.w3.org/XML/1998/namespace"/>
    <ds:schemaRef ds:uri="http://purl.org/dc/dcmitype/"/>
  </ds:schemaRefs>
</ds:datastoreItem>
</file>

<file path=customXml/itemProps2.xml><?xml version="1.0" encoding="utf-8"?>
<ds:datastoreItem xmlns:ds="http://schemas.openxmlformats.org/officeDocument/2006/customXml" ds:itemID="{61E2EA74-8B33-4424-890D-C0E8C1177477}">
  <ds:schemaRefs>
    <ds:schemaRef ds:uri="http://schemas.microsoft.com/sharepoint/v3/contenttype/forms"/>
  </ds:schemaRefs>
</ds:datastoreItem>
</file>

<file path=customXml/itemProps3.xml><?xml version="1.0" encoding="utf-8"?>
<ds:datastoreItem xmlns:ds="http://schemas.openxmlformats.org/officeDocument/2006/customXml" ds:itemID="{B83E453A-0435-48EE-903B-B31E1BB55C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10e3d4-a247-4f98-bac3-01940a724ae8"/>
    <ds:schemaRef ds:uri="79369b3a-1b7f-431b-8dd4-4019c35a05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17AEF05-9ACA-433E-ABB3-C26670872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Pages>
  <Words>1153</Words>
  <Characters>6370</Characters>
  <Application>Microsoft Office Word</Application>
  <DocSecurity>0</DocSecurity>
  <Lines>122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Shackleton, Deborah</dc:creator>
  <cp:keywords/>
  <dc:description/>
  <cp:lastModifiedBy>Shackleton, Deborah</cp:lastModifiedBy>
  <cp:revision>5</cp:revision>
  <cp:lastPrinted>2023-02-01T10:45:00Z</cp:lastPrinted>
  <dcterms:created xsi:type="dcterms:W3CDTF">2023-01-31T16:09:00Z</dcterms:created>
  <dcterms:modified xsi:type="dcterms:W3CDTF">2023-02-01T14:24:00Z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0x010100646AFB0EF40E5A46802255A465F5B9AB</vt:lpwstr>
  </property>
  <property fmtid="{D5CDD505-2E9C-101B-9397-08002B2CF9AE}" pid="3" name="Mendeley Recent Style Id 0_1">
    <vt:lpwstr>http://www.zotero.org/styles/american-political-science-association</vt:lpwstr>
  </property>
  <property fmtid="{D5CDD505-2E9C-101B-9397-08002B2CF9AE}" pid="4" name="Mendeley Recent Style Name 0_1">
    <vt:lpwstr>American Political Science Association</vt:lpwstr>
  </property>
  <property fmtid="{D5CDD505-2E9C-101B-9397-08002B2CF9AE}" pid="5" name="Mendeley Recent Style Id 1_1">
    <vt:lpwstr>http://www.zotero.org/styles/apa</vt:lpwstr>
  </property>
  <property fmtid="{D5CDD505-2E9C-101B-9397-08002B2CF9AE}" pid="6" name="Mendeley Recent Style Name 1_1">
    <vt:lpwstr>American Psychological Association 6th edition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http://www.zotero.org/styles/ieee</vt:lpwstr>
  </property>
  <property fmtid="{D5CDD505-2E9C-101B-9397-08002B2CF9AE}" pid="12" name="Mendeley Recent Style Name 4_1">
    <vt:lpwstr>IEEE</vt:lpwstr>
  </property>
  <property fmtid="{D5CDD505-2E9C-101B-9397-08002B2CF9AE}" pid="13" name="Mendeley Recent Style Id 5_1">
    <vt:lpwstr>http://csl.mendeley.com/styles/500599711/ieee</vt:lpwstr>
  </property>
  <property fmtid="{D5CDD505-2E9C-101B-9397-08002B2CF9AE}" pid="14" name="Mendeley Recent Style Name 5_1">
    <vt:lpwstr>IEEE - Names in full</vt:lpwstr>
  </property>
  <property fmtid="{D5CDD505-2E9C-101B-9397-08002B2CF9AE}" pid="15" name="Mendeley Recent Style Id 6_1">
    <vt:lpwstr>http://www.zotero.org/styles/modern-humanities-research-association</vt:lpwstr>
  </property>
  <property fmtid="{D5CDD505-2E9C-101B-9397-08002B2CF9AE}" pid="16" name="Mendeley Recent Style Name 6_1">
    <vt:lpwstr>Modern Humanities Research Association 3rd edition (note with bibliography)</vt:lpwstr>
  </property>
  <property fmtid="{D5CDD505-2E9C-101B-9397-08002B2CF9AE}" pid="17" name="Mendeley Recent Style Id 7_1">
    <vt:lpwstr>http://www.zotero.org/styles/nature</vt:lpwstr>
  </property>
  <property fmtid="{D5CDD505-2E9C-101B-9397-08002B2CF9AE}" pid="18" name="Mendeley Recent Style Name 7_1">
    <vt:lpwstr>Nature</vt:lpwstr>
  </property>
  <property fmtid="{D5CDD505-2E9C-101B-9397-08002B2CF9AE}" pid="19" name="Mendeley Recent Style Id 8_1">
    <vt:lpwstr>http://www.zotero.org/styles/harvard-university-of-exeter-geography</vt:lpwstr>
  </property>
  <property fmtid="{D5CDD505-2E9C-101B-9397-08002B2CF9AE}" pid="20" name="Mendeley Recent Style Name 8_1">
    <vt:lpwstr>University of Exeter - Geography - Harvard</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ies>
</file>