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24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58"/>
        <w:gridCol w:w="1939"/>
        <w:gridCol w:w="1933"/>
        <w:gridCol w:w="2196"/>
        <w:gridCol w:w="1616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Studies showing association between between Endothelial dysfunction and Apical periodontitis</w:t>
            </w:r>
          </w:p>
        </w:tc>
      </w:tr>
      <w:tr>
        <w:tblPrEx>
          <w:shd w:val="clear" w:color="auto" w:fill="ced7e7"/>
        </w:tblPrEx>
        <w:trPr>
          <w:trHeight w:val="683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Author. year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(study design)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Subjects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Markers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Result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Limitations</w:t>
            </w:r>
          </w:p>
        </w:tc>
      </w:tr>
      <w:tr>
        <w:tblPrEx>
          <w:shd w:val="clear" w:color="auto" w:fill="ced7e7"/>
        </w:tblPrEx>
        <w:trPr>
          <w:trHeight w:val="419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Bergandi, 2019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(Prospective)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AP=21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Control=20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Age- below 35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Endothelial Flow Reserve (EFR) 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interleukin (IL)-1, IL-6,  tumor necrosis factor alpha;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endothelin (ET)-1;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intercellular adhesion molecule 1 (ICAM-1)/CD54 and soluble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vascular cellular adhesion molecule (sVCAM)-1/CD106;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soluble CD14; and the endothelial leukocyte adhesion molecule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(E-selectin)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 was associated with increased serum levels of ET-1, ICAM-1, E-selectin, IL- 1, and sCD14, suggesting early vascular ED, with no macroscopic evidence of a reduction in EFR.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Root canal treatment improved  inflammation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and early ED at 2 and 12 months, lowering plasma levels of IL-1,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sCD14, ET-1, ICAM-1/CD54, and E-selectin . The levels are comparable to those of controls.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Small sample size.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 not followed up at 2 and 12 months.</w:t>
            </w:r>
          </w:p>
        </w:tc>
      </w:tr>
      <w:tr>
        <w:tblPrEx>
          <w:shd w:val="clear" w:color="auto" w:fill="ced7e7"/>
        </w:tblPrEx>
        <w:trPr>
          <w:trHeight w:val="353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Garrido, 2019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 Cross-sectional)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AP=27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Control=28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Age- 18-40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hsCRP, immunoglobulin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G, interleukin (IL)-6, IL-10, IL-12p70, matrix metalloproteinase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8, soluble vascular cellular adhesion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molecule-1, soluble intercellular adhesion molecule-1, and soluble E-selectin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hsCRP, IL-6, matrix metalloproteinase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8, and soluble E- selectin levels were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significantly higher in ALEO patients versus controls.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On bivariate analysis, hsCRP serum concentrations of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≥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-1 mg/L showed an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odds ratio (OR) = 6.8, and the risk increased 3.3 times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for an additional ALEO. 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Low number of individuals accounting for the eligibility criteria.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43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Cotti, 2015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(Cross-sectional)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AP=41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Control=40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Age- 20-40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Endothelial Flow Reserve (EFR) 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Interleukin (IL)-2, tumor necrosis factor alpha,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reactive oxygen species (ROS), ADMA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Patients with AP of both sexes showed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 significant reduction in EFR and a significant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increase in IL-2.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ROS were increased significantly only in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women whereas ADMA levels were  significantly increased in men.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EFR is used as a measure of CVD.</w:t>
            </w:r>
          </w:p>
        </w:tc>
      </w:tr>
      <w:tr>
        <w:tblPrEx>
          <w:shd w:val="clear" w:color="auto" w:fill="ced7e7"/>
        </w:tblPrEx>
        <w:trPr>
          <w:trHeight w:val="507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Inchingolu, 2014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(Prospective)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AP=33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Control=103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Age- 30-68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Reactive oxygen metabolites (d-ROMs) test and Biological antioxidant potential (BAP) test.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CAP exhibited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significantly higher levels of oxidative stress than control patients, as determined by the d-ROMs and BAP tests.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The d-ROMs test values were shown to decrease by 25% and the BAP test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values to increase by 11% after 30 days following endodontic treatment. After 90 days there is further reduction of 26% in the d-ROMs test values and average increase of 20% inthe BAP test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values.The values are comparable to the control group.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Other risk factors like periodontitis, age or gender not adjusted.</w:t>
            </w:r>
          </w:p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Cotti, 2011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(Cross-sectional)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AP=20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Control=20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Age- 20-40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Endothelial Flow Reserve (EFR) 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interleukins -1, -2, and -6 (IL-1, IL-2, IL-6), tumor necrosis factor alpha, and asymmetrical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dimethylarginine (ADMA).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Patients with AP presented with significantly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greater blood concentrations of IL-1, IL-2, IL-6 and ADMA  and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 significant reduction of EFR.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EFR is used as a measure of CVD.</w:t>
            </w:r>
          </w:p>
        </w:tc>
      </w:tr>
      <w:tr>
        <w:tblPrEx>
          <w:shd w:val="clear" w:color="auto" w:fill="ced7e7"/>
        </w:tblPrEx>
        <w:trPr>
          <w:trHeight w:val="898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69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Studies showing association between between subclinical atherosclerosis and Apical periodontitis</w:t>
            </w:r>
          </w:p>
        </w:tc>
      </w:tr>
      <w:tr>
        <w:tblPrEx>
          <w:shd w:val="clear" w:color="auto" w:fill="ced7e7"/>
        </w:tblPrEx>
        <w:trPr>
          <w:trHeight w:val="331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Glodny, 2013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(Cross-sectional)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Patients=292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Age= 54.1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17.3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Aortic atherosclerotic burden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The patients with &lt;1 caries surfaces/tooth had a lower atherosclerotic burden (0.13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0.61 mL) than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patients with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≥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 caries surfaces/tooth. The patients with at least one tooth affected by CAP had a greater atherosclerotic burden (0.24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0.6 mL) than the patients with no CAP (0.51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1.13 mL.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Conventional risk factors for CAD like smoking, diabetes, age etc were not adjusted</w:t>
            </w:r>
          </w:p>
        </w:tc>
      </w:tr>
      <w:tr>
        <w:tblPrEx>
          <w:shd w:val="clear" w:color="auto" w:fill="ced7e7"/>
        </w:tblPrEx>
        <w:trPr>
          <w:trHeight w:val="199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Petersen, 2013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(Cross-sectional)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Patients=531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Age= 50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15.7 years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Aortic atherosclerotic burden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14:textFill>
                  <w14:solidFill>
                    <w14:srgbClr w14:val="131413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The volume of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14:textFill>
                  <w14:solidFill>
                    <w14:srgbClr w14:val="131413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the aortic atherosclerotic burden for patients with at least one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14:textFill>
                  <w14:solidFill>
                    <w14:srgbClr w14:val="131413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CAP lesion was 0.32</w:t>
            </w:r>
            <w:r>
              <w:rPr>
                <w:rFonts w:ascii="Times New Roman" w:hAnsi="Times New Roman" w:hint="default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±</w:t>
            </w: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0.92 ml, higher than for patients with no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CAP (0.17</w:t>
            </w:r>
            <w:r>
              <w:rPr>
                <w:rFonts w:ascii="Times New Roman" w:hAnsi="Times New Roman" w:hint="default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±</w:t>
            </w: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0.51 ml).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Smoking not adjusted.</w:t>
            </w:r>
          </w:p>
        </w:tc>
      </w:tr>
      <w:tr>
        <w:tblPrEx>
          <w:shd w:val="clear" w:color="auto" w:fill="ced7e7"/>
        </w:tblPrEx>
        <w:trPr>
          <w:trHeight w:val="780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Intervention studies showing improvement in FMD after  periodontal treatment.</w:t>
            </w:r>
          </w:p>
        </w:tc>
      </w:tr>
      <w:tr>
        <w:tblPrEx>
          <w:shd w:val="clear" w:color="auto" w:fill="ced7e7"/>
        </w:tblPrEx>
        <w:trPr>
          <w:trHeight w:val="375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Tonetti, 2007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(Intervention)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Severe periodontitis=120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(community-based periodontal care =59 intensive periodontal treatment=61)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CRP, IL-6, E-selectin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Von-Willebrond factor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 was significantly lower in the intensive-treatment group than in the control-treatment group (absolute difference,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1.4%) after 1 day.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However, FMD improved significantly in the intensive-treatment group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60 days after therapy (absolute difference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0.9%) and 180 days after therapy ( absolute difference,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2.0%).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Patients were not adjusted for high risk factors for cardiovascular events such as age. This may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explain the relatively high levels of CRP measured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at baseline.</w:t>
            </w:r>
          </w:p>
        </w:tc>
      </w:tr>
      <w:tr>
        <w:tblPrEx>
          <w:shd w:val="clear" w:color="auto" w:fill="ced7e7"/>
        </w:tblPrEx>
        <w:trPr>
          <w:trHeight w:val="331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Mercanoglu, 2004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(Intervention)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Chronic periodontitis=28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Control=26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 were significantly impaired in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patients with chronic periodontitis when compared with the controls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(8.4%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4.0% versus 19.4%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8.1%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respectively).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After non-surgical periodontal therapy, FMD improved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significantly from 8.4%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4.0% to 17.7%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5.7%.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Smoking and age not adjusted.</w:t>
            </w:r>
          </w:p>
        </w:tc>
      </w:tr>
      <w:tr>
        <w:tblPrEx>
          <w:shd w:val="clear" w:color="auto" w:fill="ced7e7"/>
        </w:tblPrEx>
        <w:trPr>
          <w:trHeight w:val="221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Seinost, 2005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(Intervention)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Severe periodontitis=30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Control=31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 was significantly lower in patients with periodontitis than in control subjects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(6.1%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4.4% vs 8.5%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3.4%). Successful periodontal treatment resulted in a significant improvement in FMD to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9.8%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5.7%.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Residual confounding between periodontitis and endothelial dysfunction by known or unknown risk factors.</w:t>
            </w:r>
          </w:p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Elter, 2006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(Intervention)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Moderate to severe periodontitis=22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1 month after treatment FMD improved significantly from 8.6</w:t>
            </w:r>
            <w:r>
              <w:rPr>
                <w:rFonts w:ascii="Times New Roman" w:hAnsi="Times New Roman" w:hint="default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±</w:t>
            </w: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4.7% to 10.2</w:t>
            </w:r>
            <w:r>
              <w:rPr>
                <w:rFonts w:ascii="Times New Roman" w:hAnsi="Times New Roman" w:hint="default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±</w:t>
            </w: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3.9%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 control group</w:t>
            </w:r>
          </w:p>
        </w:tc>
      </w:tr>
      <w:tr>
        <w:tblPrEx>
          <w:shd w:val="clear" w:color="auto" w:fill="ced7e7"/>
        </w:tblPrEx>
        <w:trPr>
          <w:trHeight w:val="243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Blum, 2007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(Intervention)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Severe periodontitis=13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Control=10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FMD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There was a significant difference between the patient group and the healthy controls: FMD% 4.12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3.96 vs. 16.60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7.86%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which improved significantly after treatment to  11.12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7.22%  in patient group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Small sample size.</w:t>
            </w:r>
          </w:p>
        </w:tc>
      </w:tr>
      <w:tr>
        <w:tblPrEx>
          <w:shd w:val="clear" w:color="auto" w:fill="ced7e7"/>
        </w:tblPrEx>
        <w:trPr>
          <w:trHeight w:val="862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1" w:hRule="atLeast"/>
        </w:trPr>
        <w:tc>
          <w:tcPr>
            <w:tcW w:type="dxa" w:w="9242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Intervention studies showing improvement in c-IMT after  periodontal treatment.</w:t>
            </w:r>
          </w:p>
        </w:tc>
      </w:tr>
      <w:tr>
        <w:tblPrEx>
          <w:shd w:val="clear" w:color="auto" w:fill="ced7e7"/>
        </w:tblPrEx>
        <w:trPr>
          <w:trHeight w:val="221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Piconi, 2009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(Intervention)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Moderate periodontitis=35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c-IMT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 xml:space="preserve">There was a significant improvement in c-IMT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 cm from the bifurcation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(baseline=0.49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0.02 mm; 6 months=0.38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0.042 mm;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12 months=0.37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0.03 mm)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Could not explain the unexpected reduction in the CD80 expressing cells.</w:t>
            </w:r>
          </w:p>
        </w:tc>
      </w:tr>
      <w:tr>
        <w:tblPrEx>
          <w:shd w:val="clear" w:color="auto" w:fill="ced7e7"/>
        </w:tblPrEx>
        <w:trPr>
          <w:trHeight w:val="3092" w:hRule="atLeast"/>
        </w:trPr>
        <w:tc>
          <w:tcPr>
            <w:tcW w:type="dxa" w:w="1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Kapellas, 2014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(Randomized controlled trial)</w:t>
            </w:r>
          </w:p>
        </w:tc>
        <w:tc>
          <w:tcPr>
            <w:tcW w:type="dxa" w:w="19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Periodontitis=273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Treatment=138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Control=135</w:t>
            </w:r>
          </w:p>
        </w:tc>
        <w:tc>
          <w:tcPr>
            <w:tcW w:type="dxa" w:w="1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c-IMT</w:t>
            </w:r>
          </w:p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Pulse wave velocity</w:t>
            </w:r>
          </w:p>
        </w:tc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14:textFill>
                  <w14:solidFill>
                    <w14:srgbClr w14:val="131413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c-IMT was significantly improved in treatment group 12 months after treatment (baseline=079</w:t>
            </w:r>
            <w:r>
              <w:rPr>
                <w:rFonts w:ascii="Times New Roman" w:hAnsi="Times New Roman" w:hint="default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±</w:t>
            </w: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0.19;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12 months=0.76</w:t>
            </w:r>
            <w:r>
              <w:rPr>
                <w:rFonts w:ascii="Times New Roman" w:hAnsi="Times New Roman" w:hint="default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±</w:t>
            </w:r>
            <w:r>
              <w:rPr>
                <w:rFonts w:ascii="Times New Roman" w:hAnsi="Times New Roman"/>
                <w:outline w:val="0"/>
                <w:color w:val="131413"/>
                <w:sz w:val="20"/>
                <w:szCs w:val="20"/>
                <w:u w:color="131413"/>
                <w:shd w:val="nil" w:color="auto" w:fill="auto"/>
                <w:rtl w:val="0"/>
                <w:lang w:val="en-US"/>
                <w14:textFill>
                  <w14:solidFill>
                    <w14:srgbClr w14:val="131413"/>
                  </w14:solidFill>
                </w14:textFill>
              </w:rPr>
              <w:t>0.16)</w:t>
            </w:r>
          </w:p>
        </w:tc>
        <w:tc>
          <w:tcPr>
            <w:tcW w:type="dxa" w:w="16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Many participants failed to attend the scheduled appointments on regualr basis.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Some partipicants underwent periodontal treatment from outside due to lack of facilities available there.</w:t>
            </w:r>
          </w:p>
        </w:tc>
      </w:tr>
    </w:tbl>
    <w:p>
      <w:pPr>
        <w:pStyle w:val="Body"/>
        <w:widowControl w:val="0"/>
        <w:ind w:left="108" w:hanging="108"/>
      </w:pPr>
    </w:p>
    <w:p>
      <w:pPr>
        <w:pStyle w:val="Body A"/>
        <w:widowControl w:val="0"/>
        <w:spacing w:line="240" w:lineRule="auto"/>
      </w:pPr>
    </w:p>
    <w:p>
      <w:pPr>
        <w:pStyle w:val="Body A"/>
        <w:tabs>
          <w:tab w:val="left" w:pos="5244"/>
        </w:tabs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