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2003923"/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Informat</w:t>
      </w: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>ion</w:t>
      </w:r>
    </w:p>
    <w:bookmarkEnd w:id="0"/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81295" cy="28232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868" cy="284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Fig.S1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technical framework of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chemical composition concentration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before="156" w:beforeLines="50" w:after="156" w:afterLines="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 xml:space="preserve">Table.S1 </w:t>
      </w:r>
      <w:r>
        <w:rPr>
          <w:rFonts w:ascii="Times New Roman" w:hAnsi="Times New Roman" w:cs="Times New Roman"/>
          <w:sz w:val="24"/>
          <w:szCs w:val="24"/>
        </w:rPr>
        <w:t>the statistical description of main socio-economic indicators</w:t>
      </w:r>
    </w:p>
    <w:tbl>
      <w:tblPr>
        <w:tblStyle w:val="4"/>
        <w:tblW w:w="83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576"/>
        <w:gridCol w:w="1158"/>
        <w:gridCol w:w="1538"/>
        <w:gridCol w:w="1019"/>
        <w:gridCol w:w="1399"/>
        <w:gridCol w:w="15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N 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Min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Max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10396.51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12616.93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5368.00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65495.00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DI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19739.45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12275.63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4724.11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16624.26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73848.51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GDP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14725.61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16551.40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117.46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9299.13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107672.07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1306.95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1205.47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926.73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6695.85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PVO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253.51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344.12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1.68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113.81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2092.39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44.91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8.45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16.2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46.25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61.50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743667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622657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36537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3344257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819297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584286\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1447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48825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2986546</w:t>
            </w:r>
          </w:p>
        </w:tc>
      </w:tr>
    </w:tbl>
    <w:p/>
    <w:p/>
    <w:p/>
    <w:p/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 w:cs="Times New Roman"/>
          <w:color w:val="0000CC"/>
          <w:sz w:val="24"/>
          <w:szCs w:val="24"/>
        </w:rPr>
      </w:pPr>
      <w:bookmarkStart w:id="1" w:name="_Hlk108967850"/>
      <w:r>
        <w:rPr>
          <w:rFonts w:hint="eastAsia" w:ascii="Times New Roman" w:hAnsi="Times New Roman" w:cs="Times New Roman"/>
          <w:color w:val="0000CC"/>
          <w:sz w:val="24"/>
          <w:szCs w:val="24"/>
        </w:rPr>
        <w:t>T</w:t>
      </w:r>
      <w:r>
        <w:rPr>
          <w:rFonts w:ascii="Times New Roman" w:hAnsi="Times New Roman" w:cs="Times New Roman"/>
          <w:color w:val="0000CC"/>
          <w:sz w:val="24"/>
          <w:szCs w:val="24"/>
        </w:rPr>
        <w:t>able.S2</w:t>
      </w:r>
      <w:bookmarkEnd w:id="1"/>
      <w:r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Trends and significance tests of PM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2.5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chemical fractions in 31 Chinese provinces from 2000 to 2019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430"/>
        <w:gridCol w:w="1104"/>
        <w:gridCol w:w="1023"/>
        <w:gridCol w:w="874"/>
        <w:gridCol w:w="1104"/>
        <w:gridCol w:w="11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Area</w:t>
            </w:r>
          </w:p>
        </w:tc>
        <w:tc>
          <w:tcPr>
            <w:tcW w:w="8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OM</w:t>
            </w: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Beijing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-1.88***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-0.34***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-0.80***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-0.16***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Tianjing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-1.74*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-0.41**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-0.70**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-0.16***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Hebei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-0.70+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-0.20*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-0.32**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-0.09***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Shanxi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0.16*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-0.31*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-0.10**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Inner Mongolia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Liaoning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-0.58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-0.09*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-0.23***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-0.07*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Jilin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0.11+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-0.07+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Heilongjiang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0.10*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0.06*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Shanghai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-2.01**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-0.45**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-0.64***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-0.16***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Jiangsu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-1.10*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-0.20*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-0.37***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-0.10***</w:t>
            </w:r>
          </w:p>
        </w:tc>
      </w:tr>
      <w:tr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Zhejiang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-0.86***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-0.19***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-0.09*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-0.26***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Anhui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-0.63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-0.21+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Fujian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-0.79**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-0.19**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-0.07+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-0.27**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Jiangxi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-0.46+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-0.12*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0.10+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-0.19*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Shandong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-0.27*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-0.42*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-0.12***</w:t>
            </w:r>
          </w:p>
        </w:tc>
      </w:tr>
      <w:tr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Henan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-0.27+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-0.32*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-0.10***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Hubei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-0.11+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Hunan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-0.12+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0.21*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-0.14+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Guangdong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-1.07***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-0.19**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-0.25**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Guangxi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-0.46*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-0.16**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-0.19**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-0.08***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Hainan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-0.34**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-0.06+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-0.12**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-0.03*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Chongqing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0.18+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-0.10*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Sichuan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-0.07*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0.12**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-0.10*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-0.05***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Guizhou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0.13*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-0.15+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-0.06**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Yunnan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Tibet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Shaanxi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0.14***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-0.06***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Gansu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0.08**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Qinghai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0.05+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Ningxia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-0.06+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0.07*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-0.09*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-0.04***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Xinjiang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0.04*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-0.01+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+, *, ** and *** indicate the significance level at 0.1, 0.05, 0.01 and 0.001, respectively.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r>
        <w:drawing>
          <wp:inline distT="0" distB="0" distL="0" distR="0">
            <wp:extent cx="5274310" cy="4972050"/>
            <wp:effectExtent l="0" t="0" r="2540" b="0"/>
            <wp:docPr id="378" name="图片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3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 xml:space="preserve">Fig.S2 </w:t>
      </w:r>
      <w:r>
        <w:rPr>
          <w:rFonts w:ascii="Times New Roman" w:hAnsi="Times New Roman" w:cs="Times New Roman"/>
          <w:sz w:val="24"/>
          <w:szCs w:val="24"/>
        </w:rPr>
        <w:t>The type of interaction detection between impact factors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MGWR model validation and quality control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conducting the regression analysis, we tested the multicollinearity between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components and different socioeconomic factors in SPSS 22.0 software, and the analysis results showed that the variance inflation factor (VIF) between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components and different socioeconomic factors were all less than 10, which means that there is no significant multicollinearity between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components and different socioeconomic factors, and can proceed to the next regression analysis. The VIFs between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components and different socioeconomic factors are shown in </w:t>
      </w:r>
      <w:r>
        <w:rPr>
          <w:rFonts w:ascii="Times New Roman" w:hAnsi="Times New Roman" w:cs="Times New Roman"/>
          <w:color w:val="0000CC"/>
          <w:sz w:val="24"/>
          <w:szCs w:val="24"/>
        </w:rPr>
        <w:t>Table.S3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before="156" w:beforeLines="50" w:after="156" w:afterLines="5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color w:val="0000CC"/>
          <w:sz w:val="24"/>
          <w:szCs w:val="24"/>
        </w:rPr>
        <w:t>T</w:t>
      </w:r>
      <w:r>
        <w:rPr>
          <w:rFonts w:ascii="Times New Roman" w:hAnsi="Times New Roman" w:cs="Times New Roman"/>
          <w:color w:val="0000CC"/>
          <w:sz w:val="24"/>
          <w:szCs w:val="24"/>
        </w:rPr>
        <w:t xml:space="preserve">able.S3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VIFs between PM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2.5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components and different socioeconomic factors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2"/>
        <w:gridCol w:w="1283"/>
        <w:gridCol w:w="2047"/>
        <w:gridCol w:w="1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Socio-economic factors</w:t>
            </w:r>
          </w:p>
        </w:tc>
        <w:tc>
          <w:tcPr>
            <w:tcW w:w="75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Sig.</w:t>
            </w: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VIF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Constant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1.86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NOx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32.44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8.33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SO2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0.84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0.40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NE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4.02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6.52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DI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-0.98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4.26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SIS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3.84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1.86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GDP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2.22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0.03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5.99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PVO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-3.82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7.75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SP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3.85 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2.23 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Then we explored the spatial differences in the effects of socioeconomic factors on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components using the MGWR model. </w:t>
      </w:r>
      <w:r>
        <w:rPr>
          <w:rFonts w:ascii="Times New Roman" w:hAnsi="Times New Roman" w:eastAsia="黑体" w:cs="Times New Roman"/>
          <w:sz w:val="24"/>
          <w:szCs w:val="24"/>
        </w:rPr>
        <w:t>For the parameters in the MGWR model, we chose the default settings. The Kernel type defaults to FIXED, and the Bandwidth method defaults to the AICc index.</w:t>
      </w:r>
      <w:r>
        <w:rPr>
          <w:rFonts w:hint="eastAsia" w:ascii="Times New Roman" w:hAnsi="Times New Roman" w:eastAsia="黑体" w:cs="Times New Roman"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color w:val="0000FF"/>
          <w:sz w:val="24"/>
          <w:szCs w:val="24"/>
        </w:rPr>
        <w:t>Fig.S3</w:t>
      </w:r>
      <w:r>
        <w:rPr>
          <w:rFonts w:ascii="Times New Roman" w:hAnsi="Times New Roman" w:eastAsia="黑体" w:cs="Times New Roman"/>
          <w:sz w:val="24"/>
          <w:szCs w:val="24"/>
        </w:rPr>
        <w:t xml:space="preserve"> shows the results of this operation</w:t>
      </w:r>
      <w:r>
        <w:rPr>
          <w:rFonts w:ascii="Times New Roman" w:hAnsi="Times New Roman" w:cs="Times New Roman"/>
          <w:sz w:val="24"/>
          <w:szCs w:val="24"/>
        </w:rPr>
        <w:t>. We can find that the goodness of fit (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of socio-economic factors with </w:t>
      </w:r>
      <w:r>
        <w:rPr>
          <w:rFonts w:hint="eastAsia" w:ascii="Times New Roman" w:hAnsi="Times New Roman" w:eastAsia="宋体" w:cs="Times New Roman"/>
          <w:sz w:val="24"/>
          <w:szCs w:val="24"/>
        </w:rPr>
        <w:t>P</w:t>
      </w:r>
      <w:r>
        <w:rPr>
          <w:rFonts w:ascii="Times New Roman" w:hAnsi="Times New Roman" w:eastAsia="宋体" w:cs="Times New Roman"/>
          <w:sz w:val="24"/>
          <w:szCs w:val="24"/>
        </w:rPr>
        <w:t>M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2.5</w:t>
      </w:r>
      <w:r>
        <w:rPr>
          <w:rFonts w:hint="eastAsia" w:ascii="Times New Roman" w:hAnsi="Times New Roman" w:eastAsia="宋体" w:cs="Times New Roman"/>
          <w:sz w:val="24"/>
          <w:szCs w:val="24"/>
        </w:rPr>
        <w:t>,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B</w:t>
      </w:r>
      <w:r>
        <w:rPr>
          <w:rFonts w:ascii="Times New Roman" w:hAnsi="Times New Roman" w:eastAsia="宋体" w:cs="Times New Roman"/>
          <w:sz w:val="24"/>
          <w:szCs w:val="24"/>
        </w:rPr>
        <w:t>C, OM, NH</w:t>
      </w:r>
      <w:r>
        <w:rPr>
          <w:rFonts w:ascii="Times New Roman" w:hAnsi="Times New Roman" w:eastAsia="宋体" w:cs="Times New Roman"/>
          <w:sz w:val="24"/>
          <w:szCs w:val="24"/>
          <w:eastAsianLayout w:id="1" w:combine="1"/>
        </w:rPr>
        <w:t>+ 4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  <w:eastAsianLayout w:id="2" w:combine="1"/>
        </w:rPr>
        <w:t>– 3</w:t>
      </w:r>
      <w:r>
        <w:rPr>
          <w:rFonts w:ascii="Times New Roman" w:hAnsi="Times New Roman" w:cs="Times New Roman"/>
          <w:sz w:val="24"/>
          <w:szCs w:val="24"/>
        </w:rPr>
        <w:t xml:space="preserve"> and SO</w:t>
      </w:r>
      <w:r>
        <w:rPr>
          <w:rFonts w:ascii="Times New Roman" w:hAnsi="Times New Roman" w:cs="Times New Roman"/>
          <w:sz w:val="24"/>
          <w:szCs w:val="24"/>
          <w:eastAsianLayout w:id="3" w:combine="1"/>
        </w:rPr>
        <w:t>2– 4</w:t>
      </w:r>
      <w:r>
        <w:rPr>
          <w:rFonts w:ascii="Times New Roman" w:hAnsi="Times New Roman" w:cs="Times New Roman"/>
          <w:sz w:val="24"/>
          <w:szCs w:val="24"/>
        </w:rPr>
        <w:t xml:space="preserve"> ranges from 0.37 to 0.54, the residual sum of squares (RSS) ranges from 287.51μg/m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to 391.72μg/m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and AICc ranges from 1324.43 to 1514.00. The above regression results showed that MGWR could get a regression result closer to the real value with fewer parameters, which can be used to evaluate the relationship between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components and socio-economic factors.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2783840"/>
            <wp:effectExtent l="0" t="0" r="0" b="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Fig.S3</w:t>
      </w:r>
      <w:r>
        <w:rPr>
          <w:rFonts w:ascii="Times New Roman" w:hAnsi="Times New Roman" w:cs="Times New Roman"/>
          <w:sz w:val="24"/>
          <w:szCs w:val="24"/>
        </w:rPr>
        <w:t xml:space="preserve"> Diagnostic parameters of MGWR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jNTI5MTM1NWRhNDQ0YTNlMTkzNDczOGJiNjk2YjgifQ=="/>
  </w:docVars>
  <w:rsids>
    <w:rsidRoot w:val="00DD6394"/>
    <w:rsid w:val="002953E0"/>
    <w:rsid w:val="002E21C7"/>
    <w:rsid w:val="003D5092"/>
    <w:rsid w:val="004565AB"/>
    <w:rsid w:val="004667B5"/>
    <w:rsid w:val="004E015F"/>
    <w:rsid w:val="006E7E22"/>
    <w:rsid w:val="009374A6"/>
    <w:rsid w:val="009714C8"/>
    <w:rsid w:val="009E78EB"/>
    <w:rsid w:val="00AB66DC"/>
    <w:rsid w:val="00B42B8C"/>
    <w:rsid w:val="00BB601C"/>
    <w:rsid w:val="00C51D93"/>
    <w:rsid w:val="00C61270"/>
    <w:rsid w:val="00D044DC"/>
    <w:rsid w:val="00D25A98"/>
    <w:rsid w:val="00D31088"/>
    <w:rsid w:val="00D56577"/>
    <w:rsid w:val="00DD6394"/>
    <w:rsid w:val="00DF694C"/>
    <w:rsid w:val="00E21650"/>
    <w:rsid w:val="00E83F54"/>
    <w:rsid w:val="00E90053"/>
    <w:rsid w:val="00F06F2B"/>
    <w:rsid w:val="00FE1504"/>
    <w:rsid w:val="00FF363A"/>
    <w:rsid w:val="19CB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622</Words>
  <Characters>3461</Characters>
  <Lines>30</Lines>
  <Paragraphs>8</Paragraphs>
  <TotalTime>2</TotalTime>
  <ScaleCrop>false</ScaleCrop>
  <LinksUpToDate>false</LinksUpToDate>
  <CharactersWithSpaces>3797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2022-08-21T11:53:00Z</dcterms:created>
  <dc:creator>super he</dc:creator>
  <cp:lastModifiedBy>Super</cp:lastModifiedBy>
  <dcterms:modified xsi:type="dcterms:W3CDTF">2023-01-29T12:14:30Z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A35799D58F3845049A412869C345F346</vt:lpwstr>
  </property>
</Properties>
</file>