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E88" w:rsidRDefault="00897E88" w:rsidP="00897E88">
      <w:pPr>
        <w:pStyle w:val="Heading1"/>
      </w:pPr>
      <w:r>
        <w:t>Appendix 1: Abstracts from Literature Search</w:t>
      </w:r>
    </w:p>
    <w:p w:rsidR="00897E88" w:rsidRDefault="00897E88" w:rsidP="00897E88">
      <w:pPr>
        <w:spacing w:line="240" w:lineRule="auto"/>
      </w:pPr>
      <w:r>
        <w:t>We conducted a literature review to determine if methods to solve the problem of consistently solving for sub-populations with simulation models had previously been proposed. We used the PubMed search engine with the Boolean string “(population) AND (disaggregation OR heterogeneity) AND (life table OR Markov process OR Markov chain) AND (rate OR transition probability) AND (technique OR algorithm)”, which was automatically expanded on by the engine to include related and MeSH terms. This returned 82 results, to which we added 5 articles that were found through previous searches. After screening titles and abstracts for relevancy, the list of articles was reduced to 14 (see below), of which we determined that none involved the same problem as investigated in this paper.</w:t>
      </w:r>
      <w:r>
        <w:rPr>
          <w:rStyle w:val="CommentReference"/>
          <w:rFonts w:eastAsiaTheme="minorHAnsi"/>
        </w:rPr>
        <w:t xml:space="preserve"> </w:t>
      </w:r>
    </w:p>
    <w:p w:rsidR="00897E88" w:rsidRDefault="00897E88" w:rsidP="00897E88">
      <w:pPr>
        <w:pStyle w:val="ListParagraph"/>
        <w:numPr>
          <w:ilvl w:val="0"/>
          <w:numId w:val="12"/>
        </w:numPr>
        <w:spacing w:line="240" w:lineRule="auto"/>
        <w:rPr>
          <w:b/>
          <w:bCs/>
        </w:rPr>
      </w:pPr>
      <w:r>
        <w:rPr>
          <w:b/>
          <w:bCs/>
        </w:rPr>
        <w:t>Title: The burden of chronic respiratory diseases and their heterogeneity across the states of India: the Global Burden of Disease Study 1990-2016.</w:t>
      </w:r>
    </w:p>
    <w:p w:rsidR="00897E88" w:rsidRDefault="00897E88" w:rsidP="00897E88">
      <w:pPr>
        <w:pStyle w:val="ListParagraph"/>
        <w:spacing w:line="240" w:lineRule="auto"/>
      </w:pPr>
      <w:r>
        <w:t xml:space="preserve">Abstract: BACKGROUND: India has 18% of the global population and an increasing burden of chronic respiratory diseases. However, a systematic understanding of the distribution of chronic respiratory diseases and their trends over time is not readily available for all of the states of India. Our aim was to report the trends in the burden of chronic respiratory diseases and the heterogeneity in their distribution in all states of India between 1990 and 2016. METHODS: Using all accessible data from multiple sources, we estimated the prevalence of major chronic respiratory diseases and the deaths and disability-adjusted life-years (DALYs) caused by them for every state of India from 1990 to 2016 as part of the Global Burden of Diseases, Injuries, and Risk Factors Study (GBD) 2016. We assessed heterogeneity in the burden of chronic obstructive pulmonary disease (COPD) and asthma across the states of India. The states were categorised into four groups based on their epidemiological transition level (ETL). ETL was defined as the ratio of DALYs from communicable diseases to those from non-communicable diseases and injuries combined, with a low ratio denoting high ETL and vice versa. We also assessed the contribution of risk factors to DALYs due to COPD. We compared the burden of chronic respiratory diseases in India against the global average in GBD 2016. We calculated 95% uncertainty intervals (UIs) for the point estimates. FINDINGS: The contribution of chronic respiratory diseases to the total DALYs in India increased from 4·5% (95% UI 4·0-4·9) in 1990 to 6·4% (5·8-7·0) in 2016. Of the total global DALYs due to chronic respiratory diseases in 2016, 32·0% occurred in India. COPD and asthma were responsible for 75·6% and 20·0% of the chronic respiratory disease DALYs, respectively, in India in 2016. The number of cases of COPD in India increased from 28·1 million (27·0-29·2) in 1990 to 55·3 million (53·1-57·6) in 2016, an increase in prevalence from 3·3% (3·1-3·4) to 4·2% (4·0-4·4). The age-standardised COPD prevalence and DALY rates in 2016 were highest in the less developed low ETL state group. There were 37·9 million (35·7-40·2) cases of asthma in India in 2016, with similar prevalence in the four ETL state groups, but the highest DALY rate was in the low ETL state group. The highest DALY rates for both COPD and asthma in 2016 were in the low ETL states of Rajasthan and Uttar Pradesh. The DALYs per case of COPD and asthma were 1·7 and 2·4 times higher in India than the global average in 2016, respectively; most states had higher rates compared with other locations worldwide at similar levels of Socio-demographic  Index. Of the DALYs due to COPD in India in 2016, 53·7% (43·1-65·0) were attributable to air pollution, 25·4% (19·5-31·7) to tobacco use, and 16·5% (14·1-19·2) to occupational risks, making these the leading risk factors for COPD. INTERPRETATION: India has a disproportionately high burden of chronic respiratory diseases. The increasing contribution of these diseases to the overall disease burden across India and the high rate of health loss from them, especially in the less developed low ETL states, highlights the need for focused policy interventions to address this significant cause of disease burden in India. </w:t>
      </w:r>
      <w:r>
        <w:lastRenderedPageBreak/>
        <w:t>FUNDING: Bill &amp; Melinda Gates Foundation; and Indian Council of Medical Research, Department of Health Research, Ministry of Health and Family Welfare, Government of India</w:t>
      </w:r>
    </w:p>
    <w:p w:rsidR="00897E88" w:rsidRDefault="00897E88" w:rsidP="00897E88">
      <w:pPr>
        <w:pStyle w:val="ListParagraph"/>
        <w:spacing w:line="240" w:lineRule="auto"/>
      </w:pPr>
      <w:r>
        <w:t xml:space="preserve">Reference: </w:t>
      </w:r>
      <w:r>
        <w:fldChar w:fldCharType="begin"/>
      </w:r>
      <w:r>
        <w:instrText xml:space="preserve"> ADDIN ZOTERO_ITEM CSL_CITATION {"citationID":"DaqHdmjr","properties":{"formattedCitation":"(18)","plainCitation":"(18)","noteIndex":0},"citationItems":[{"id":11,"uris":["http://zotero.org/users/local/XLCKbH5k/items/Y58GLT9U"],"uri":["http://zotero.org/users/local/XLCKbH5k/items/Y58GLT9U"],"itemData":{"id":11,"type":"article-journal","abstract":"BACKGROUND: India has 18% of the global population and an increasing burden of chronic respiratory diseases. However, a systematic understanding of the distribution of chronic respiratory diseases and their trends over time is not readily available for all of the states of India. Our aim was to report the trends in the burden of chronic respiratory diseases and the heterogeneity in their distribution in all states of India between 1990 and 2016.\nMETHODS: Using all accessible data from multiple sources, we estimated the prevalence of major chronic respiratory diseases and the deaths and disability-adjusted life-years (DALYs) caused by them for every state of India from 1990 to 2016 as part of the Global Burden of Diseases, Injuries, and Risk Factors Study (GBD) 2016. We assessed heterogeneity in the burden of chronic obstructive pulmonary disease (COPD) and asthma across the states of India. The states were categorised into four groups based on their epidemiological transition level (ETL). ETL was defined as the ratio of DALYs from communicable diseases to those from non-communicable diseases and injuries combined, with a low ratio denoting high ETL and vice versa. We also assessed the contribution of risk factors to DALYs due to COPD. We compared the burden of chronic respiratory diseases in India against the global average in GBD 2016. We calculated 95% uncertainty intervals (UIs) for the point estimates.\nFINDINGS: The contribution of chronic respiratory diseases to the total DALYs in India increased from 4·5% (95% UI 4·0-4·9) in 1990 to 6·4% (5·8-7·0) in 2016. Of the total global DALYs due to chronic respiratory diseases in 2016, 32·0% occurred in India. COPD and asthma were responsible for 75·6% and 20·0% of the chronic respiratory disease DALYs, respectively, in India in 2016. The number of cases of COPD in India increased from 28·1 million (27·0-29·2) in 1990 to 55·3 million (53·1-57·6) in 2016, an increase in prevalence from 3·3% (3·1-3·4) to 4·2% (4·0-4·4). The age-standardised COPD prevalence and DALY rates in 2016 were highest in the less developed low ETL state group. There were 37·9 million (35·7-40·2) cases of asthma in India in 2016, with similar prevalence in the four ETL state groups, but the highest DALY rate was in the low ETL state group. The highest DALY rates for both COPD and asthma in 2016 were in the low ETL states of Rajasthan and Uttar Pradesh. The DALYs per case of COPD and asthma were 1·7 and 2·4 times higher in India than the global average in 2016, respectively; most states had higher rates compared with other locations worldwide at similar levels of Socio-demographic Index. Of the DALYs due to COPD in India in 2016, 53·7% (43·1-65·0) were attributable to air pollution, 25·4% (19·5-31·7) to tobacco use, and 16·5% (14·1-19·2) to occupational risks, making these the leading risk factors for COPD.\nINTERPRETATION: India has a disproportionately high burden of chronic respiratory diseases. The increasing contribution of these diseases to the overall disease burden across India and the high rate of health loss from them, especially in the less developed low ETL states, highlights the need for focused policy interventions to address this significant cause of disease burden in India.\nFUNDING: Bill &amp; Melinda Gates Foundation; and Indian Council of Medical Research, Department of Health Research, Ministry of Health and Family Welfare, Government of India.","container-title":"The Lancet. Global Health","DOI":"10.1016/S2214-109X(18)30409-1","ISSN":"2214-109X","issue":"12","journalAbbreviation":"Lancet Glob Health","language":"eng","note":"PMID: 30219316\nPMCID: PMC6227385","page":"e1363-e1374","source":"PubMed","title":"The burden of chronic respiratory diseases and their heterogeneity across the states of India: the Global Burden of Disease Study 1990-2016","title-short":"The burden of chronic respiratory diseases and their heterogeneity across the states of India","volume":"6","author":[{"literal":"India State-Level Disease Burden Initiative CRD Collaborators"}],"issued":{"date-parts":[["2018"]]}}}],"schema":"https://github.com/citation-style-language/schema/raw/master/csl-citation.json"} </w:instrText>
      </w:r>
      <w:r>
        <w:fldChar w:fldCharType="separate"/>
      </w:r>
      <w:r>
        <w:rPr>
          <w:rFonts w:ascii="Calibri" w:hAnsi="Calibri" w:cs="Calibri"/>
        </w:rPr>
        <w:t>(18)</w:t>
      </w:r>
      <w:r>
        <w:fldChar w:fldCharType="end"/>
      </w:r>
    </w:p>
    <w:p w:rsidR="00897E88" w:rsidRDefault="00897E88" w:rsidP="00897E88">
      <w:pPr>
        <w:spacing w:line="240" w:lineRule="auto"/>
      </w:pPr>
    </w:p>
    <w:p w:rsidR="00897E88" w:rsidRDefault="00897E88" w:rsidP="00897E88">
      <w:pPr>
        <w:pStyle w:val="ListParagraph"/>
        <w:numPr>
          <w:ilvl w:val="0"/>
          <w:numId w:val="12"/>
        </w:numPr>
        <w:spacing w:line="240" w:lineRule="auto"/>
        <w:rPr>
          <w:b/>
          <w:bCs/>
        </w:rPr>
      </w:pPr>
      <w:r>
        <w:rPr>
          <w:b/>
          <w:bCs/>
        </w:rPr>
        <w:t>Title: Interacting effects of unobserved heterogeneity and individual stochasticity in the life history of the southern fulmar.</w:t>
      </w:r>
    </w:p>
    <w:p w:rsidR="00897E88" w:rsidRDefault="00897E88" w:rsidP="00897E88">
      <w:pPr>
        <w:pStyle w:val="ListParagraph"/>
        <w:spacing w:line="240" w:lineRule="auto"/>
      </w:pPr>
      <w:r>
        <w:t>Abstract: Individuals are heterogeneous in many ways. Some of these differences are incorporated as individual states (e.g. age, size, breeding status) in population models. However, substantial amounts of heterogeneity may remain unaccounted for, due to unmeasurable genetic, maternal or environmental factors. Such unobserved heterogeneity (UH) affects the behaviour of heterogeneous cohorts via intra-cohort selection and contributes to inter-individual variance in demographic outcomes such as longevity and lifetime reproduction. Variance is also produced by individual stochasticity, due to random events in the life cycle of wild organisms, yet no study thus far has attempted to decompose the variance in demographic outcomes into contributions from UH and individual stochasticity for an animal population in the wild. We developed a stage-classified matrix population model for the southern fulmar breeding on Ile des Pétrels, Antarctica. We applied multievent, multistate mark-recapture methods to estimate a finite mixture model accounting for UH in all vital rates and Markov chain methods to calculate demographic outcomes. Finally, we partitioned the variance in demographic outcomes into contributions from UH and individual stochasticity. We identify three UH groups, differing substantially in longevity, lifetime reproductive output, age at first reproduction and in the proportion of the life spent in each reproductive state. -14% of individuals at fledging have a delayed but high probability of recruitment and extended reproductive life span. -67% of individuals are less likely to reach adulthood, recruit late and skip breeding often but have the highest adult survival rate. -19% of individuals recruit early and attempt to breed often. They are likely to raise their offspring successfully, but experience a relatively short life span. Unobserved heterogeneity only explains a small fraction of the variances in longevity (5.9%), age at first reproduction (3.7%) and lifetime reproduction (22%). UH can affect the entire life cycle, including survival, development and reproductive rates, with consequences over the lifetime of individuals and impacts on cohort dynamics. The respective role of UH vs. individual stochasticity varies greatly among demographic outcomes. We discuss the implication of our finding for the gradient of life-history strategies observed among species and argue that individual differences should be accounted for in demographic studies of wild populations.</w:t>
      </w:r>
    </w:p>
    <w:p w:rsidR="00897E88" w:rsidRDefault="00897E88" w:rsidP="00897E88">
      <w:pPr>
        <w:pStyle w:val="ListParagraph"/>
        <w:spacing w:line="240" w:lineRule="auto"/>
      </w:pPr>
      <w:r>
        <w:t xml:space="preserve">Reference: </w:t>
      </w:r>
      <w:r>
        <w:fldChar w:fldCharType="begin"/>
      </w:r>
      <w:r>
        <w:instrText xml:space="preserve"> ADDIN ZOTERO_ITEM CSL_CITATION {"citationID":"50dsdXy7","properties":{"formattedCitation":"(19)","plainCitation":"(19)","noteIndex":0},"citationItems":[{"id":14,"uris":["http://zotero.org/users/local/XLCKbH5k/items/L6RDBAEM"],"uri":["http://zotero.org/users/local/XLCKbH5k/items/L6RDBAEM"],"itemData":{"id":14,"type":"article-journal","abstract":"Individuals are heterogeneous in many ways. Some of these differences are incorporated as individual states (e.g. age, size, breeding status) in population models. However, substantial amounts of heterogeneity may remain unaccounted for, due to unmeasurable genetic, maternal or environmental factors. Such unobserved heterogeneity (UH) affects the behaviour of heterogeneous cohorts via intra-cohort selection and contributes to inter-individual variance in demographic outcomes such as longevity and lifetime reproduction. Variance is also produced by individual stochasticity, due to random events in the life cycle of wild organisms, yet no study thus far has attempted to decompose the variance in demographic outcomes into contributions from UH and individual stochasticity for an animal population in the wild. We developed a stage-classified matrix population model for the southern fulmar breeding on Ile des Pétrels, Antarctica. We applied multievent, multistate mark-recapture methods to estimate a finite mixture model accounting for UH in all vital rates and Markov chain methods to calculate demographic outcomes. Finally, we partitioned the variance in demographic outcomes into contributions from UH and individual stochasticity. We identify three UH groups, differing substantially in longevity, lifetime reproductive output, age at first reproduction and in the proportion of the life spent in each reproductive state. -14% of individuals at fledging have a delayed but high probability of recruitment and extended reproductive life span. -67% of individuals are less likely to reach adulthood, recruit late and skip breeding often but have the highest adult survival rate. -19% of individuals recruit early and attempt to breed often. They are likely to raise their offspring successfully, but experience a relatively short life span. Unobserved heterogeneity only explains a small fraction of the variances in longevity (5.9%), age at first reproduction (3.7%) and lifetime reproduction (22%). UH can affect the entire life cycle, including survival, development and reproductive rates, with consequences over the lifetime of individuals and impacts on cohort dynamics. The respective role of UH vs. individual stochasticity varies greatly among demographic outcomes. We discuss the implication of our finding for the gradient of life-history strategies observed among species and argue that individual differences should be accounted for in demographic studies of wild populations.","container-title":"The Journal of Animal Ecology","DOI":"10.1111/1365-2656.12752","ISSN":"1365-2656","issue":"1","journalAbbreviation":"J Anim Ecol","language":"eng","note":"PMID: 28886208\nPMCID: PMC5765524","page":"212-222","source":"PubMed","title":"Interacting effects of unobserved heterogeneity and individual stochasticity in the life history of the southern fulmar","volume":"87","author":[{"family":"Jenouvrier","given":"Stéphanie"},{"family":"Aubry","given":"Lise M."},{"family":"Barbraud","given":"Christophe"},{"family":"Weimerskirch","given":"Henri"},{"family":"Caswell","given":"Hal"}],"issued":{"date-parts":[["2018",1]]}}}],"schema":"https://github.com/citation-style-language/schema/raw/master/csl-citation.json"} </w:instrText>
      </w:r>
      <w:r>
        <w:fldChar w:fldCharType="separate"/>
      </w:r>
      <w:r>
        <w:rPr>
          <w:rFonts w:ascii="Calibri" w:hAnsi="Calibri" w:cs="Calibri"/>
        </w:rPr>
        <w:t>(19)</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The impact of individual-level heterogeneity on estimated infectious disease burden: a simulation study.</w:t>
      </w:r>
    </w:p>
    <w:p w:rsidR="00897E88" w:rsidRDefault="00897E88" w:rsidP="00897E88">
      <w:pPr>
        <w:pStyle w:val="ListParagraph"/>
        <w:spacing w:line="240" w:lineRule="auto"/>
      </w:pPr>
      <w:r>
        <w:t>Abstract: BACKGROUND: Disease burden is not evenly distributed within a population; this uneven distribution can be due to individual heterogeneity in progression rates between disease stages. Composite measures of disease burden that are based on disease progression models, such as the disability-adjusted life year (DALY), are widely used to quantify the current and future burden of infectious diseases. Our goal was to investigate to what extent ignoring the presence of heterogeneity could bias DALY computation.</w:t>
      </w:r>
    </w:p>
    <w:p w:rsidR="00897E88" w:rsidRDefault="00897E88" w:rsidP="00897E88">
      <w:pPr>
        <w:pStyle w:val="ListParagraph"/>
        <w:spacing w:line="240" w:lineRule="auto"/>
      </w:pPr>
      <w:r>
        <w:t xml:space="preserve">METHODS: Simulations using individual-based models for hypothetical infectious diseases with short and long natural histories were run assuming either "population-averaged" progression probabilities between disease stages, or progression probabilities that were influenced by an a </w:t>
      </w:r>
      <w:r>
        <w:lastRenderedPageBreak/>
        <w:t>priori defined individual-level frailty (i.e., heterogeneity in disease risk) distribution, and DALYs were calculated.</w:t>
      </w:r>
    </w:p>
    <w:p w:rsidR="00897E88" w:rsidRDefault="00897E88" w:rsidP="00897E88">
      <w:pPr>
        <w:pStyle w:val="ListParagraph"/>
        <w:spacing w:line="240" w:lineRule="auto"/>
      </w:pPr>
      <w:r>
        <w:t>RESULTS: Under the assumption of heterogeneity in transition rates and increasing frailty with age, the short natural history disease model predicted 14% fewer DALYs compared with the homogenous population assumption. Simulations of a long natural history disease indicated that assuming homogeneity in transition rates when heterogeneity was present could overestimate total DALYs, in the present case by 4% (95% quantile interval: 1-8%).</w:t>
      </w:r>
    </w:p>
    <w:p w:rsidR="00897E88" w:rsidRDefault="00897E88" w:rsidP="00897E88">
      <w:pPr>
        <w:pStyle w:val="ListParagraph"/>
        <w:spacing w:line="240" w:lineRule="auto"/>
      </w:pPr>
      <w:r>
        <w:t>CONCLUSIONS: The consequences of ignoring population heterogeneity should be considered when defining transition parameters for natural history models and when interpreting the resulting disease burden estimates.</w:t>
      </w:r>
    </w:p>
    <w:p w:rsidR="00897E88" w:rsidRDefault="00897E88" w:rsidP="00897E88">
      <w:pPr>
        <w:pStyle w:val="ListParagraph"/>
        <w:spacing w:line="240" w:lineRule="auto"/>
      </w:pPr>
      <w:r>
        <w:t xml:space="preserve">Reference: </w:t>
      </w:r>
      <w:r>
        <w:fldChar w:fldCharType="begin"/>
      </w:r>
      <w:r>
        <w:instrText xml:space="preserve"> ADDIN ZOTERO_ITEM CSL_CITATION {"citationID":"lSw3avQE","properties":{"formattedCitation":"(20)","plainCitation":"(20)","noteIndex":0},"citationItems":[{"id":17,"uris":["http://zotero.org/users/local/XLCKbH5k/items/TFHW53XC"],"uri":["http://zotero.org/users/local/XLCKbH5k/items/TFHW53XC"],"itemData":{"id":17,"type":"article-journal","abstract":"BACKGROUND: Disease burden is not evenly distributed within a population; this uneven distribution can be due to individual heterogeneity in progression rates between disease stages. Composite measures of disease burden that are based on disease progression models, such as the disability-adjusted life year (DALY), are widely used to quantify the current and future burden of infectious diseases. Our goal was to investigate to what extent ignoring the presence of heterogeneity could bias DALY computation.\nMETHODS: Simulations using individual-based models for hypothetical infectious diseases with short and long natural histories were run assuming either \"population-averaged\" progression probabilities between disease stages, or progression probabilities that were influenced by an a priori defined individual-level frailty (i.e., heterogeneity in disease risk) distribution, and DALYs were calculated.\nRESULTS: Under the assumption of heterogeneity in transition rates and increasing frailty with age, the short natural history disease model predicted 14% fewer DALYs compared with the homogenous population assumption. Simulations of a long natural history disease indicated that assuming homogeneity in transition rates when heterogeneity was present could overestimate total DALYs, in the present case by 4% (95% quantile interval: 1-8%).\nCONCLUSIONS: The consequences of ignoring population heterogeneity should be considered when defining transition parameters for natural history models and when interpreting the resulting disease burden estimates.","container-title":"Population Health Metrics","DOI":"10.1186/s12963-016-0116-y","ISSN":"1478-7954","journalAbbreviation":"Popul Health Metr","language":"eng","note":"PMID: 27931225\nPMCID: PMC5146833","page":"47","source":"PubMed","title":"The impact of individual-level heterogeneity on estimated infectious disease burden: a simulation study","title-short":"The impact of individual-level heterogeneity on estimated infectious disease burden","volume":"14","author":[{"family":"McDonald","given":"Scott A."},{"family":"Devleesschauwer","given":"Brecht"},{"family":"Wallinga","given":"Jacco"}],"issued":{"date-parts":[["2016"]],"season":"08"}}}],"schema":"https://github.com/citation-style-language/schema/raw/master/csl-citation.json"} </w:instrText>
      </w:r>
      <w:r>
        <w:fldChar w:fldCharType="separate"/>
      </w:r>
      <w:r>
        <w:rPr>
          <w:rFonts w:ascii="Calibri" w:hAnsi="Calibri" w:cs="Calibri"/>
        </w:rPr>
        <w:t>(20)</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Estimation of heterogeneity in malaria transmission by stochastic modelling of apparent deviations from mass action kinetics.</w:t>
      </w:r>
    </w:p>
    <w:p w:rsidR="00897E88" w:rsidRDefault="00897E88" w:rsidP="00897E88">
      <w:pPr>
        <w:pStyle w:val="ListParagraph"/>
        <w:spacing w:line="240" w:lineRule="auto"/>
      </w:pPr>
      <w:r>
        <w:t>Abstract: BACKGROUND: Quantifying heterogeneity in malaria transmission is a prerequisite for accurate predictive mathematical models, but the variance in field measurements of exposure overestimates true micro-heterogeneity because it is inflated to an uncertain extent by sampling variation. Descriptions of field data also suggest that the rate of Plasmodium falciparum infection is not proportional to the intensity of challenge by infectious vectors. This appears to violate the principle of mass action that is implied by malaria biology. Micro-heterogeneity may be the reason for this anomaly. It is proposed that the level of micro-heterogeneity can be estimated from statistical models that estimate the amount of variation in transmission most compatible with a mass-action model for the relationship of infection to exposure.</w:t>
      </w:r>
    </w:p>
    <w:p w:rsidR="00897E88" w:rsidRDefault="00897E88" w:rsidP="00897E88">
      <w:pPr>
        <w:pStyle w:val="ListParagraph"/>
        <w:spacing w:line="240" w:lineRule="auto"/>
      </w:pPr>
      <w:r>
        <w:t>METHODS: The relationship between the entomological inoculation rate (EIR) for falciparum malaria and infection risk was reanalysed using published data for cohorts of children in Saradidi (western Kenya). Infection risk was treated as binomially distributed, and measurement-error (Poisson and negative binomial) models were considered for the EIR. Models were fitted using Bayesian Markov chain Monte Carlo algorithms and model fit compared for models that assume either mass-action kinetics, facilitation, competition or saturation of the infection process with increasing EIR.</w:t>
      </w:r>
    </w:p>
    <w:p w:rsidR="00897E88" w:rsidRDefault="00897E88" w:rsidP="00897E88">
      <w:pPr>
        <w:pStyle w:val="ListParagraph"/>
        <w:spacing w:line="240" w:lineRule="auto"/>
      </w:pPr>
      <w:r>
        <w:t>RESULTS: The proportion of inocula that resulted in infection in Saradidi was inversely related to the measured intensity of challenge. Models of facilitation showed, therefore, a poor fit to the data. When sampling error in the EIR was neglected, either competition or saturation needed to be incorporated in the model in order to give a good fit. Negative binomial models for the error in exposure could achieve a comparable fit while incorporating the more parsimonious and biologically plausible mass action assumption. Models that assume negative binomial micro-heterogeneity predict lower incidence of infection at a given average exposure than do those assuming exposure to be uniform. The negative binomial model moreover provides an estimate of the variance of the within-cohort distribution of the EIR and hence of within cohort heterogeneity in exposure.</w:t>
      </w:r>
    </w:p>
    <w:p w:rsidR="00897E88" w:rsidRDefault="00897E88" w:rsidP="00897E88">
      <w:pPr>
        <w:pStyle w:val="ListParagraph"/>
        <w:spacing w:line="240" w:lineRule="auto"/>
      </w:pPr>
      <w:r>
        <w:t xml:space="preserve">CONCLUSION: Apparent deviations from mass action kinetics in parasite transmission can arise from spatial and temporal heterogeneity in the inoculation rate, and from imprecision in its measurement. For parasites like P. falciparum, where there is no plausible biological rationale for deviations from mass action, this provides a strategy for estimating true levels of heterogeneity, since if mass-action is assumed, the within-population variance in exposure becomes identifiable in cohort studies relating infection to transmission intensity. Statistical analyses relating infection to exposure thus provide a valid general approach for estimating heterogeneity in transmission but only when they incorporate mass action kinetics and </w:t>
      </w:r>
      <w:r>
        <w:lastRenderedPageBreak/>
        <w:t>shrinkage estimates of exposure. Such analyses make it possible to include realistic levels of heterogeneity in dynamic models that predict the impact of control measures on transmission intensity.</w:t>
      </w:r>
    </w:p>
    <w:p w:rsidR="00897E88" w:rsidRDefault="00897E88" w:rsidP="00897E88">
      <w:pPr>
        <w:pStyle w:val="ListParagraph"/>
        <w:spacing w:line="240" w:lineRule="auto"/>
      </w:pPr>
      <w:r>
        <w:t xml:space="preserve">Reference: </w:t>
      </w:r>
      <w:r>
        <w:fldChar w:fldCharType="begin"/>
      </w:r>
      <w:r>
        <w:instrText xml:space="preserve"> ADDIN ZOTERO_ITEM CSL_CITATION {"citationID":"HXnrz0RJ","properties":{"formattedCitation":"(21)","plainCitation":"(21)","noteIndex":0},"citationItems":[{"id":20,"uris":["http://zotero.org/users/local/XLCKbH5k/items/8P988Q9W"],"uri":["http://zotero.org/users/local/XLCKbH5k/items/8P988Q9W"],"itemData":{"id":20,"type":"article-journal","abstract":"BACKGROUND: Quantifying heterogeneity in malaria transmission is a prerequisite for accurate predictive mathematical models, but the variance in field measurements of exposure overestimates true micro-heterogeneity because it is inflated to an uncertain extent by sampling variation. Descriptions of field data also suggest that the rate of Plasmodium falciparum infection is not proportional to the intensity of challenge by infectious vectors. This appears to violate the principle of mass action that is implied by malaria biology. Micro-heterogeneity may be the reason for this anomaly. It is proposed that the level of micro-heterogeneity can be estimated from statistical models that estimate the amount of variation in transmission most compatible with a mass-action model for the relationship of infection to exposure.\nMETHODS: The relationship between the entomological inoculation rate (EIR) for falciparum malaria and infection risk was reanalysed using published data for cohorts of children in Saradidi (western Kenya). Infection risk was treated as binomially distributed, and measurement-error (Poisson and negative binomial) models were considered for the EIR. Models were fitted using Bayesian Markov chain Monte Carlo algorithms and model fit compared for models that assume either mass-action kinetics, facilitation, competition or saturation of the infection process with increasing EIR.\nRESULTS: The proportion of inocula that resulted in infection in Saradidi was inversely related to the measured intensity of challenge. Models of facilitation showed, therefore, a poor fit to the data. When sampling error in the EIR was neglected, either competition or saturation needed to be incorporated in the model in order to give a good fit. Negative binomial models for the error in exposure could achieve a comparable fit while incorporating the more parsimonious and biologically plausible mass action assumption. Models that assume negative binomial micro-heterogeneity predict lower incidence of infection at a given average exposure than do those assuming exposure to be uniform. The negative binomial model moreover provides an estimate of the variance of the within-cohort distribution of the EIR and hence of within cohort heterogeneity in exposure.\nCONCLUSION: Apparent deviations from mass action kinetics in parasite transmission can arise from spatial and temporal heterogeneity in the inoculation rate, and from imprecision in its measurement. For parasites like P. falciparum, where there is no plausible biological rationale for deviations from mass action, this provides a strategy for estimating true levels of heterogeneity, since if mass-action is assumed, the within-population variance in exposure becomes identifiable in cohort studies relating infection to transmission intensity. Statistical analyses relating infection to exposure thus provide a valid general approach for estimating heterogeneity in transmission but only when they incorporate mass action kinetics and shrinkage estimates of exposure. Such analyses make it possible to include realistic levels of heterogeneity in dynamic models that predict the impact of control measures on transmission intensity.","container-title":"Malaria Journal","DOI":"10.1186/1475-2875-7-12","ISSN":"1475-2875","journalAbbreviation":"Malar. J.","language":"eng","note":"PMID: 18190717\nPMCID: PMC2254636","page":"12","source":"PubMed","title":"Estimation of heterogeneity in malaria transmission by stochastic modelling of apparent deviations from mass action kinetics","volume":"7","author":[{"family":"Smith","given":"Thomas A."}],"issued":{"date-parts":[["2008",1,11]]}}}],"schema":"https://github.com/citation-style-language/schema/raw/master/csl-citation.json"} </w:instrText>
      </w:r>
      <w:r>
        <w:fldChar w:fldCharType="separate"/>
      </w:r>
      <w:r>
        <w:rPr>
          <w:rFonts w:ascii="Calibri" w:hAnsi="Calibri" w:cs="Calibri"/>
        </w:rPr>
        <w:t>(21)</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A class of latent Markov models for capture-recapture data allowing for time, heterogeneity, and behavior effects.</w:t>
      </w:r>
    </w:p>
    <w:p w:rsidR="00897E88" w:rsidRDefault="00897E88" w:rsidP="00897E88">
      <w:pPr>
        <w:pStyle w:val="ListParagraph"/>
        <w:spacing w:line="240" w:lineRule="auto"/>
      </w:pPr>
      <w:r>
        <w:t>Abstract: We propose an extension of the latent class model for the analysis of capture-recapture data which allows us to take into account the effect of a capture on the behavior of a subject with respect to future captures. The approach is based on the assumption that the variable indexing the latent class of a subject follows a Markov chain with transition probabilities depending on the previous capture history. Several constraints are allowed on these transition probabilities and on the parameters of the conditional distribution of the capture configuration given the latent process. We also allow for the presence of discrete explanatory variables, which may affect the parameters of the latent process. To estimate the resulting models, we rely on the conditional maximum likelihood approach and for this aim we outline an EM algorithm. We also give some simple rules for point and interval estimation of the population size. The approach is illustrated by applying it to two data sets concerning small mammal populations.</w:t>
      </w:r>
    </w:p>
    <w:p w:rsidR="00897E88" w:rsidRDefault="00897E88" w:rsidP="00897E88">
      <w:pPr>
        <w:pStyle w:val="ListParagraph"/>
        <w:spacing w:line="240" w:lineRule="auto"/>
      </w:pPr>
      <w:r>
        <w:t xml:space="preserve">Reference: </w:t>
      </w:r>
      <w:r>
        <w:fldChar w:fldCharType="begin"/>
      </w:r>
      <w:r>
        <w:instrText xml:space="preserve"> ADDIN ZOTERO_ITEM CSL_CITATION {"citationID":"eCBtgG4i","properties":{"formattedCitation":"(22)","plainCitation":"(22)","noteIndex":0},"citationItems":[{"id":23,"uris":["http://zotero.org/users/local/XLCKbH5k/items/64PB3CV8"],"uri":["http://zotero.org/users/local/XLCKbH5k/items/64PB3CV8"],"itemData":{"id":23,"type":"article-journal","abstract":"We propose an extension of the latent class model for the analysis of capture-recapture data which allows us to take into account the effect of a capture on the behavior of a subject with respect to future captures. The approach is based on the assumption that the variable indexing the latent class of a subject follows a Markov chain with transition probabilities depending on the previous capture history. Several constraints are allowed on these transition probabilities and on the parameters of the conditional distribution of the capture configuration given the latent process. We also allow for the presence of discrete explanatory variables, which may affect the parameters of the latent process. To estimate the resulting models, we rely on the conditional maximum likelihood approach and for this aim we outline an EM algorithm. We also give some simple rules for point and interval estimation of the population size. The approach is illustrated by applying it to two data sets concerning small mammal populations.","container-title":"Biometrics","DOI":"10.1111/j.1541-0420.2006.00702.x","ISSN":"0006-341X","issue":"2","journalAbbreviation":"Biometrics","language":"eng","note":"PMID: 17688509","page":"568-578","source":"PubMed","title":"A class of latent Markov models for capture-recapture data allowing for time, heterogeneity, and behavior effects","volume":"63","author":[{"family":"Bartolucci","given":"Francesco"},{"family":"Pennoni","given":"Fulvia"}],"issued":{"date-parts":[["2007",6]]}}}],"schema":"https://github.com/citation-style-language/schema/raw/master/csl-citation.json"} </w:instrText>
      </w:r>
      <w:r>
        <w:fldChar w:fldCharType="separate"/>
      </w:r>
      <w:r>
        <w:rPr>
          <w:rFonts w:ascii="Calibri" w:hAnsi="Calibri" w:cs="Calibri"/>
        </w:rPr>
        <w:t>(22)</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Analysis of the relationship between socioeconomic factors and stomach cancer incidence in Slovenia.</w:t>
      </w:r>
    </w:p>
    <w:p w:rsidR="00897E88" w:rsidRDefault="00897E88" w:rsidP="00897E88">
      <w:pPr>
        <w:pStyle w:val="ListParagraph"/>
        <w:spacing w:line="240" w:lineRule="auto"/>
      </w:pPr>
      <w:r>
        <w:t>Abstract: An unequal population distribution of well-known major risk factors explains much of the variation in the incidence of stomach cancer worldwide. The aim of this study was to determine whether geographical variation of the stomach cancer incidence rate between Slovenia's municipalities during years 1995-2001 could partially be explained by variations in the socioeconomic status as an indirect stomach cancer risk factor. A composite measure of each region's socioeconomic status, labelled as deprivation index, was created from basic socioeconomic characteristics of each municipality using factor analysis. Municipalities' standardized incidence ratios for all stomach cancers and non-cardia stomach cancer were calculated. A fully Bayesian spatial model with a conditionally autoregressive prior was applied using Markov chain Monte Carlo techniques and WinBUGS software. Spatially smoothed maps of stomach cancer incidence rates by 192 Slovenian municipalities show a clear west-to-east gradient. This pattern resembles the geographical variation of socioeconomic indices, but these indices are not significant predictors of stomach cancer incidence. Geographical variation of stomach cancer incidence in Slovenia could be partially explained by the heterogeneous socioeconomic characteristics of its municipalities. It is possible that the socioeconomic status indices used in our study were not enough powerful predictors of stomach cancer risk. Some further methodological research is needed to explain why this association was not statistically evident with the current modeling approach.</w:t>
      </w:r>
    </w:p>
    <w:p w:rsidR="00897E88" w:rsidRDefault="00897E88" w:rsidP="00897E88">
      <w:pPr>
        <w:pStyle w:val="ListParagraph"/>
        <w:spacing w:line="240" w:lineRule="auto"/>
      </w:pPr>
      <w:r>
        <w:t xml:space="preserve">Reference: </w:t>
      </w:r>
      <w:r>
        <w:fldChar w:fldCharType="begin"/>
      </w:r>
      <w:r>
        <w:instrText xml:space="preserve"> ADDIN ZOTERO_ITEM CSL_CITATION {"citationID":"DxeRD8bp","properties":{"formattedCitation":"(23)","plainCitation":"(23)","noteIndex":0},"citationItems":[{"id":25,"uris":["http://zotero.org/users/local/XLCKbH5k/items/7GKJE3PN"],"uri":["http://zotero.org/users/local/XLCKbH5k/items/7GKJE3PN"],"itemData":{"id":25,"type":"article-journal","abstract":"An unequal population distribution of well-known major risk factors explains much of the variation in the incidence of stomach cancer worldwide. The aim of this study was to determine whether geographical variation of the stomach cancer incidence rate between Slovenia's municipalities during years 1995-2001 could partially be explained by variations in the socioeconomic status as an indirect stomach cancer risk factor. A composite measure of each region's socioeconomic status, labelled as deprivation index, was created from basic socioeconomic characteristics of each municipality using factor analysis. Municipalities' standardized incidence ratios for all stomach cancers and non-cardia stomach cancer were calculated. A fully Bayesian spatial model with a conditionally autoregressive prior was applied using Markov chain Monte Carlo techniques and WinBUGS software. Spatially smoothed maps of stomach cancer incidence rates by 192 Slovenian municipalities show a clear west-to-east gradient. This pattern resembles the geographical variation of socioeconomic indices, but these indices are not significant predictors of stomach cancer incidence. Geographical variation of stomach cancer incidence in Slovenia could be partially explained by the heterogeneous socioeconomic characteristics of its municipalities. It is possible that the socioeconomic status indices used in our study were not enough powerful predictors of stomach cancer risk. Some further methodological research is needed to explain why this association was not statistically evident with the current modeling approach.","container-title":"Neoplasma","ISSN":"0028-2685","issue":"2","journalAbbreviation":"Neoplasma","language":"eng","note":"PMID: 16575465","page":"103-110","source":"PubMed","title":"Analysis of the relationship between socioeconomic factors and stomach cancer incidence in Slovenia","volume":"53","author":[{"family":"Zadnik","given":"V."},{"family":"Reich","given":"B. J."}],"issued":{"date-parts":[["2006"]]}}}],"schema":"https://github.com/citation-style-language/schema/raw/master/csl-citation.json"} </w:instrText>
      </w:r>
      <w:r>
        <w:fldChar w:fldCharType="separate"/>
      </w:r>
      <w:r>
        <w:rPr>
          <w:rFonts w:ascii="Calibri" w:hAnsi="Calibri" w:cs="Calibri"/>
        </w:rPr>
        <w:t>(23)</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Calculation of disease dynamics in a population of households.</w:t>
      </w:r>
    </w:p>
    <w:p w:rsidR="00897E88" w:rsidRDefault="00897E88" w:rsidP="00897E88">
      <w:pPr>
        <w:pStyle w:val="ListParagraph"/>
        <w:spacing w:line="240" w:lineRule="auto"/>
      </w:pPr>
      <w:r>
        <w:t xml:space="preserve">Abstract: Early mathematical representations of infectious disease dynamics assumed a single, large, homogeneously mixing population. Over the past decade there has been growing interest in models consisting of multiple smaller subpopulations (households, workplaces, schools, communities), with the natural assumption of strong homogeneous mixing within each subpopulation, and weaker transmission between subpopulations. Here we consider a model of </w:t>
      </w:r>
      <w:r>
        <w:lastRenderedPageBreak/>
        <w:t>SIRS (susceptible-infectious-recovered-susceptible) infection dynamics in a very large (assumed infinite) population of households, with the simplifying assumption that each household is of the same size (although all methods may be extended to a population with a heterogeneous distribution of household sizes). For this households model we present efficient methods for studying several quantities of epidemiological interest: (i) the threshold for invasion; (ii) the early growth rate; (iii) the household offspring distribution; (iv) the endemic prevalence of infection; and (v) the transient dynamics of the process. We utilize these methods to explore a wide region of parameter space appropriate for human infectious diseases. We then extend these results to consider the effects of more realistic gamma-distributed infectious periods. We discuss how all these results differ from standard homogeneous-mixing models and assess the implications for the invasion, transmission and persistence of infection. The computational efficiency of the methodology presented here will hopefully aid in the parameterisation of structured models and in the evaluation of appropriate responses for future disease outbreaks.</w:t>
      </w:r>
    </w:p>
    <w:p w:rsidR="00897E88" w:rsidRDefault="00897E88" w:rsidP="00897E88">
      <w:pPr>
        <w:pStyle w:val="ListParagraph"/>
        <w:spacing w:line="240" w:lineRule="auto"/>
      </w:pPr>
      <w:r>
        <w:t xml:space="preserve">Reference: </w:t>
      </w:r>
      <w:r>
        <w:fldChar w:fldCharType="begin"/>
      </w:r>
      <w:r>
        <w:instrText xml:space="preserve"> ADDIN ZOTERO_ITEM CSL_CITATION {"citationID":"mXylHC6m","properties":{"formattedCitation":"(24)","plainCitation":"(24)","noteIndex":0},"citationItems":[{"id":27,"uris":["http://zotero.org/users/local/XLCKbH5k/items/5C2SQCQN"],"uri":["http://zotero.org/users/local/XLCKbH5k/items/5C2SQCQN"],"itemData":{"id":27,"type":"article-journal","abstract":"Early mathematical representations of infectious disease dynamics assumed a single, large, homogeneously mixing population. Over the past decade there has been growing interest in models consisting of multiple smaller subpopulations (households, workplaces, schools, communities), with the natural assumption of strong homogeneous mixing within each subpopulation, and weaker transmission between subpopulations. Here we consider a model of SIRS (susceptible-infectious-recovered-susceptible) infection dynamics in a very large (assumed infinite) population of households, with the simplifying assumption that each household is of the same size (although all methods may be extended to a population with a heterogeneous distribution of household sizes). For this households model we present efficient methods for studying several quantities of epidemiological interest: (i) the threshold for invasion; (ii) the early growth rate; (iii) the household offspring distribution; (iv) the endemic prevalence of infection; and (v) the transient dynamics of the process. We utilize these methods to explore a wide region of parameter space appropriate for human infectious diseases. We then extend these results to consider the effects of more realistic gamma-distributed infectious periods. We discuss how all these results differ from standard homogeneous-mixing models and assess the implications for the invasion, transmission and persistence of infection. The computational efficiency of the methodology presented here will hopefully aid in the parameterisation of structured models and in the evaluation of appropriate responses for future disease outbreaks.","container-title":"PloS One","DOI":"10.1371/journal.pone.0009666","ISSN":"1932-6203","issue":"3","journalAbbreviation":"PLoS ONE","language":"eng","note":"PMID: 20305791\nPMCID: PMC2841206","page":"e9666","source":"PubMed","title":"Calculation of disease dynamics in a population of households","volume":"5","author":[{"family":"Ross","given":"Joshua V."},{"family":"House","given":"Thomas"},{"family":"Keeling","given":"Matt J."}],"issued":{"date-parts":[["2010",3,18]]}}}],"schema":"https://github.com/citation-style-language/schema/raw/master/csl-citation.json"} </w:instrText>
      </w:r>
      <w:r>
        <w:fldChar w:fldCharType="separate"/>
      </w:r>
      <w:r>
        <w:rPr>
          <w:rFonts w:ascii="Calibri" w:hAnsi="Calibri" w:cs="Calibri"/>
        </w:rPr>
        <w:t>(24)</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Estimating heterogeneous transmission with multiple infectives using MCMC methods.</w:t>
      </w:r>
    </w:p>
    <w:p w:rsidR="00897E88" w:rsidRDefault="00897E88" w:rsidP="00897E88">
      <w:pPr>
        <w:pStyle w:val="ListParagraph"/>
        <w:spacing w:line="240" w:lineRule="auto"/>
      </w:pPr>
      <w:r>
        <w:t>Abstract: We developed a general procedure for estimating the transmission probability adjusting for covariates when susceptibles are exposed to several infectives concurrently and taking correlation within transmission units into account. The procedure is motivated by a study estimating efficacy of pertussis vaccination based on the secondary attack rate in a rural sub-Saharan community (Niakhar, Senegal) and illustrated with simulations. The procedure is also appropriate to estimate the pairwise transmission probability in transmission studies of live vaccine virus in a collection of transmission units, such as day-care centres or retirement centres. Previously, analyses either excluded transmission units with multiple infectives or ignored co-infectives. Excluding transmission units with multiple infectives is statistically less efficient and ignoring co-infectives can lead to biased estimation. Modelling is carried out by regressing the latent pairwise transmission probability from each infective to a susceptible on covariates and specifying a transmission linkage function linking the latent pairwise transmission probability to the overall transmission probability. Parameters are estimated using Markov chain Monte Carlo methods.</w:t>
      </w:r>
    </w:p>
    <w:p w:rsidR="00897E88" w:rsidRDefault="00897E88" w:rsidP="00897E88">
      <w:pPr>
        <w:pStyle w:val="ListParagraph"/>
        <w:spacing w:line="240" w:lineRule="auto"/>
      </w:pPr>
      <w:r>
        <w:t xml:space="preserve">Reference: </w:t>
      </w:r>
      <w:r>
        <w:fldChar w:fldCharType="begin"/>
      </w:r>
      <w:r>
        <w:instrText xml:space="preserve"> ADDIN ZOTERO_ITEM CSL_CITATION {"citationID":"zKrCl3Av","properties":{"formattedCitation":"(25)","plainCitation":"(25)","noteIndex":0},"citationItems":[{"id":30,"uris":["http://zotero.org/users/local/XLCKbH5k/items/72NRVD8X"],"uri":["http://zotero.org/users/local/XLCKbH5k/items/72NRVD8X"],"itemData":{"id":30,"type":"article-journal","abstract":"We developed a general procedure for estimating the transmission probability adjusting for covariates when susceptibles are exposed to several infectives concurrently and taking correlation within transmission units into account. The procedure is motivated by a study estimating efficacy of pertussis vaccination based on the secondary attack rate in a rural sub-Saharan community (Niakhar, Senegal) and illustrated with simulations. The procedure is also appropriate to estimate the pairwise transmission probability in transmission studies of live vaccine virus in a collection of transmission units, such as day-care centres or retirement centres. Previously, analyses either excluded transmission units with multiple infectives or ignored co-infectives. Excluding transmission units with multiple infectives is statistically less efficient and ignoring co-infectives can lead to biased estimation. Modelling is carried out by regressing the latent pairwise transmission probability from each infective to a susceptible on covariates and specifying a transmission linkage function linking the latent pairwise transmission probability to the overall transmission probability. Parameters are estimated using Markov chain Monte Carlo methods.","container-title":"Statistics in Medicine","DOI":"10.1002/sim.1590","ISSN":"0277-6715","issue":"1","journalAbbreviation":"Stat Med","language":"eng","note":"PMID: 14695638","page":"35-49","source":"PubMed","title":"Estimating heterogeneous transmission with multiple infectives using MCMC methods","volume":"23","author":[{"family":"Chu","given":"Haitao"},{"family":"Préziosi","given":"Marie-Pierre"},{"family":"Halloran","given":"M. Elizabeth"}],"issued":{"date-parts":[["2004",1,15]]}}}],"schema":"https://github.com/citation-style-language/schema/raw/master/csl-citation.json"} </w:instrText>
      </w:r>
      <w:r>
        <w:fldChar w:fldCharType="separate"/>
      </w:r>
      <w:r>
        <w:rPr>
          <w:rFonts w:ascii="Calibri" w:hAnsi="Calibri" w:cs="Calibri"/>
        </w:rPr>
        <w:t>(25)</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Mortality of a heterogeneous cohort; description and implications.</w:t>
      </w:r>
    </w:p>
    <w:p w:rsidR="00897E88" w:rsidRDefault="00897E88" w:rsidP="00897E88">
      <w:pPr>
        <w:pStyle w:val="ListParagraph"/>
        <w:spacing w:line="240" w:lineRule="auto"/>
      </w:pPr>
      <w:r>
        <w:t>Abstract: A recent model for heterogeneous mortality by Vaupel et al. is shown to be based on incorrect definitions. An alternative formulation is presented. The results indicate that current methods for computing the survivorship and life expectation functions underestimate the true values. A method is given for determining the possible magnitude of this underestimation. The method is illustrated by a numerical example using U.S. data.</w:t>
      </w:r>
    </w:p>
    <w:p w:rsidR="00897E88" w:rsidRDefault="00897E88" w:rsidP="00897E88">
      <w:pPr>
        <w:pStyle w:val="ListParagraph"/>
        <w:spacing w:line="240" w:lineRule="auto"/>
      </w:pPr>
      <w:r>
        <w:t xml:space="preserve">Reference: </w:t>
      </w:r>
      <w:r>
        <w:fldChar w:fldCharType="begin"/>
      </w:r>
      <w:r>
        <w:instrText xml:space="preserve"> ADDIN ZOTERO_ITEM CSL_CITATION {"citationID":"LWkesgkA","properties":{"formattedCitation":"(26)","plainCitation":"(26)","noteIndex":0},"citationItems":[{"id":32,"uris":["http://zotero.org/users/local/XLCKbH5k/items/EUN4RNSY"],"uri":["http://zotero.org/users/local/XLCKbH5k/items/EUN4RNSY"],"itemData":{"id":32,"type":"article-journal","abstract":"A recent model for heterogeneous mortality by Vaupel et al....is shown to be based on incorrect definitions.  An alternative formulation is presented.  The results indicate that current methods for computing the survivorship and life expectation functions underestimate the true values.  A method is given for determining the possible magnitude of this underestimation.  The method is illustrated by a numerical example using U.S. data.","container-title":"Biometrical Journal. Biometrische Zeitschrift","DOI":"10.1002/bimj.4710260816","ISSN":"0323-3847","issue":"8","journalAbbreviation":"Biom J","language":"eng","note":"PMID: 12313798","page":"931-940","source":"PubMed","title":"Mortality of a heterogeneous cohort; description and implications","volume":"26","author":[{"family":"Nour","given":"E."}],"issued":{"date-parts":[["1984"]]}}}],"schema":"https://github.com/citation-style-language/schema/raw/master/csl-citation.json"} </w:instrText>
      </w:r>
      <w:r>
        <w:fldChar w:fldCharType="separate"/>
      </w:r>
      <w:r>
        <w:rPr>
          <w:rFonts w:ascii="Calibri" w:hAnsi="Calibri" w:cs="Calibri"/>
        </w:rPr>
        <w:t>(26)</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A New Approach to Estimating Life Tables with Covariates and Constructing Interval Estimates of Life Table Quantities.</w:t>
      </w:r>
    </w:p>
    <w:p w:rsidR="00897E88" w:rsidRDefault="00897E88" w:rsidP="00897E88">
      <w:pPr>
        <w:pStyle w:val="ListParagraph"/>
        <w:spacing w:line="240" w:lineRule="auto"/>
      </w:pPr>
      <w:r>
        <w:t xml:space="preserve">Abstract: Extant approaches to constructing life tables generally rely on the use of population data, and differences between groups defined by discrete characteristics are examined by disaggregating the data before estimation. When sample data are used, few researchers have attempted to include covariates directly in the process of estimation, and fewer still have attempted to construct interval estimates for state expectancies when covariates are used. In this paper, we present a Bayesian approach that is useful for producing interval estimates for </w:t>
      </w:r>
      <w:r>
        <w:lastRenderedPageBreak/>
        <w:t>single-decrement, multiple-decrement, and multistate life tables. The method involves (1) estimating a hazard or survival model using Bayesian Markov chain Monte Carlo (MCMC) methods to produce a sample from the posterior distribution for the parameters of the model; (2) generating distributions of transition probabilities for selected values of covariates using the sample of model parameters; (3) using these distributions of transition probabilities as inputs for life table construction; and (4) summarizing the distribution of life table quantities. We illustrate the method on data simulated from the Berkeley Mortality Database, data from the National Health and Nutrition Examination Survey (and follow-ups), and data from the National Long Term Care Survey, and we show how the results can be used for hypothesis testing.</w:t>
      </w:r>
    </w:p>
    <w:p w:rsidR="00897E88" w:rsidRDefault="00897E88" w:rsidP="00897E88">
      <w:pPr>
        <w:pStyle w:val="ListParagraph"/>
        <w:spacing w:line="240" w:lineRule="auto"/>
      </w:pPr>
      <w:r>
        <w:t xml:space="preserve">Reference: </w:t>
      </w:r>
      <w:r>
        <w:fldChar w:fldCharType="begin"/>
      </w:r>
      <w:r>
        <w:instrText xml:space="preserve"> ADDIN ZOTERO_ITEM CSL_CITATION {"citationID":"b8XFQWdk","properties":{"formattedCitation":"(27)","plainCitation":"(27)","noteIndex":0},"citationItems":[{"id":34,"uris":["http://zotero.org/users/local/XLCKbH5k/items/MPK8RHD5"],"uri":["http://zotero.org/users/local/XLCKbH5k/items/MPK8RHD5"],"itemData":{"id":34,"type":"article-journal","abstract":"Extant approaches to constructing life tables generally rely on the use of population data, and differences between groups defined by discrete characteristics are examined by disaggregating the data before estimation. When sample data are used, few researchers have attempted to include covariates directly in the process of estimation, and fewer still have attempted to construct interval estimates for state expectancies when covariates are used. In this paper, we present a Bayesian approach that is useful for producing interval estimates for single-decrement, multiple-decrement, and multistate life tables. The method involves (1) estimating a hazard or survival model using Bayesian Markov chain Monte Carlo (MCMC) methods to produce a sample from the posterior distribution for the parameters of the model; (2) generating distributions of transition probabilities for selected values of covariates using the sample of model parameters; (3) using these distributions of transition probabilities as inputs for life table construction; and (4) summarizing the distribution of life table quantities. We illustrate the method on data simulated from the Berkeley Mortality Database, data from the National Health and Nutrition Examination Survey (and follow-ups), and data from the National Long Term Care Survey, and we show how the results can be used for hypothesis testing.","archive":"JSTOR","container-title":"Sociological Methodology","ISSN":"0081-1750","note":"publisher: [American Sociological Association, Wiley, Sage Publications, Inc.]","page":"189-237","source":"JSTOR","title":"A New Approach to Estimating Life Tables with Covariates and Constructing Interval Estimates of Life Table Quantities","volume":"35","author":[{"family":"Lynch","given":"Scott M."},{"family":"Brown","given":"J. Scott"}],"issued":{"date-parts":[["2005"]]}}}],"schema":"https://github.com/citation-style-language/schema/raw/master/csl-citation.json"} </w:instrText>
      </w:r>
      <w:r>
        <w:fldChar w:fldCharType="separate"/>
      </w:r>
      <w:r>
        <w:rPr>
          <w:rFonts w:ascii="Calibri" w:hAnsi="Calibri" w:cs="Calibri"/>
        </w:rPr>
        <w:t>(27)</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Disaggregation of Statistical Livestock Data Using the Entropy Approach.</w:t>
      </w:r>
    </w:p>
    <w:p w:rsidR="00897E88" w:rsidRDefault="00897E88" w:rsidP="00897E88">
      <w:pPr>
        <w:pStyle w:val="ListParagraph"/>
        <w:spacing w:line="240" w:lineRule="auto"/>
      </w:pPr>
      <w:r>
        <w:t>Abstract: A process of agricultural data disaggregation is developed to address the lack of updated disaggregated data concerning main livestock categories at subregional and county level in the Alentejo Region, southern Portugal. The model developed considers that the number of livestock units is a function of the agricultural and forest occupation, and data concerning the existing agricultural and forest occupation, as well as the conversion of livestock numbers into normal heads, are needed in order to find this relation. The weight of each livestock class is estimated using a dynamic process based on a generalized maximum entropy model and on a crossentropy minimization model, which comprises two stages. The model was applied to the county of Castelo de Vide and their results were validated in cross reference to real data from different sources.</w:t>
      </w:r>
    </w:p>
    <w:p w:rsidR="00897E88" w:rsidRDefault="00897E88" w:rsidP="00897E88">
      <w:pPr>
        <w:pStyle w:val="ListParagraph"/>
        <w:spacing w:line="240" w:lineRule="auto"/>
      </w:pPr>
      <w:r>
        <w:t xml:space="preserve">Reference: </w:t>
      </w:r>
      <w:r>
        <w:fldChar w:fldCharType="begin"/>
      </w:r>
      <w:r>
        <w:instrText xml:space="preserve"> ADDIN ZOTERO_ITEM CSL_CITATION {"citationID":"Kpu2rNFK","properties":{"formattedCitation":"(28)","plainCitation":"(28)","noteIndex":0},"citationItems":[{"id":36,"uris":["http://zotero.org/users/local/XLCKbH5k/items/JHPVU5QH"],"uri":["http://zotero.org/users/local/XLCKbH5k/items/JHPVU5QH"],"itemData":{"id":36,"type":"article-journal","abstract":"A process of agricultural data disaggregation is developed to address the lack of updated disaggregated data concerning main livestock categories at subregional and county level in the Alentejo Region, southern Portugal. The model developed considers that the number of livestock units is a function of the agricultural and forest occupation, and data concerning the existing agricultural and forest occupation, as well as the conversion of livestock numbers into normal heads, are needed in order to find this relation. The weight of each livestock class is estimated using a dynamic process based on a generalized maximum entropy model and on a crossentropy minimization model, which comprises two stages. The model was applied to the county of Castelo de Vide and their results were validated in cross reference to real data from different sources.","container-title":"Advances in Operations Research","DOI":"10.1155/2014/397675","ISSN":"1687-9147, 1687-9155","journalAbbreviation":"Advances in Operations Research","language":"en","page":"1-9","source":"DOI.org (Crossref)","title":"Disaggregation of Statistical Livestock Data Using the Entropy Approach","volume":"2014","author":[{"family":"Xavier","given":"António"},{"family":"Costa Freitas","given":"Maria de Belém"},{"family":"Fragoso","given":"Rui"}],"issued":{"date-parts":[["2014"]]}}}],"schema":"https://github.com/citation-style-language/schema/raw/master/csl-citation.json"} </w:instrText>
      </w:r>
      <w:r>
        <w:fldChar w:fldCharType="separate"/>
      </w:r>
      <w:r>
        <w:rPr>
          <w:rFonts w:ascii="Calibri" w:hAnsi="Calibri" w:cs="Calibri"/>
        </w:rPr>
        <w:t>(28)</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Life table methods for heterogeneous populations: distributions describing the heterogeneity.</w:t>
      </w:r>
    </w:p>
    <w:p w:rsidR="00897E88" w:rsidRDefault="00897E88" w:rsidP="00897E88">
      <w:pPr>
        <w:pStyle w:val="ListParagraph"/>
        <w:spacing w:line="240" w:lineRule="auto"/>
      </w:pPr>
      <w:r>
        <w:t>Abstract: Taking account of heterogeneity between the individuals in population based mortality studies is important. A systematic way of describing heterogeneity is by an unobserved quantity called frailty, entering the hazard multiplicatively. Until now most studies have used a gamma distributed frailty, which is mathematically convenient; for example, the distribution among survivors is also gamma. This paper shows that several other distributions have equally simple properties, the main example being the inverse Gaussian distribution. Consequences of the different distributions are examined; the inverse Gaussian makes the population homogeneous with time, whereas for the gamma the relative heterogeneity is constant.</w:t>
      </w:r>
    </w:p>
    <w:p w:rsidR="00897E88" w:rsidRDefault="00897E88" w:rsidP="00897E88">
      <w:pPr>
        <w:pStyle w:val="ListParagraph"/>
        <w:spacing w:line="240" w:lineRule="auto"/>
      </w:pPr>
      <w:r>
        <w:t xml:space="preserve">Reference: </w:t>
      </w:r>
      <w:r>
        <w:fldChar w:fldCharType="begin"/>
      </w:r>
      <w:r>
        <w:instrText xml:space="preserve"> ADDIN ZOTERO_ITEM CSL_CITATION {"citationID":"YQBpZUZk","properties":{"formattedCitation":"(29)","plainCitation":"(29)","noteIndex":0},"citationItems":[{"id":39,"uris":["http://zotero.org/users/local/XLCKbH5k/items/2XRN77V6"],"uri":["http://zotero.org/users/local/XLCKbH5k/items/2XRN77V6"],"itemData":{"id":39,"type":"article-journal","abstract":"Taking account of heterogeneity between the individuals in population based mortality studies is important. A systematic way of describing heterogeneity is by an unobserved quantity called frailty, entering the hazard multiplicatively. Until now most studies have used a gamma distributed frailty, which is mathematically convenient; for example, the distribution among survivors is also gamma. This paper shows that several other distributions have equally simple properties, the main example being the inverse Gaussian distribution. Consequences of the different distributions are examined; the inverse Gaussian makes the population homogeneous with time, whereas for the gamma the relative heterogeneity is constant.","container-title":"Biometrika","issue":"1","note":"publisher: Oxford University Press","page":"75–83","source":"Google Scholar","title":"Life table methods for heterogeneous populations: distributions describing the heterogeneity","title-short":"Life table methods for heterogeneous populations","volume":"71","author":[{"family":"Hougaard","given":"Philip"}],"issued":{"date-parts":[["1984"]]}}}],"schema":"https://github.com/citation-style-language/schema/raw/master/csl-citation.json"} </w:instrText>
      </w:r>
      <w:r>
        <w:fldChar w:fldCharType="separate"/>
      </w:r>
      <w:r>
        <w:rPr>
          <w:rFonts w:ascii="Calibri" w:hAnsi="Calibri" w:cs="Calibri"/>
        </w:rPr>
        <w:t>(29)</w:t>
      </w:r>
      <w:r>
        <w:fldChar w:fldCharType="end"/>
      </w:r>
    </w:p>
    <w:p w:rsidR="00897E88" w:rsidRDefault="00897E88" w:rsidP="00897E88">
      <w:pPr>
        <w:pStyle w:val="ListParagraph"/>
        <w:spacing w:line="240" w:lineRule="auto"/>
      </w:pPr>
    </w:p>
    <w:p w:rsidR="00897E88" w:rsidRDefault="00897E88" w:rsidP="00897E88">
      <w:pPr>
        <w:pStyle w:val="ListParagraph"/>
        <w:numPr>
          <w:ilvl w:val="0"/>
          <w:numId w:val="12"/>
        </w:numPr>
        <w:spacing w:line="240" w:lineRule="auto"/>
        <w:rPr>
          <w:b/>
          <w:bCs/>
        </w:rPr>
      </w:pPr>
      <w:r>
        <w:rPr>
          <w:b/>
          <w:bCs/>
        </w:rPr>
        <w:t>Title: Obtaining Multistate Life Table Distributions for Highly Refined Subpopulations From Cross-Sectional Data: A Bayesian Extension of Sullivan’s Method.</w:t>
      </w:r>
    </w:p>
    <w:p w:rsidR="00897E88" w:rsidRDefault="00897E88" w:rsidP="00897E88">
      <w:pPr>
        <w:pStyle w:val="ListParagraph"/>
        <w:spacing w:line="240" w:lineRule="auto"/>
      </w:pPr>
      <w:r>
        <w:t xml:space="preserve">Abstract: Multistate life table methods are often used to estimate the proportion of remaining life that individuals can expect to spend in various states, such as healthy and unhealthy states. Sullivan’s method is commonly used when panels containing data on transitions are unavailable and true multistate tables cannot be generated. Sullivan’s method requires only cross-sectional mortality data and cross-sectional data indicating prevalence in states of interest. Such data often come from sample surveys, which are widely available. Although the data requirements for Sullivan’s method are minimal, the method is limited in its ability to produce estimates for subpopulations because of limited disaggregation of data in cross-sectional mortality files and small cell sizes in aggregated survey data. In this article, we develop, test, and demonstrate a method that adapts Sullivan’s approach to allow the inclusion of covariates in producing interval </w:t>
      </w:r>
      <w:r>
        <w:lastRenderedPageBreak/>
        <w:t>estimates of state expectancies for any desired subpopulation that can be specified in the cross-sectional prevalence data. The method involves a three-step process: (1) using Gibbs sampling to sample parameters from a bivariate regression model; (2) using ecological inference for producing transition probability matrices from the Gibbs samples; (3) using standard multistate calculations to convert the transition probability matrices into multistate life tables.</w:t>
      </w:r>
    </w:p>
    <w:p w:rsidR="00897E88" w:rsidRDefault="00897E88" w:rsidP="00897E88">
      <w:pPr>
        <w:pStyle w:val="ListParagraph"/>
        <w:spacing w:line="240" w:lineRule="auto"/>
      </w:pPr>
      <w:r>
        <w:t xml:space="preserve">Reference: </w:t>
      </w:r>
      <w:r>
        <w:fldChar w:fldCharType="begin"/>
      </w:r>
      <w:r>
        <w:instrText xml:space="preserve"> ADDIN ZOTERO_ITEM CSL_CITATION {"citationID":"azuX7kn4","properties":{"formattedCitation":"(10)","plainCitation":"(10)","noteIndex":0},"citationItems":[{"id":109,"uris":["http://zotero.org/users/local/XLCKbH5k/items/YKL87XPW"],"uri":["http://zotero.org/users/local/XLCKbH5k/items/YKL87XPW"],"itemData":{"id":109,"type":"article-journal","abstract":"Multistate life table methods are often used to estimate the proportion of remaining life that individuals can expect to spend in various states, such as healthy and unhealthy states. Sullivan’s method is commonly used when panels containing data on transitions are unavailable and true multistate tables cannot be generated. Sullivan’s method requires only cross-sectional mortality data and cross-sectional data indicating prevalence in states of interest. Such data often come from sample surveys, which are widely available. Although the data requirements for Sullivan’s method are minimal, the method is limited in its ability to produce estimates for subpopulations because of limited disaggregation of data in cross-sectional mortality files and small cell sizes in aggregated survey data. In this article, we develop, test, and demonstrate a method that adapts Sullivan’s approach to allow the inclusion of covariates in producing interval estimates of state expectancies for any desired subpopulation that can be specified in the cross-sectional prevalence data. The method involves a three-step process: (1) using Gibbs sampling to sample parameters from a bivariate regression model; (2) using ecological inference for producing transition probability matrices from the Gibbs samples; (3) using standard multistate calculations to convert the transition probability matrices into multistate life tables.","container-title":"Demography","ISSN":"0070-3370","issue":"4","journalAbbreviation":"Demography","note":"PMID: 21308570\nPMCID: PMC3000035","page":"1053-1077","source":"PubMed Central","title":"Obtaining Multistate Life Table Distributions for Highly Refined Subpopulations From Cross-Sectional Data: A Bayesian Extension of Sullivan’s Method","title-short":"Obtaining Multistate Life Table Distributions for Highly Refined Subpopulations From Cross-Sectional Data","volume":"47","author":[{"family":"Lynch","given":"Scott M"},{"family":"Brown","given":"J. Scott"}],"issued":{"date-parts":[["2010",11]]}}}],"schema":"https://github.com/citation-style-language/schema/raw/master/csl-citation.json"} </w:instrText>
      </w:r>
      <w:r>
        <w:fldChar w:fldCharType="separate"/>
      </w:r>
      <w:r>
        <w:rPr>
          <w:rFonts w:ascii="Calibri" w:hAnsi="Calibri" w:cs="Calibri"/>
        </w:rPr>
        <w:t>(10)</w:t>
      </w:r>
      <w:r>
        <w:fldChar w:fldCharType="end"/>
      </w:r>
    </w:p>
    <w:p w:rsidR="00897E88" w:rsidRDefault="00897E88" w:rsidP="00897E88">
      <w:pPr>
        <w:pStyle w:val="ListParagraph"/>
        <w:spacing w:line="240" w:lineRule="auto"/>
        <w:rPr>
          <w:b/>
          <w:bCs/>
        </w:rPr>
      </w:pPr>
    </w:p>
    <w:p w:rsidR="00897E88" w:rsidRDefault="00897E88" w:rsidP="00897E88">
      <w:pPr>
        <w:pStyle w:val="ListParagraph"/>
        <w:numPr>
          <w:ilvl w:val="0"/>
          <w:numId w:val="12"/>
        </w:numPr>
        <w:spacing w:line="240" w:lineRule="auto"/>
        <w:rPr>
          <w:b/>
          <w:bCs/>
        </w:rPr>
      </w:pPr>
      <w:r>
        <w:rPr>
          <w:b/>
          <w:bCs/>
        </w:rPr>
        <w:t>Title: On the heterogeneity of human populations as reflected by mortality dynamics.</w:t>
      </w:r>
    </w:p>
    <w:p w:rsidR="00897E88" w:rsidRDefault="00897E88" w:rsidP="00897E88">
      <w:pPr>
        <w:pStyle w:val="ListParagraph"/>
        <w:spacing w:line="240" w:lineRule="auto"/>
      </w:pPr>
      <w:r>
        <w:t>Abstract: The heterogeneity of populations is used to explain the variability of mortality rates across the lifespan and their deviations from an exponential growth at young and very old ages. A mathematical model that combines the heterogeneity with the assumption that the mortality of each constituent subpopulation increases exponentially with age, has been shown to successfully reproduce the entire mortality pattern across the lifespan and its evolution over time. In this work we aim to show that the heterogeneity is not only a convenient consideration for fitting mortality data but is indeed the actual structure of the population as reflected by the mortality dynamics over age and time. In particular, we show that the model of heterogeneous population fits mortality data better than other commonly used mortality models. This was demonstrated using cohort data taken for the entire lifespan as well as for only old ages. Also, we show that the model can reproduce seemingly contradicting observations in late-life mortality dynamics. Finally, we show that the homogenisation of a population, observed by fitting the model to actual data of consecutive periods, can be associated with the evolution of allele frequencies if the heterogeneity is assumed to reflect the genetic variations within the population.</w:t>
      </w:r>
    </w:p>
    <w:p w:rsidR="00897E88" w:rsidRDefault="00897E88" w:rsidP="00897E88">
      <w:pPr>
        <w:pStyle w:val="ListParagraph"/>
        <w:spacing w:line="240" w:lineRule="auto"/>
      </w:pPr>
      <w:r>
        <w:t xml:space="preserve">Reference: </w:t>
      </w:r>
      <w:r>
        <w:fldChar w:fldCharType="begin"/>
      </w:r>
      <w:r>
        <w:instrText xml:space="preserve"> ADDIN ZOTERO_ITEM CSL_CITATION {"citationID":"Oen5GeCn","properties":{"formattedCitation":"(30)","plainCitation":"(30)","noteIndex":0},"citationItems":[{"id":44,"uris":["http://zotero.org/users/local/XLCKbH5k/items/29UDKYV4"],"uri":["http://zotero.org/users/local/XLCKbH5k/items/29UDKYV4"],"itemData":{"id":44,"type":"article-journal","abstract":"The heterogeneity of populations is used to explain the variability of mortality rates across the lifespan and their deviations from an exponential growth at young and very old ages. A mathematical model that combines the heterogeneity with the assumption that the mortality of each constituent subpopulation increases exponentially with age, has been shown to successfully reproduce the entire mortality pattern across the lifespan and its evolution over time. In this work we aim to show that the heterogeneity is not only a convenient consideration for fitting mortality data but is indeed the actual structure of the population as reflected by the mortality dynamics over age and time. In particular, we show that the model of heterogeneous population fits mortality data better than other commonly used mortality models. This was demonstrated using cohort data taken for the entire lifespan as well as for only old ages. Also, we show that the model can reproduce seemingly contradicting observations in late-life mortality dynamics. Finally, we show that the homogenisation of a population, observed by fitting the model to actual data of consecutive periods, can be associated with the evolution of allele frequencies if the heterogeneity is assumed to reflect the genetic variations within the population.","container-title":"Aging (Albany NY)","DOI":"10.18632/aging.101112","ISSN":"1945-4589","issue":"11","journalAbbreviation":"Aging (Albany NY)","note":"PMID: 27875807\nPMCID: PMC5191885","page":"3045-3064","source":"PubMed Central","title":"On the heterogeneity of human populations as reflected by mortality dynamics","volume":"8","author":[{"family":"Avraam","given":"Demetris"},{"family":"Arnold","given":"Séverine"},{"family":"Vasieva","given":"Olga"},{"family":"Vasiev","given":"Bakhtier"}],"issued":{"date-parts":[["2016",11,22]]}}}],"schema":"https://github.com/citation-style-language/schema/raw/master/csl-citation.json"} </w:instrText>
      </w:r>
      <w:r>
        <w:fldChar w:fldCharType="separate"/>
      </w:r>
      <w:r>
        <w:rPr>
          <w:rFonts w:ascii="Calibri" w:hAnsi="Calibri" w:cs="Calibri"/>
        </w:rPr>
        <w:t>(30)</w:t>
      </w:r>
      <w:r>
        <w:fldChar w:fldCharType="end"/>
      </w:r>
    </w:p>
    <w:p w:rsidR="00897E88" w:rsidRDefault="00897E88" w:rsidP="00897E88">
      <w:pPr>
        <w:spacing w:line="240" w:lineRule="auto"/>
      </w:pPr>
      <w:r>
        <w:br w:type="page"/>
      </w:r>
    </w:p>
    <w:p w:rsidR="00897E88" w:rsidRDefault="00897E88" w:rsidP="00897E88">
      <w:pPr>
        <w:pStyle w:val="Heading1"/>
      </w:pPr>
      <w:r>
        <w:lastRenderedPageBreak/>
        <w:t>Appendix 2: Disaggregation Details</w:t>
      </w:r>
    </w:p>
    <w:p w:rsidR="00897E88" w:rsidRDefault="00897E88" w:rsidP="00897E88">
      <w:pPr>
        <w:spacing w:line="240" w:lineRule="auto"/>
      </w:pPr>
      <w:r>
        <w:t xml:space="preserve">Given mortality rate ratios  </w:t>
      </w:r>
      <m:oMath>
        <m:sSubSup>
          <m:sSubSupPr>
            <m:ctrlPr>
              <w:rPr>
                <w:rFonts w:ascii="Cambria Math" w:hAnsi="Cambria Math"/>
                <w:i/>
              </w:rPr>
            </m:ctrlPr>
          </m:sSubSupPr>
          <m:e>
            <m:r>
              <w:rPr>
                <w:rFonts w:ascii="Cambria Math" w:hAnsi="Cambria Math"/>
              </w:rPr>
              <m:t>r</m:t>
            </m:r>
          </m:e>
          <m:sub>
            <m:r>
              <w:rPr>
                <w:rFonts w:ascii="Cambria Math" w:hAnsi="Cambria Math"/>
              </w:rPr>
              <m:t>1,t</m:t>
            </m:r>
          </m:sub>
          <m:sup>
            <m:r>
              <m:rPr>
                <m:nor/>
              </m:rPr>
              <w:rPr>
                <w:rFonts w:ascii="Cambria Math" w:hAnsi="Cambria Math"/>
              </w:rPr>
              <m:t>mort</m:t>
            </m:r>
          </m:sup>
        </m:sSubSup>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n,t</m:t>
            </m:r>
          </m:sub>
          <m:sup>
            <m:r>
              <m:rPr>
                <m:nor/>
              </m:rPr>
              <w:rPr>
                <w:rFonts w:ascii="Cambria Math" w:hAnsi="Cambria Math"/>
              </w:rPr>
              <m:t>mort</m:t>
            </m:r>
          </m:sup>
        </m:sSubSup>
      </m:oMath>
      <w:r>
        <w:t xml:space="preserve"> for timestep </w:t>
      </w:r>
      <m:oMath>
        <m:r>
          <w:rPr>
            <w:rFonts w:ascii="Cambria Math" w:hAnsi="Cambria Math"/>
          </w:rPr>
          <m:t>t</m:t>
        </m:r>
      </m:oMath>
      <w:r>
        <w:t xml:space="preserve"> with </w:t>
      </w:r>
      <m:oMath>
        <m:sSub>
          <m:sSubPr>
            <m:ctrlPr>
              <w:rPr>
                <w:rFonts w:ascii="Cambria Math" w:hAnsi="Cambria Math"/>
                <w:i/>
              </w:rPr>
            </m:ctrlPr>
          </m:sSubPr>
          <m:e>
            <m:r>
              <w:rPr>
                <w:rFonts w:ascii="Cambria Math" w:hAnsi="Cambria Math"/>
              </w:rPr>
              <m:t>m</m:t>
            </m:r>
          </m:e>
          <m:sub>
            <m:r>
              <w:rPr>
                <w:rFonts w:ascii="Cambria Math" w:hAnsi="Cambria Math"/>
              </w:rPr>
              <m:t>k,t</m:t>
            </m:r>
          </m:sub>
        </m:sSub>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r>
              <w:rPr>
                <w:rFonts w:ascii="Cambria Math" w:hAnsi="Cambria Math"/>
              </w:rPr>
              <m:t>m</m:t>
            </m:r>
          </m:e>
          <m:sub>
            <m:r>
              <w:rPr>
                <w:rFonts w:ascii="Cambria Math" w:hAnsi="Cambria Math"/>
              </w:rPr>
              <m:t>1,t</m:t>
            </m:r>
          </m:sub>
        </m:sSub>
      </m:oMath>
      <w:r>
        <w:t xml:space="preserve"> for each sub-population </w:t>
      </w:r>
      <m:oMath>
        <m:r>
          <w:rPr>
            <w:rFonts w:ascii="Cambria Math" w:hAnsi="Cambria Math"/>
          </w:rPr>
          <m:t>k</m:t>
        </m:r>
      </m:oMath>
      <w:r>
        <w:t xml:space="preserve">, our goal is to find sub-population mortality rates </w:t>
      </w:r>
      <m:oMath>
        <m:sSub>
          <m:sSubPr>
            <m:ctrlPr>
              <w:rPr>
                <w:rFonts w:ascii="Cambria Math" w:hAnsi="Cambria Math"/>
                <w:i/>
              </w:rPr>
            </m:ctrlPr>
          </m:sSubPr>
          <m:e>
            <m:r>
              <w:rPr>
                <w:rFonts w:ascii="Cambria Math" w:hAnsi="Cambria Math"/>
              </w:rPr>
              <m:t>m</m:t>
            </m:r>
          </m:e>
          <m:sub>
            <m:r>
              <w:rPr>
                <w:rFonts w:ascii="Cambria Math" w:hAnsi="Cambria Math"/>
              </w:rPr>
              <m:t>k,t</m:t>
            </m:r>
          </m:sub>
        </m:sSub>
      </m:oMath>
      <w:r>
        <w:t xml:space="preserve"> such that: </w:t>
      </w:r>
    </w:p>
    <w:p w:rsidR="00897E88" w:rsidRDefault="00897E88" w:rsidP="00897E88">
      <w:pPr>
        <w:spacing w:line="240" w:lineRule="auto"/>
      </w:pPr>
      <m:oMathPara>
        <m:oMath>
          <m:sSub>
            <m:sSubPr>
              <m:ctrlPr>
                <w:rPr>
                  <w:rFonts w:ascii="Cambria Math" w:hAnsi="Cambria Math"/>
                  <w:i/>
                </w:rPr>
              </m:ctrlPr>
            </m:sSubPr>
            <m:e>
              <m:r>
                <w:rPr>
                  <w:rFonts w:ascii="Cambria Math" w:hAnsi="Cambria Math"/>
                </w:rPr>
                <m:t>A</m:t>
              </m:r>
            </m:e>
            <m:sub>
              <m:r>
                <w:rPr>
                  <w:rFonts w:ascii="Cambria Math" w:hAnsi="Cambria Math"/>
                </w:rPr>
                <m:t>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t</m:t>
                  </m:r>
                </m:sub>
              </m:sSub>
            </m:sup>
          </m:s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k,t</m:t>
                      </m:r>
                    </m:sub>
                  </m:sSub>
                </m:sup>
              </m:sSup>
              <m:r>
                <w:rPr>
                  <w:rFonts w:ascii="Cambria Math" w:hAnsi="Cambria Math"/>
                </w:rPr>
                <m:t xml:space="preserve"> </m:t>
              </m:r>
            </m:e>
          </m:nary>
        </m:oMath>
      </m:oMathPara>
    </w:p>
    <w:p w:rsidR="00897E88" w:rsidRDefault="00897E88" w:rsidP="00897E88">
      <w:pPr>
        <w:spacing w:line="240" w:lineRule="auto"/>
      </w:pPr>
      <w:r>
        <w:t xml:space="preserve">for each timestep </w:t>
      </w:r>
      <m:oMath>
        <m:r>
          <w:rPr>
            <w:rFonts w:ascii="Cambria Math" w:hAnsi="Cambria Math"/>
          </w:rPr>
          <m:t>t</m:t>
        </m:r>
      </m:oMath>
      <w:r>
        <w:t xml:space="preserve">. By substituting </w:t>
      </w:r>
      <m:oMath>
        <m:sSub>
          <m:sSubPr>
            <m:ctrlPr>
              <w:rPr>
                <w:rFonts w:ascii="Cambria Math" w:hAnsi="Cambria Math"/>
                <w:i/>
              </w:rPr>
            </m:ctrlPr>
          </m:sSubPr>
          <m:e>
            <m:r>
              <w:rPr>
                <w:rFonts w:ascii="Cambria Math" w:hAnsi="Cambria Math"/>
              </w:rPr>
              <m:t>m</m:t>
            </m:r>
          </m:e>
          <m:sub>
            <m:r>
              <w:rPr>
                <w:rFonts w:ascii="Cambria Math" w:hAnsi="Cambria Math"/>
              </w:rPr>
              <m:t>k,t</m:t>
            </m:r>
          </m:sub>
        </m:sSub>
        <m:r>
          <w:rPr>
            <w:rFonts w:ascii="Cambria Math" w:hAnsi="Cambria Math"/>
          </w:rPr>
          <m:t>=</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r>
              <w:rPr>
                <w:rFonts w:ascii="Cambria Math" w:hAnsi="Cambria Math"/>
              </w:rPr>
              <m:t>m</m:t>
            </m:r>
          </m:e>
          <m:sub>
            <m:r>
              <w:rPr>
                <w:rFonts w:ascii="Cambria Math" w:hAnsi="Cambria Math"/>
              </w:rPr>
              <m:t>1,t</m:t>
            </m:r>
          </m:sub>
        </m:sSub>
      </m:oMath>
      <w:r>
        <w:t xml:space="preserve"> into the constraint, we obtain the equation:</w:t>
      </w:r>
    </w:p>
    <w:p w:rsidR="00897E88" w:rsidRDefault="00897E88" w:rsidP="00897E88">
      <w:pPr>
        <w:spacing w:line="240" w:lineRule="auto"/>
      </w:pPr>
      <m:oMathPara>
        <m:oMath>
          <m:sSub>
            <m:sSubPr>
              <m:ctrlPr>
                <w:rPr>
                  <w:rFonts w:ascii="Cambria Math" w:hAnsi="Cambria Math"/>
                  <w:i/>
                </w:rPr>
              </m:ctrlPr>
            </m:sSubPr>
            <m:e>
              <m:r>
                <w:rPr>
                  <w:rFonts w:ascii="Cambria Math" w:hAnsi="Cambria Math"/>
                </w:rPr>
                <m:t>A</m:t>
              </m:r>
            </m:e>
            <m:sub>
              <m:r>
                <w:rPr>
                  <w:rFonts w:ascii="Cambria Math" w:hAnsi="Cambria Math"/>
                </w:rPr>
                <m:t>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t</m:t>
                  </m:r>
                </m:sub>
              </m:sSub>
            </m:sup>
          </m:s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r>
                        <w:rPr>
                          <w:rFonts w:ascii="Cambria Math" w:hAnsi="Cambria Math"/>
                        </w:rPr>
                        <m:t>m</m:t>
                      </m:r>
                    </m:e>
                    <m:sub>
                      <m:r>
                        <w:rPr>
                          <w:rFonts w:ascii="Cambria Math" w:hAnsi="Cambria Math"/>
                        </w:rPr>
                        <m:t>1,t</m:t>
                      </m:r>
                    </m:sub>
                  </m:sSub>
                </m:sup>
              </m:sSup>
              <m:r>
                <w:rPr>
                  <w:rFonts w:ascii="Cambria Math" w:hAnsi="Cambria Math"/>
                </w:rPr>
                <m:t xml:space="preserve"> </m:t>
              </m:r>
            </m:e>
          </m:nary>
        </m:oMath>
      </m:oMathPara>
    </w:p>
    <w:p w:rsidR="00897E88" w:rsidRDefault="00897E88" w:rsidP="00897E88">
      <w:pPr>
        <w:spacing w:line="240" w:lineRule="auto"/>
      </w:pPr>
      <w:r>
        <w:t xml:space="preserve">Consider the constraint for the first timestep, where </w:t>
      </w:r>
      <m:oMath>
        <m:r>
          <w:rPr>
            <w:rFonts w:ascii="Cambria Math" w:hAnsi="Cambria Math"/>
          </w:rPr>
          <m:t>t=1</m:t>
        </m:r>
      </m:oMath>
      <w:r>
        <w:t>.</w:t>
      </w:r>
    </w:p>
    <w:p w:rsidR="00897E88" w:rsidRDefault="00897E88" w:rsidP="00897E88">
      <w:pPr>
        <w:spacing w:line="240" w:lineRule="auto"/>
      </w:pPr>
      <m:oMathPara>
        <m:oMath>
          <m:sSub>
            <m:sSubPr>
              <m:ctrlPr>
                <w:rPr>
                  <w:rFonts w:ascii="Cambria Math" w:hAnsi="Cambria Math"/>
                  <w:i/>
                </w:rPr>
              </m:ctrlPr>
            </m:sSubPr>
            <m:e>
              <m:r>
                <w:rPr>
                  <w:rFonts w:ascii="Cambria Math" w:hAnsi="Cambria Math"/>
                </w:rPr>
                <m:t>A</m:t>
              </m:r>
            </m:e>
            <m:sub>
              <m:r>
                <w:rPr>
                  <w:rFonts w:ascii="Cambria Math" w:hAnsi="Cambria Math"/>
                </w:rPr>
                <m:t>0</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1</m:t>
                  </m:r>
                </m:sub>
              </m:sSub>
            </m:sup>
          </m:s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k,0</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k,1</m:t>
                          </m:r>
                        </m:sub>
                        <m:sup>
                          <m:r>
                            <m:rPr>
                              <m:nor/>
                            </m:rPr>
                            <w:rPr>
                              <w:rFonts w:ascii="Cambria Math" w:hAnsi="Cambria Math"/>
                            </w:rPr>
                            <m:t>mort</m:t>
                          </m:r>
                        </m:sup>
                      </m:sSubSup>
                      <m:r>
                        <w:rPr>
                          <w:rFonts w:ascii="Cambria Math" w:hAnsi="Cambria Math"/>
                        </w:rPr>
                        <m:t>m</m:t>
                      </m:r>
                    </m:e>
                    <m:sub>
                      <m:r>
                        <w:rPr>
                          <w:rFonts w:ascii="Cambria Math" w:hAnsi="Cambria Math"/>
                        </w:rPr>
                        <m:t>1,1</m:t>
                      </m:r>
                    </m:sub>
                  </m:sSub>
                </m:sup>
              </m:sSup>
              <m:r>
                <w:rPr>
                  <w:rFonts w:ascii="Cambria Math" w:hAnsi="Cambria Math"/>
                </w:rPr>
                <m:t xml:space="preserve"> </m:t>
              </m:r>
            </m:e>
          </m:nary>
        </m:oMath>
      </m:oMathPara>
    </w:p>
    <w:p w:rsidR="00897E88" w:rsidRDefault="00897E88" w:rsidP="00897E88">
      <w:pPr>
        <w:spacing w:line="240" w:lineRule="auto"/>
      </w:pPr>
      <w:r>
        <w:t xml:space="preserve">Let </w:t>
      </w:r>
      <m:oMath>
        <m:r>
          <w:rPr>
            <w:rFonts w:ascii="Cambria Math" w:hAnsi="Cambria Math"/>
          </w:rPr>
          <m:t xml:space="preserve">x := </m:t>
        </m:r>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1,1</m:t>
                </m:r>
              </m:sub>
            </m:sSub>
          </m:sup>
        </m:sSup>
      </m:oMath>
      <w:r>
        <w:t xml:space="preserve">. If we assume that </w:t>
      </w:r>
      <m:oMath>
        <m:sSub>
          <m:sSubPr>
            <m:ctrlPr>
              <w:rPr>
                <w:rFonts w:ascii="Cambria Math" w:hAnsi="Cambria Math"/>
                <w:i/>
              </w:rPr>
            </m:ctrlPr>
          </m:sSubPr>
          <m:e>
            <m:r>
              <w:rPr>
                <w:rFonts w:ascii="Cambria Math" w:hAnsi="Cambria Math"/>
              </w:rPr>
              <m:t>m</m:t>
            </m:r>
          </m:e>
          <m:sub>
            <m:r>
              <w:rPr>
                <w:rFonts w:ascii="Cambria Math" w:hAnsi="Cambria Math"/>
              </w:rPr>
              <m:t>1,1</m:t>
            </m:r>
          </m:sub>
        </m:sSub>
        <m:r>
          <w:rPr>
            <w:rFonts w:ascii="Cambria Math" w:hAnsi="Cambria Math"/>
          </w:rPr>
          <m:t>≥0</m:t>
        </m:r>
      </m:oMath>
      <w:r>
        <w:t xml:space="preserve">, then </w:t>
      </w:r>
      <m:oMath>
        <m:r>
          <w:rPr>
            <w:rFonts w:ascii="Cambria Math" w:hAnsi="Cambria Math"/>
          </w:rPr>
          <m:t>0&lt;x ≤1</m:t>
        </m:r>
      </m:oMath>
      <w:r>
        <w:t xml:space="preserve">. By substituting </w:t>
      </w:r>
      <m:oMath>
        <m:r>
          <w:rPr>
            <w:rFonts w:ascii="Cambria Math" w:hAnsi="Cambria Math"/>
          </w:rPr>
          <m:t>x</m:t>
        </m:r>
      </m:oMath>
      <w:r>
        <w:t xml:space="preserve"> into the equation, we obtain: </w:t>
      </w:r>
    </w:p>
    <w:p w:rsidR="00897E88" w:rsidRDefault="00897E88" w:rsidP="00897E88">
      <w:pPr>
        <w:spacing w:line="240" w:lineRule="auto"/>
      </w:pPr>
      <m:oMathPara>
        <m:oMath>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k,0</m:t>
                  </m:r>
                </m:sub>
              </m:sSub>
              <m:sSup>
                <m:sSupPr>
                  <m:ctrlPr>
                    <w:rPr>
                      <w:rFonts w:ascii="Cambria Math" w:hAnsi="Cambria Math"/>
                      <w:i/>
                    </w:rPr>
                  </m:ctrlPr>
                </m:sSupPr>
                <m:e>
                  <m:r>
                    <w:rPr>
                      <w:rFonts w:ascii="Cambria Math" w:hAnsi="Cambria Math"/>
                    </w:rPr>
                    <m:t>x</m:t>
                  </m:r>
                </m:e>
                <m:sup>
                  <m:sSubSup>
                    <m:sSubSupPr>
                      <m:ctrlPr>
                        <w:rPr>
                          <w:rFonts w:ascii="Cambria Math" w:hAnsi="Cambria Math"/>
                          <w:i/>
                        </w:rPr>
                      </m:ctrlPr>
                    </m:sSubSupPr>
                    <m:e>
                      <m:r>
                        <w:rPr>
                          <w:rFonts w:ascii="Cambria Math" w:hAnsi="Cambria Math"/>
                        </w:rPr>
                        <m:t>r</m:t>
                      </m:r>
                    </m:e>
                    <m:sub>
                      <m:r>
                        <w:rPr>
                          <w:rFonts w:ascii="Cambria Math" w:hAnsi="Cambria Math"/>
                        </w:rPr>
                        <m:t>k,1</m:t>
                      </m:r>
                    </m:sub>
                    <m:sup>
                      <m:r>
                        <m:rPr>
                          <m:nor/>
                        </m:rPr>
                        <w:rPr>
                          <w:rFonts w:ascii="Cambria Math" w:hAnsi="Cambria Math"/>
                        </w:rPr>
                        <m:t>mort</m:t>
                      </m:r>
                    </m:sup>
                  </m:sSubSup>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0</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1</m:t>
                      </m:r>
                    </m:sub>
                  </m:sSub>
                </m:sup>
              </m:sSup>
              <m:r>
                <w:rPr>
                  <w:rFonts w:ascii="Cambria Math" w:hAnsi="Cambria Math"/>
                </w:rPr>
                <m:t xml:space="preserve">=0 </m:t>
              </m:r>
            </m:e>
          </m:nary>
        </m:oMath>
      </m:oMathPara>
    </w:p>
    <w:p w:rsidR="00897E88" w:rsidRDefault="00897E88" w:rsidP="00897E88">
      <w:pPr>
        <w:spacing w:line="240" w:lineRule="auto"/>
      </w:pPr>
      <w:r>
        <w:t xml:space="preserve">Let </w:t>
      </w:r>
      <m:oMath>
        <m:r>
          <w:rPr>
            <w:rFonts w:ascii="Cambria Math" w:hAnsi="Cambria Math"/>
          </w:rPr>
          <m:t xml:space="preserve">f≔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k,0</m:t>
                </m:r>
              </m:sub>
            </m:sSub>
            <m:sSup>
              <m:sSupPr>
                <m:ctrlPr>
                  <w:rPr>
                    <w:rFonts w:ascii="Cambria Math" w:hAnsi="Cambria Math"/>
                    <w:i/>
                  </w:rPr>
                </m:ctrlPr>
              </m:sSupPr>
              <m:e>
                <m:r>
                  <w:rPr>
                    <w:rFonts w:ascii="Cambria Math" w:hAnsi="Cambria Math"/>
                  </w:rPr>
                  <m:t>x</m:t>
                </m:r>
              </m:e>
              <m:sup>
                <m:sSubSup>
                  <m:sSubSupPr>
                    <m:ctrlPr>
                      <w:rPr>
                        <w:rFonts w:ascii="Cambria Math" w:hAnsi="Cambria Math"/>
                        <w:i/>
                      </w:rPr>
                    </m:ctrlPr>
                  </m:sSubSupPr>
                  <m:e>
                    <m:r>
                      <w:rPr>
                        <w:rFonts w:ascii="Cambria Math" w:hAnsi="Cambria Math"/>
                      </w:rPr>
                      <m:t>r</m:t>
                    </m:r>
                  </m:e>
                  <m:sub>
                    <m:r>
                      <w:rPr>
                        <w:rFonts w:ascii="Cambria Math" w:hAnsi="Cambria Math"/>
                      </w:rPr>
                      <m:t>k,1</m:t>
                    </m:r>
                  </m:sub>
                  <m:sup>
                    <m:r>
                      <m:rPr>
                        <m:nor/>
                      </m:rPr>
                      <w:rPr>
                        <w:rFonts w:ascii="Cambria Math" w:hAnsi="Cambria Math"/>
                      </w:rPr>
                      <m:t>mort</m:t>
                    </m:r>
                  </m:sup>
                </m:sSubSup>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0</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1</m:t>
                    </m:r>
                  </m:sub>
                </m:sSub>
              </m:sup>
            </m:sSup>
            <m:r>
              <w:rPr>
                <w:rFonts w:ascii="Cambria Math" w:hAnsi="Cambria Math"/>
              </w:rPr>
              <m:t xml:space="preserve">=0 </m:t>
            </m:r>
          </m:e>
        </m:nary>
      </m:oMath>
      <w:r>
        <w:t xml:space="preserve">. Assuming that </w:t>
      </w:r>
      <m:oMath>
        <m:sSub>
          <m:sSubPr>
            <m:ctrlPr>
              <w:rPr>
                <w:rFonts w:ascii="Cambria Math" w:hAnsi="Cambria Math"/>
                <w:i/>
              </w:rPr>
            </m:ctrlPr>
          </m:sSubPr>
          <m:e>
            <m:r>
              <w:rPr>
                <w:rFonts w:ascii="Cambria Math" w:hAnsi="Cambria Math"/>
              </w:rPr>
              <m:t>A</m:t>
            </m:r>
          </m:e>
          <m:sub>
            <m:r>
              <w:rPr>
                <w:rFonts w:ascii="Cambria Math" w:hAnsi="Cambria Math"/>
              </w:rPr>
              <m:t>k,0</m:t>
            </m:r>
          </m:sub>
        </m:sSub>
        <m:r>
          <w:rPr>
            <w:rFonts w:ascii="Cambria Math" w:hAnsi="Cambria Math"/>
          </w:rPr>
          <m:t xml:space="preserve"> ≥ 0</m:t>
        </m:r>
      </m:oMath>
      <w:r>
        <w:t xml:space="preserve"> for each </w:t>
      </w:r>
      <m:oMath>
        <m:r>
          <w:rPr>
            <w:rFonts w:ascii="Cambria Math" w:hAnsi="Cambria Math"/>
          </w:rPr>
          <m:t>k</m:t>
        </m:r>
      </m:oMath>
      <w:r>
        <w:t xml:space="preserve">, and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k,0</m:t>
                </m:r>
              </m:sub>
            </m:sSub>
            <m:r>
              <w:rPr>
                <w:rFonts w:ascii="Cambria Math" w:hAnsi="Cambria Math"/>
              </w:rPr>
              <m:t xml:space="preserve"> </m:t>
            </m:r>
          </m:e>
        </m:nary>
      </m:oMath>
      <w:r>
        <w:t xml:space="preserve">, it can be seen that </w:t>
      </w:r>
      <m:oMath>
        <m:r>
          <w:rPr>
            <w:rFonts w:ascii="Cambria Math" w:hAnsi="Cambria Math"/>
          </w:rPr>
          <m:t>f</m:t>
        </m:r>
        <m:d>
          <m:dPr>
            <m:ctrlPr>
              <w:rPr>
                <w:rFonts w:ascii="Cambria Math" w:hAnsi="Cambria Math"/>
                <w:i/>
              </w:rPr>
            </m:ctrlPr>
          </m:dPr>
          <m:e>
            <m:r>
              <w:rPr>
                <w:rFonts w:ascii="Cambria Math" w:hAnsi="Cambria Math"/>
              </w:rPr>
              <m:t>0</m:t>
            </m:r>
          </m:e>
        </m:d>
        <m:r>
          <w:rPr>
            <w:rFonts w:ascii="Cambria Math" w:hAnsi="Cambria Math"/>
          </w:rPr>
          <m:t>&lt;0</m:t>
        </m:r>
      </m:oMath>
      <w:r>
        <w:t xml:space="preserve"> and </w:t>
      </w:r>
      <m:oMath>
        <m:r>
          <w:rPr>
            <w:rFonts w:ascii="Cambria Math" w:hAnsi="Cambria Math"/>
          </w:rPr>
          <m:t>f</m:t>
        </m:r>
        <m:d>
          <m:dPr>
            <m:ctrlPr>
              <w:rPr>
                <w:rFonts w:ascii="Cambria Math" w:hAnsi="Cambria Math"/>
                <w:i/>
              </w:rPr>
            </m:ctrlPr>
          </m:dPr>
          <m:e>
            <m:r>
              <w:rPr>
                <w:rFonts w:ascii="Cambria Math" w:hAnsi="Cambria Math"/>
              </w:rPr>
              <m:t>1</m:t>
            </m:r>
          </m:e>
        </m:d>
        <m:r>
          <w:rPr>
            <w:rFonts w:ascii="Cambria Math" w:hAnsi="Cambria Math"/>
          </w:rPr>
          <m:t>≥1</m:t>
        </m:r>
      </m:oMath>
      <w:r>
        <w:t xml:space="preserve">. Since </w:t>
      </w:r>
      <m:oMath>
        <m:r>
          <w:rPr>
            <w:rFonts w:ascii="Cambria Math" w:hAnsi="Cambria Math"/>
          </w:rPr>
          <m:t>f</m:t>
        </m:r>
      </m:oMath>
      <w:r>
        <w:t xml:space="preserve"> is monotonically increasing in the interval </w:t>
      </w:r>
      <m:oMath>
        <m:r>
          <w:rPr>
            <w:rFonts w:ascii="Cambria Math" w:hAnsi="Cambria Math"/>
          </w:rPr>
          <m:t>(0, 1],</m:t>
        </m:r>
      </m:oMath>
      <w:r>
        <w:t xml:space="preserve"> this implies that </w:t>
      </w:r>
      <m:oMath>
        <m:r>
          <w:rPr>
            <w:rFonts w:ascii="Cambria Math" w:hAnsi="Cambria Math"/>
          </w:rPr>
          <m:t>f</m:t>
        </m:r>
      </m:oMath>
      <w:r>
        <w:t xml:space="preserve"> has a unique root for </w:t>
      </w:r>
      <m:oMath>
        <m:r>
          <w:rPr>
            <w:rFonts w:ascii="Cambria Math" w:hAnsi="Cambria Math"/>
          </w:rPr>
          <m:t>x ∈</m:t>
        </m:r>
        <m:d>
          <m:dPr>
            <m:endChr m:val="]"/>
            <m:ctrlPr>
              <w:rPr>
                <w:rFonts w:ascii="Cambria Math" w:hAnsi="Cambria Math"/>
                <w:i/>
              </w:rPr>
            </m:ctrlPr>
          </m:dPr>
          <m:e>
            <m:r>
              <w:rPr>
                <w:rFonts w:ascii="Cambria Math" w:hAnsi="Cambria Math"/>
              </w:rPr>
              <m:t>0, 1</m:t>
            </m:r>
          </m:e>
        </m:d>
        <m:r>
          <w:rPr>
            <w:rFonts w:ascii="Cambria Math" w:hAnsi="Cambria Math"/>
          </w:rPr>
          <m:t>.</m:t>
        </m:r>
      </m:oMath>
      <w:r>
        <w:t xml:space="preserve"> Let </w:t>
      </w:r>
      <m:oMath>
        <m:r>
          <w:rPr>
            <w:rFonts w:ascii="Cambria Math" w:hAnsi="Cambria Math"/>
          </w:rPr>
          <m:t>x'</m:t>
        </m:r>
      </m:oMath>
      <w:r>
        <w:t xml:space="preserve"> be the unique root for </w:t>
      </w:r>
      <m:oMath>
        <m:r>
          <w:rPr>
            <w:rFonts w:ascii="Cambria Math" w:hAnsi="Cambria Math"/>
          </w:rPr>
          <m:t>f</m:t>
        </m:r>
      </m:oMath>
      <w:r>
        <w:t xml:space="preserve"> in the interval </w:t>
      </w:r>
      <m:oMath>
        <m:d>
          <m:dPr>
            <m:endChr m:val="]"/>
            <m:ctrlPr>
              <w:rPr>
                <w:rFonts w:ascii="Cambria Math" w:hAnsi="Cambria Math"/>
                <w:i/>
              </w:rPr>
            </m:ctrlPr>
          </m:dPr>
          <m:e>
            <m:r>
              <w:rPr>
                <w:rFonts w:ascii="Cambria Math" w:hAnsi="Cambria Math"/>
              </w:rPr>
              <m:t>0, 1</m:t>
            </m:r>
          </m:e>
        </m:d>
        <m:r>
          <w:rPr>
            <w:rFonts w:ascii="Cambria Math" w:hAnsi="Cambria Math"/>
          </w:rPr>
          <m:t>.</m:t>
        </m:r>
      </m:oMath>
      <w:r>
        <w:t xml:space="preserve"> Then </w:t>
      </w:r>
      <m:oMath>
        <m:sSub>
          <m:sSubPr>
            <m:ctrlPr>
              <w:rPr>
                <w:rFonts w:ascii="Cambria Math" w:hAnsi="Cambria Math"/>
                <w:i/>
              </w:rPr>
            </m:ctrlPr>
          </m:sSubPr>
          <m:e>
            <m:r>
              <w:rPr>
                <w:rFonts w:ascii="Cambria Math" w:hAnsi="Cambria Math"/>
              </w:rPr>
              <m:t>m'</m:t>
            </m:r>
          </m:e>
          <m:sub>
            <m:r>
              <w:rPr>
                <w:rFonts w:ascii="Cambria Math" w:hAnsi="Cambria Math"/>
              </w:rPr>
              <m:t>1,1</m:t>
            </m:r>
          </m:sub>
        </m:sSub>
        <m:r>
          <w:rPr>
            <w:rFonts w:ascii="Cambria Math" w:hAnsi="Cambria Math"/>
          </w:rPr>
          <m:t>≔ -</m:t>
        </m:r>
        <m:func>
          <m:funcPr>
            <m:ctrlPr>
              <w:rPr>
                <w:rFonts w:ascii="Cambria Math" w:hAnsi="Cambria Math"/>
                <w:i/>
              </w:rPr>
            </m:ctrlPr>
          </m:funcPr>
          <m:fName>
            <m:r>
              <m:rPr>
                <m:sty m:val="p"/>
              </m:rPr>
              <w:rPr>
                <w:rFonts w:ascii="Cambria Math" w:hAnsi="Cambria Math"/>
              </w:rPr>
              <m:t>log</m:t>
            </m:r>
          </m:fName>
          <m:e>
            <m:r>
              <w:rPr>
                <w:rFonts w:ascii="Cambria Math" w:hAnsi="Cambria Math"/>
              </w:rPr>
              <m:t>(x')</m:t>
            </m:r>
          </m:e>
        </m:func>
      </m:oMath>
      <w:r>
        <w:t xml:space="preserve"> is the unique rate in the interval </w:t>
      </w:r>
      <m:oMath>
        <m:r>
          <w:rPr>
            <w:rFonts w:ascii="Cambria Math" w:hAnsi="Cambria Math"/>
          </w:rPr>
          <m:t>[0, ∞)</m:t>
        </m:r>
      </m:oMath>
      <w:r>
        <w:t xml:space="preserve"> that satisfies the constraint. By using the rate ratios, we can obtain mortality rates for each sub-population at time </w:t>
      </w:r>
      <m:oMath>
        <m:r>
          <w:rPr>
            <w:rFonts w:ascii="Cambria Math" w:hAnsi="Cambria Math"/>
          </w:rPr>
          <m:t>t = 1</m:t>
        </m:r>
      </m:oMath>
      <w:r>
        <w:t xml:space="preserve"> in terms of </w:t>
      </w:r>
      <m:oMath>
        <m:sSub>
          <m:sSubPr>
            <m:ctrlPr>
              <w:rPr>
                <w:rFonts w:ascii="Cambria Math" w:hAnsi="Cambria Math"/>
                <w:i/>
              </w:rPr>
            </m:ctrlPr>
          </m:sSubPr>
          <m:e>
            <m:r>
              <w:rPr>
                <w:rFonts w:ascii="Cambria Math" w:hAnsi="Cambria Math"/>
              </w:rPr>
              <m:t>m'</m:t>
            </m:r>
          </m:e>
          <m:sub>
            <m:r>
              <w:rPr>
                <w:rFonts w:ascii="Cambria Math" w:hAnsi="Cambria Math"/>
              </w:rPr>
              <m:t>1,1</m:t>
            </m:r>
          </m:sub>
        </m:sSub>
      </m:oMath>
      <w:r>
        <w:t xml:space="preserve"> such that the sub-population quantities for the alive compartment are consistent with the aggregate population at </w:t>
      </w:r>
      <m:oMath>
        <m:r>
          <w:rPr>
            <w:rFonts w:ascii="Cambria Math" w:hAnsi="Cambria Math"/>
          </w:rPr>
          <m:t>t = 1</m:t>
        </m:r>
      </m:oMath>
      <w:r>
        <w:t xml:space="preserve">. In order to obtain a value for </w:t>
      </w:r>
      <m:oMath>
        <m:r>
          <w:rPr>
            <w:rFonts w:ascii="Cambria Math" w:hAnsi="Cambria Math"/>
          </w:rPr>
          <m:t>x'</m:t>
        </m:r>
      </m:oMath>
      <w:r>
        <w:t xml:space="preserve">, one can use one of several root finding methods to obtain a root for </w:t>
      </w:r>
      <m:oMath>
        <m:r>
          <w:rPr>
            <w:rFonts w:ascii="Cambria Math" w:hAnsi="Cambria Math"/>
          </w:rPr>
          <m:t>f(x)</m:t>
        </m:r>
      </m:oMath>
      <w:r>
        <w:t xml:space="preserve"> in the interval </w:t>
      </w:r>
      <m:oMath>
        <m:d>
          <m:dPr>
            <m:endChr m:val="]"/>
            <m:ctrlPr>
              <w:rPr>
                <w:rFonts w:ascii="Cambria Math" w:hAnsi="Cambria Math"/>
                <w:i/>
              </w:rPr>
            </m:ctrlPr>
          </m:dPr>
          <m:e>
            <m:r>
              <w:rPr>
                <w:rFonts w:ascii="Cambria Math" w:hAnsi="Cambria Math"/>
              </w:rPr>
              <m:t>0, 1</m:t>
            </m:r>
          </m:e>
        </m:d>
      </m:oMath>
      <w:r>
        <w:t xml:space="preserve">, such as Brent’s method </w:t>
      </w:r>
      <w:r>
        <w:fldChar w:fldCharType="begin"/>
      </w:r>
      <w:r>
        <w:instrText xml:space="preserve"> ADDIN ZOTERO_ITEM CSL_CITATION {"citationID":"D37pvoAT","properties":{"formattedCitation":"(31)","plainCitation":"(31)","noteIndex":0},"citationItems":[{"id":69,"uris":["http://zotero.org/users/local/XLCKbH5k/items/LL8BQK6L"],"uri":["http://zotero.org/users/local/XLCKbH5k/items/LL8BQK6L"],"itemData":{"id":69,"type":"article-journal","container-title":"The Computer Journal","issue":"4","note":"publisher: Oxford University Press","page":"422–425","source":"Google Scholar","title":"An algorithm with guaranteed convergence for finding a zero of a function","volume":"14","author":[{"family":"Brent","given":"Richard P."}],"issued":{"date-parts":[["1971"]]}}}],"schema":"https://github.com/citation-style-language/schema/raw/master/csl-citation.json"} </w:instrText>
      </w:r>
      <w:r>
        <w:fldChar w:fldCharType="separate"/>
      </w:r>
      <w:r>
        <w:rPr>
          <w:rFonts w:ascii="Calibri" w:hAnsi="Calibri" w:cs="Calibri"/>
        </w:rPr>
        <w:t>(31)</w:t>
      </w:r>
      <w:r>
        <w:fldChar w:fldCharType="end"/>
      </w:r>
      <w:r>
        <w:t>.</w:t>
      </w:r>
    </w:p>
    <w:p w:rsidR="00897E88" w:rsidRDefault="00897E88" w:rsidP="00897E88">
      <w:pPr>
        <w:spacing w:line="240" w:lineRule="auto"/>
      </w:pPr>
      <w:r>
        <w:t xml:space="preserve">Once the sub-population mortality rates are known for </w:t>
      </w:r>
      <m:oMath>
        <m:r>
          <w:rPr>
            <w:rFonts w:ascii="Cambria Math" w:hAnsi="Cambria Math"/>
          </w:rPr>
          <m:t>t = 1</m:t>
        </m:r>
      </m:oMath>
      <w:r>
        <w:t xml:space="preserve">, we can use the recursive formulae for the alive and dead populations to obtain explicit values for the population quantities </w:t>
      </w:r>
      <m:oMath>
        <m:sSub>
          <m:sSubPr>
            <m:ctrlPr>
              <w:rPr>
                <w:rFonts w:ascii="Cambria Math" w:hAnsi="Cambria Math"/>
                <w:i/>
              </w:rPr>
            </m:ctrlPr>
          </m:sSubPr>
          <m:e>
            <m:r>
              <w:rPr>
                <w:rFonts w:ascii="Cambria Math" w:hAnsi="Cambria Math"/>
              </w:rPr>
              <m:t>A</m:t>
            </m:r>
          </m:e>
          <m:sub>
            <m:r>
              <w:rPr>
                <w:rFonts w:ascii="Cambria Math" w:hAnsi="Cambria Math"/>
              </w:rPr>
              <m:t>k,1</m:t>
            </m:r>
          </m:sub>
        </m:sSub>
      </m:oMath>
      <w:r>
        <w:t xml:space="preserve"> and </w:t>
      </w:r>
      <m:oMath>
        <m:sSub>
          <m:sSubPr>
            <m:ctrlPr>
              <w:rPr>
                <w:rFonts w:ascii="Cambria Math" w:hAnsi="Cambria Math"/>
                <w:i/>
              </w:rPr>
            </m:ctrlPr>
          </m:sSubPr>
          <m:e>
            <m:r>
              <w:rPr>
                <w:rFonts w:ascii="Cambria Math" w:hAnsi="Cambria Math"/>
              </w:rPr>
              <m:t>D</m:t>
            </m:r>
          </m:e>
          <m:sub>
            <m:r>
              <w:rPr>
                <w:rFonts w:ascii="Cambria Math" w:hAnsi="Cambria Math"/>
              </w:rPr>
              <m:t>k,1</m:t>
            </m:r>
          </m:sub>
        </m:sSub>
      </m:oMath>
      <w:r>
        <w:t xml:space="preserve">. The above process can then be repeated for </w:t>
      </w:r>
      <m:oMath>
        <m:r>
          <w:rPr>
            <w:rFonts w:ascii="Cambria Math" w:hAnsi="Cambria Math"/>
          </w:rPr>
          <m:t>t = 2</m:t>
        </m:r>
      </m:oMath>
      <w:r>
        <w:t xml:space="preserve"> with the constraint </w:t>
      </w:r>
      <m:oMath>
        <m:r>
          <m:rPr>
            <m:sty m:val="p"/>
          </m:rPr>
          <w:rPr>
            <w:rFonts w:ascii="Cambria Math" w:hAnsi="Cambria Math"/>
          </w:rPr>
          <w:br/>
        </m:r>
      </m:oMath>
      <m:oMathPara>
        <m:oMath>
          <m:sSub>
            <m:sSubPr>
              <m:ctrlPr>
                <w:rPr>
                  <w:rFonts w:ascii="Cambria Math" w:hAnsi="Cambria Math"/>
                  <w:i/>
                </w:rPr>
              </m:ctrlPr>
            </m:sSubPr>
            <m:e>
              <m:r>
                <w:rPr>
                  <w:rFonts w:ascii="Cambria Math" w:hAnsi="Cambria Math"/>
                </w:rPr>
                <m:t>A</m:t>
              </m:r>
            </m:e>
            <m:sub>
              <m:r>
                <w:rPr>
                  <w:rFonts w:ascii="Cambria Math" w:hAnsi="Cambria Math"/>
                </w:rPr>
                <m: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2</m:t>
                  </m:r>
                </m:sub>
              </m:sSub>
            </m:sup>
          </m:sSup>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k,2</m:t>
                          </m:r>
                        </m:sub>
                        <m:sup>
                          <m:r>
                            <m:rPr>
                              <m:nor/>
                            </m:rPr>
                            <w:rPr>
                              <w:rFonts w:ascii="Cambria Math" w:hAnsi="Cambria Math"/>
                            </w:rPr>
                            <m:t>mort</m:t>
                          </m:r>
                        </m:sup>
                      </m:sSubSup>
                      <m:r>
                        <w:rPr>
                          <w:rFonts w:ascii="Cambria Math" w:hAnsi="Cambria Math"/>
                        </w:rPr>
                        <m:t>m</m:t>
                      </m:r>
                    </m:e>
                    <m:sub>
                      <m:r>
                        <w:rPr>
                          <w:rFonts w:ascii="Cambria Math" w:hAnsi="Cambria Math"/>
                        </w:rPr>
                        <m:t>1,2</m:t>
                      </m:r>
                    </m:sub>
                  </m:sSub>
                </m:sup>
              </m:sSup>
              <m:r>
                <w:rPr>
                  <w:rFonts w:ascii="Cambria Math" w:hAnsi="Cambria Math"/>
                </w:rPr>
                <m:t xml:space="preserve"> </m:t>
              </m:r>
            </m:e>
          </m:nary>
        </m:oMath>
      </m:oMathPara>
    </w:p>
    <w:p w:rsidR="00897E88" w:rsidRDefault="00897E88" w:rsidP="00897E88">
      <w:pPr>
        <w:spacing w:line="240" w:lineRule="auto"/>
      </w:pPr>
      <w:r>
        <w:t xml:space="preserve">to obtain the unique rate </w:t>
      </w:r>
      <m:oMath>
        <m:sSub>
          <m:sSubPr>
            <m:ctrlPr>
              <w:rPr>
                <w:rFonts w:ascii="Cambria Math" w:hAnsi="Cambria Math"/>
                <w:i/>
              </w:rPr>
            </m:ctrlPr>
          </m:sSubPr>
          <m:e>
            <m:r>
              <w:rPr>
                <w:rFonts w:ascii="Cambria Math" w:hAnsi="Cambria Math"/>
              </w:rPr>
              <m:t>m'</m:t>
            </m:r>
          </m:e>
          <m:sub>
            <m:r>
              <w:rPr>
                <w:rFonts w:ascii="Cambria Math" w:hAnsi="Cambria Math"/>
              </w:rPr>
              <m:t>1,2</m:t>
            </m:r>
          </m:sub>
        </m:sSub>
      </m:oMath>
      <w:r>
        <w:t xml:space="preserve"> which satisfies the constraint. By continuing to iterate this process, we can compute the sub-population mortality rates and population quantities up to any time period.</w:t>
      </w:r>
    </w:p>
    <w:p w:rsidR="00897E88" w:rsidRDefault="00897E88" w:rsidP="00897E88">
      <w:pPr>
        <w:spacing w:line="240" w:lineRule="auto"/>
      </w:pPr>
      <w:r>
        <w:t>We summarize this procedure as the following algorithm.</w:t>
      </w:r>
    </w:p>
    <w:tbl>
      <w:tblPr>
        <w:tblStyle w:val="TableGrid"/>
        <w:tblW w:w="0" w:type="auto"/>
        <w:tblInd w:w="0" w:type="dxa"/>
        <w:tblLook w:val="04A0" w:firstRow="1" w:lastRow="0" w:firstColumn="1" w:lastColumn="0" w:noHBand="0" w:noVBand="1"/>
      </w:tblPr>
      <w:tblGrid>
        <w:gridCol w:w="9350"/>
      </w:tblGrid>
      <w:tr w:rsidR="00897E88" w:rsidTr="00897E88">
        <w:tc>
          <w:tcPr>
            <w:tcW w:w="9350"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pPr>
            <w:r>
              <w:t>Mortality Lifetable Disaggregation Algorithm</w:t>
            </w:r>
          </w:p>
        </w:tc>
      </w:tr>
      <w:tr w:rsidR="00897E88" w:rsidTr="00897E88">
        <w:tc>
          <w:tcPr>
            <w:tcW w:w="9350"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pPr>
            <w:r>
              <w:rPr>
                <w:b/>
              </w:rPr>
              <w:t>Input:</w:t>
            </w:r>
            <w:r>
              <w:t xml:space="preserve"> </w:t>
            </w:r>
          </w:p>
          <w:p w:rsidR="00897E88" w:rsidRDefault="00897E88">
            <w:pPr>
              <w:pStyle w:val="ListParagraph"/>
              <w:numPr>
                <w:ilvl w:val="0"/>
                <w:numId w:val="13"/>
              </w:numPr>
              <w:spacing w:after="0" w:line="240" w:lineRule="auto"/>
            </w:pPr>
            <m:oMath>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w:r>
              <w:t xml:space="preserve"> for each timestep </w:t>
            </w:r>
            <m:oMath>
              <m:r>
                <w:rPr>
                  <w:rFonts w:ascii="Cambria Math" w:hAnsi="Cambria Math"/>
                </w:rPr>
                <m:t>t</m:t>
              </m:r>
            </m:oMath>
          </w:p>
          <w:p w:rsidR="00897E88" w:rsidRDefault="00897E88">
            <w:pPr>
              <w:pStyle w:val="ListParagraph"/>
              <w:numPr>
                <w:ilvl w:val="0"/>
                <w:numId w:val="13"/>
              </w:numPr>
              <w:spacing w:after="0" w:line="240" w:lineRule="auto"/>
            </w:pPr>
            <m:oMath>
              <m:sSub>
                <m:sSubPr>
                  <m:ctrlPr>
                    <w:rPr>
                      <w:rFonts w:ascii="Cambria Math" w:hAnsi="Cambria Math"/>
                      <w:i/>
                    </w:rPr>
                  </m:ctrlPr>
                </m:sSubPr>
                <m:e>
                  <m:r>
                    <w:rPr>
                      <w:rFonts w:ascii="Cambria Math" w:hAnsi="Cambria Math"/>
                    </w:rPr>
                    <m:t>A</m:t>
                  </m:r>
                </m:e>
                <m:sub>
                  <m:r>
                    <w:rPr>
                      <w:rFonts w:ascii="Cambria Math" w:hAnsi="Cambria Math"/>
                    </w:rPr>
                    <m:t>k,0</m:t>
                  </m:r>
                </m:sub>
              </m:sSub>
            </m:oMath>
            <w:r>
              <w:t xml:space="preserve"> for each sub-population </w:t>
            </w:r>
            <m:oMath>
              <m:r>
                <w:rPr>
                  <w:rFonts w:ascii="Cambria Math" w:hAnsi="Cambria Math"/>
                </w:rPr>
                <m:t>k</m:t>
              </m:r>
            </m:oMath>
            <w:r>
              <w:rPr>
                <w:rFonts w:ascii="CMR12" w:hAnsi="CMR12"/>
                <w:sz w:val="24"/>
              </w:rPr>
              <w:t>.</w:t>
            </w:r>
          </w:p>
          <w:p w:rsidR="00897E88" w:rsidRDefault="00897E88">
            <w:pPr>
              <w:pStyle w:val="ListParagraph"/>
              <w:numPr>
                <w:ilvl w:val="0"/>
                <w:numId w:val="13"/>
              </w:numPr>
              <w:spacing w:after="0" w:line="240" w:lineRule="auto"/>
            </w:pPr>
            <m:oMath>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oMath>
            <w:r>
              <w:t xml:space="preserve"> for each sub-population </w:t>
            </w:r>
            <m:oMath>
              <m:r>
                <w:rPr>
                  <w:rFonts w:ascii="Cambria Math" w:hAnsi="Cambria Math"/>
                </w:rPr>
                <m:t>k</m:t>
              </m:r>
            </m:oMath>
            <w:r>
              <w:t xml:space="preserve"> and timestep </w:t>
            </w:r>
            <m:oMath>
              <m:r>
                <w:rPr>
                  <w:rFonts w:ascii="Cambria Math" w:hAnsi="Cambria Math"/>
                </w:rPr>
                <m:t>t</m:t>
              </m:r>
            </m:oMath>
          </w:p>
          <w:p w:rsidR="00897E88" w:rsidRDefault="00897E88">
            <w:pPr>
              <w:spacing w:after="0" w:line="240" w:lineRule="auto"/>
              <w:rPr>
                <w:b/>
              </w:rPr>
            </w:pPr>
            <w:r>
              <w:rPr>
                <w:b/>
              </w:rPr>
              <w:t>Output:</w:t>
            </w:r>
          </w:p>
          <w:p w:rsidR="00897E88" w:rsidRDefault="00897E88">
            <w:pPr>
              <w:pStyle w:val="ListParagraph"/>
              <w:numPr>
                <w:ilvl w:val="0"/>
                <w:numId w:val="14"/>
              </w:numPr>
              <w:spacing w:after="0" w:line="240" w:lineRule="auto"/>
              <w:rPr>
                <w:b/>
              </w:rPr>
            </w:pPr>
            <w:r>
              <w:rPr>
                <w:rFonts w:ascii="CMR12" w:hAnsi="CMR12"/>
                <w:sz w:val="24"/>
              </w:rPr>
              <w:lastRenderedPageBreak/>
              <w:t xml:space="preserve">Values for </w:t>
            </w:r>
            <m:oMath>
              <m:sSub>
                <m:sSubPr>
                  <m:ctrlPr>
                    <w:rPr>
                      <w:rFonts w:ascii="Cambria Math" w:hAnsi="Cambria Math"/>
                      <w:i/>
                    </w:rPr>
                  </m:ctrlPr>
                </m:sSubPr>
                <m:e>
                  <m:r>
                    <w:rPr>
                      <w:rFonts w:ascii="Cambria Math" w:hAnsi="Cambria Math"/>
                    </w:rPr>
                    <m:t>m</m:t>
                  </m:r>
                </m:e>
                <m:sub>
                  <m:r>
                    <w:rPr>
                      <w:rFonts w:ascii="Cambria Math" w:hAnsi="Cambria Math"/>
                    </w:rPr>
                    <m:t>k,t</m:t>
                  </m:r>
                </m:sub>
              </m:sSub>
            </m:oMath>
            <w:r>
              <w:rPr>
                <w:rFonts w:ascii="CMR12" w:hAnsi="CMR12" w:cs="CMR12"/>
              </w:rPr>
              <w:t xml:space="preserve"> and </w:t>
            </w:r>
            <m:oMath>
              <m:sSub>
                <m:sSubPr>
                  <m:ctrlPr>
                    <w:rPr>
                      <w:rFonts w:ascii="Cambria Math" w:hAnsi="Cambria Math"/>
                      <w:i/>
                    </w:rPr>
                  </m:ctrlPr>
                </m:sSubPr>
                <m:e>
                  <m:r>
                    <w:rPr>
                      <w:rFonts w:ascii="Cambria Math" w:hAnsi="Cambria Math"/>
                    </w:rPr>
                    <m:t>A</m:t>
                  </m:r>
                </m:e>
                <m:sub>
                  <m:r>
                    <w:rPr>
                      <w:rFonts w:ascii="Cambria Math" w:hAnsi="Cambria Math"/>
                    </w:rPr>
                    <m:t>k,t</m:t>
                  </m:r>
                </m:sub>
              </m:sSub>
            </m:oMath>
            <w:r>
              <w:rPr>
                <w:rFonts w:ascii="CMR12" w:hAnsi="CMR12" w:cs="CMR12"/>
              </w:rPr>
              <w:t xml:space="preserve"> for each </w:t>
            </w:r>
            <w:r>
              <w:t xml:space="preserve">sub-population </w:t>
            </w:r>
            <m:oMath>
              <m:r>
                <w:rPr>
                  <w:rFonts w:ascii="Cambria Math" w:hAnsi="Cambria Math"/>
                </w:rPr>
                <m:t>k</m:t>
              </m:r>
            </m:oMath>
            <w:r>
              <w:t xml:space="preserve"> and timestep </w:t>
            </w:r>
            <m:oMath>
              <m:r>
                <w:rPr>
                  <w:rFonts w:ascii="Cambria Math" w:hAnsi="Cambria Math"/>
                </w:rPr>
                <m:t>t</m:t>
              </m:r>
            </m:oMath>
            <w:r>
              <w:rPr>
                <w:rFonts w:ascii="CMR12" w:hAnsi="CMR12" w:cs="CMR12"/>
              </w:rPr>
              <w:t xml:space="preserve"> that are consistent with </w:t>
            </w:r>
            <m:oMath>
              <m:sSub>
                <m:sSubPr>
                  <m:ctrlPr>
                    <w:rPr>
                      <w:rFonts w:ascii="Cambria Math" w:hAnsi="Cambria Math"/>
                      <w:i/>
                    </w:rPr>
                  </m:ctrlPr>
                </m:sSubPr>
                <m:e>
                  <m:r>
                    <w:rPr>
                      <w:rFonts w:ascii="Cambria Math" w:hAnsi="Cambria Math"/>
                    </w:rPr>
                    <m:t>m</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w:r>
              <w:rPr>
                <w:rFonts w:ascii="CMR12" w:hAnsi="CMR12" w:cs="CMR12"/>
              </w:rPr>
              <w:t xml:space="preserve"> at each </w:t>
            </w:r>
            <w:r>
              <w:t xml:space="preserve">timestep </w:t>
            </w:r>
            <m:oMath>
              <m:r>
                <w:rPr>
                  <w:rFonts w:ascii="Cambria Math" w:hAnsi="Cambria Math"/>
                </w:rPr>
                <m:t>t</m:t>
              </m:r>
            </m:oMath>
            <w:r>
              <w:t>.</w:t>
            </w:r>
          </w:p>
        </w:tc>
      </w:tr>
      <w:tr w:rsidR="00897E88" w:rsidTr="00897E88">
        <w:tc>
          <w:tcPr>
            <w:tcW w:w="9350"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pPr>
            <w:r>
              <w:rPr>
                <w:b/>
              </w:rPr>
              <w:lastRenderedPageBreak/>
              <w:t xml:space="preserve">for </w:t>
            </w:r>
            <w:r>
              <w:t>each</w:t>
            </w:r>
            <w:r>
              <w:rPr>
                <w:b/>
              </w:rPr>
              <w:t xml:space="preserve"> </w:t>
            </w:r>
            <w:r>
              <w:t xml:space="preserve">timestep </w:t>
            </w:r>
            <m:oMath>
              <m:r>
                <w:rPr>
                  <w:rFonts w:ascii="Cambria Math" w:hAnsi="Cambria Math"/>
                </w:rPr>
                <m:t>t</m:t>
              </m:r>
            </m:oMath>
            <w:r>
              <w:t xml:space="preserve"> in order from </w:t>
            </w:r>
            <m:oMath>
              <m:r>
                <w:rPr>
                  <w:rFonts w:ascii="Cambria Math" w:hAnsi="Cambria Math"/>
                </w:rPr>
                <m:t>t=1</m:t>
              </m:r>
            </m:oMath>
          </w:p>
          <w:p w:rsidR="00897E88" w:rsidRDefault="00897E88">
            <w:pPr>
              <w:spacing w:after="0" w:line="240" w:lineRule="auto"/>
              <w:ind w:left="720"/>
            </w:pPr>
            <w:r>
              <w:t xml:space="preserve">Let </w:t>
            </w:r>
            <m:oMath>
              <m:r>
                <w:rPr>
                  <w:rFonts w:ascii="Cambria Math" w:hAnsi="Cambria Math"/>
                </w:rPr>
                <m:t xml:space="preserve">f≔ </m:t>
              </m:r>
              <m:nary>
                <m:naryPr>
                  <m:chr m:val="∑"/>
                  <m:limLoc m:val="undOvr"/>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k,t-1</m:t>
                      </m:r>
                    </m:sub>
                  </m:sSub>
                  <m:sSup>
                    <m:sSupPr>
                      <m:ctrlPr>
                        <w:rPr>
                          <w:rFonts w:ascii="Cambria Math" w:hAnsi="Cambria Math"/>
                          <w:i/>
                        </w:rPr>
                      </m:ctrlPr>
                    </m:sSupPr>
                    <m:e>
                      <m:r>
                        <w:rPr>
                          <w:rFonts w:ascii="Cambria Math" w:hAnsi="Cambria Math"/>
                        </w:rPr>
                        <m:t>x</m:t>
                      </m:r>
                    </m:e>
                    <m:sup>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t</m:t>
                          </m:r>
                        </m:sub>
                      </m:sSub>
                    </m:sup>
                  </m:sSup>
                  <m:r>
                    <w:rPr>
                      <w:rFonts w:ascii="Cambria Math" w:hAnsi="Cambria Math"/>
                    </w:rPr>
                    <m:t xml:space="preserve">=0 </m:t>
                  </m:r>
                </m:e>
              </m:nary>
            </m:oMath>
          </w:p>
          <w:p w:rsidR="00897E88" w:rsidRDefault="00897E88">
            <w:pPr>
              <w:spacing w:after="0" w:line="240" w:lineRule="auto"/>
              <w:ind w:left="720"/>
            </w:pPr>
            <w:r>
              <w:t xml:space="preserve">Find the unique root </w:t>
            </w:r>
            <m:oMath>
              <m:sSup>
                <m:sSupPr>
                  <m:ctrlPr>
                    <w:rPr>
                      <w:rFonts w:ascii="Cambria Math" w:hAnsi="Cambria Math"/>
                      <w:i/>
                    </w:rPr>
                  </m:ctrlPr>
                </m:sSupPr>
                <m:e>
                  <m:r>
                    <w:rPr>
                      <w:rFonts w:ascii="Cambria Math" w:hAnsi="Cambria Math"/>
                    </w:rPr>
                    <m:t>x</m:t>
                  </m:r>
                </m:e>
                <m:sup>
                  <m:r>
                    <w:rPr>
                      <w:rFonts w:ascii="Cambria Math" w:hAnsi="Cambria Math"/>
                    </w:rPr>
                    <m:t>'</m:t>
                  </m:r>
                </m:sup>
              </m:sSup>
            </m:oMath>
            <w:r>
              <w:t xml:space="preserve"> for </w:t>
            </w:r>
            <m:oMath>
              <m:r>
                <w:rPr>
                  <w:rFonts w:ascii="Cambria Math" w:hAnsi="Cambria Math"/>
                </w:rPr>
                <m:t>f</m:t>
              </m:r>
            </m:oMath>
            <w:r>
              <w:t xml:space="preserve"> in the interval </w:t>
            </w:r>
            <m:oMath>
              <m:d>
                <m:dPr>
                  <m:endChr m:val="]"/>
                  <m:ctrlPr>
                    <w:rPr>
                      <w:rFonts w:ascii="Cambria Math" w:hAnsi="Cambria Math"/>
                      <w:i/>
                    </w:rPr>
                  </m:ctrlPr>
                </m:dPr>
                <m:e>
                  <m:r>
                    <w:rPr>
                      <w:rFonts w:ascii="Cambria Math" w:hAnsi="Cambria Math"/>
                    </w:rPr>
                    <m:t>0, 1</m:t>
                  </m:r>
                </m:e>
              </m:d>
            </m:oMath>
          </w:p>
          <w:p w:rsidR="00897E88" w:rsidRDefault="00897E88">
            <w:pPr>
              <w:spacing w:after="0" w:line="240" w:lineRule="auto"/>
              <w:ind w:left="720"/>
            </w:pPr>
            <w:r>
              <w:rPr>
                <w:b/>
              </w:rPr>
              <w:t xml:space="preserve">for </w:t>
            </w:r>
            <m:oMath>
              <m:r>
                <w:rPr>
                  <w:rFonts w:ascii="Cambria Math" w:hAnsi="Cambria Math"/>
                </w:rPr>
                <m:t>k=1, …, n</m:t>
              </m:r>
            </m:oMath>
          </w:p>
          <w:p w:rsidR="00897E88" w:rsidRDefault="00897E88">
            <w:pPr>
              <w:spacing w:after="0" w:line="240" w:lineRule="auto"/>
              <w:ind w:left="1440"/>
              <w:rPr>
                <w:sz w:val="20"/>
              </w:rPr>
            </w:pPr>
            <w:r>
              <w:t xml:space="preserve"> </w:t>
            </w:r>
            <m:oMath>
              <m:sSub>
                <m:sSubPr>
                  <m:ctrlPr>
                    <w:rPr>
                      <w:rFonts w:ascii="Cambria Math" w:hAnsi="Cambria Math"/>
                      <w:i/>
                    </w:rPr>
                  </m:ctrlPr>
                </m:sSubPr>
                <m:e>
                  <m:r>
                    <w:rPr>
                      <w:rFonts w:ascii="Cambria Math" w:hAnsi="Cambria Math"/>
                    </w:rPr>
                    <m:t>m</m:t>
                  </m:r>
                </m:e>
                <m:sub>
                  <m:r>
                    <w:rPr>
                      <w:rFonts w:ascii="Cambria Math" w:hAnsi="Cambria Math"/>
                    </w:rPr>
                    <m:t>k,t</m:t>
                  </m:r>
                </m:sub>
              </m:sSub>
              <m:r>
                <w:rPr>
                  <w:rFonts w:ascii="Cambria Math" w:hAnsi="Cambria Math"/>
                </w:rPr>
                <m:t xml:space="preserve"> := -</m:t>
              </m:r>
              <m:sSubSup>
                <m:sSubSupPr>
                  <m:ctrlPr>
                    <w:rPr>
                      <w:rFonts w:ascii="Cambria Math" w:hAnsi="Cambria Math"/>
                      <w:i/>
                    </w:rPr>
                  </m:ctrlPr>
                </m:sSubSupPr>
                <m:e>
                  <m:r>
                    <w:rPr>
                      <w:rFonts w:ascii="Cambria Math" w:hAnsi="Cambria Math"/>
                    </w:rPr>
                    <m:t>r</m:t>
                  </m:r>
                </m:e>
                <m:sub>
                  <m:r>
                    <w:rPr>
                      <w:rFonts w:ascii="Cambria Math" w:hAnsi="Cambria Math"/>
                    </w:rPr>
                    <m:t>k,t</m:t>
                  </m:r>
                </m:sub>
                <m:sup>
                  <m:r>
                    <m:rPr>
                      <m:nor/>
                    </m:rPr>
                    <w:rPr>
                      <w:rFonts w:ascii="Cambria Math" w:hAnsi="Cambria Math"/>
                    </w:rPr>
                    <m:t>mort</m:t>
                  </m:r>
                </m:sup>
              </m:sSubSup>
              <m:func>
                <m:funcPr>
                  <m:ctrlPr>
                    <w:rPr>
                      <w:rFonts w:ascii="Cambria Math" w:hAnsi="Cambria Math"/>
                      <w:i/>
                    </w:rPr>
                  </m:ctrlPr>
                </m:funcPr>
                <m:fName>
                  <m:r>
                    <m:rPr>
                      <m:sty m:val="p"/>
                    </m:rPr>
                    <w:rPr>
                      <w:rFonts w:ascii="Cambria Math" w:hAnsi="Cambria Math"/>
                      <w:sz w:val="20"/>
                    </w:rPr>
                    <m:t>log</m:t>
                  </m:r>
                </m:fName>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e>
                  </m:d>
                </m:e>
              </m:func>
            </m:oMath>
          </w:p>
          <w:p w:rsidR="00897E88" w:rsidRDefault="00897E88">
            <w:pPr>
              <w:spacing w:after="0" w:line="240" w:lineRule="auto"/>
              <w:ind w:left="1440"/>
              <w:rPr>
                <w:szCs w:val="22"/>
              </w:rPr>
            </w:pPr>
            <w:r>
              <w:t xml:space="preserve"> </w:t>
            </w:r>
            <m:oMath>
              <m:sSub>
                <m:sSubPr>
                  <m:ctrlPr>
                    <w:rPr>
                      <w:rFonts w:ascii="Cambria Math" w:hAnsi="Cambria Math"/>
                      <w:i/>
                    </w:rPr>
                  </m:ctrlPr>
                </m:sSubPr>
                <m:e>
                  <m:r>
                    <w:rPr>
                      <w:rFonts w:ascii="Cambria Math" w:hAnsi="Cambria Math"/>
                    </w:rPr>
                    <m:t>A</m:t>
                  </m:r>
                </m:e>
                <m:sub>
                  <m:r>
                    <w:rPr>
                      <w:rFonts w:ascii="Cambria Math" w:hAnsi="Cambria Math"/>
                    </w:rPr>
                    <m:t>k,t</m:t>
                  </m:r>
                </m:sub>
              </m:sSub>
              <m:r>
                <w:rPr>
                  <w:rFonts w:ascii="Cambria Math" w:hAnsi="Cambria Math"/>
                </w:rPr>
                <m:t xml:space="preserve"> := </m:t>
              </m:r>
              <m:sSub>
                <m:sSubPr>
                  <m:ctrlPr>
                    <w:rPr>
                      <w:rFonts w:ascii="Cambria Math" w:hAnsi="Cambria Math"/>
                      <w:i/>
                    </w:rPr>
                  </m:ctrlPr>
                </m:sSubPr>
                <m:e>
                  <m:r>
                    <w:rPr>
                      <w:rFonts w:ascii="Cambria Math" w:hAnsi="Cambria Math"/>
                    </w:rPr>
                    <m:t>A</m:t>
                  </m:r>
                </m:e>
                <m:sub>
                  <m:r>
                    <w:rPr>
                      <w:rFonts w:ascii="Cambria Math" w:hAnsi="Cambria Math"/>
                    </w:rPr>
                    <m:t>k,t-1</m:t>
                  </m:r>
                </m:sub>
              </m:sSub>
              <m:sSup>
                <m:sSupPr>
                  <m:ctrlPr>
                    <w:rPr>
                      <w:rFonts w:ascii="Cambria Math" w:hAnsi="Cambria Math"/>
                      <w:i/>
                    </w:rPr>
                  </m:ctrlPr>
                </m:sSupPr>
                <m:e>
                  <m:r>
                    <w:rPr>
                      <w:rFonts w:ascii="Cambria Math" w:hAnsi="Cambria Math"/>
                    </w:rPr>
                    <m:t>e</m:t>
                  </m:r>
                </m:e>
                <m:sup>
                  <m:r>
                    <m:rPr>
                      <m:sty m:val="p"/>
                    </m:rP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k,t</m:t>
                      </m:r>
                    </m:sub>
                  </m:sSub>
                </m:sup>
              </m:sSup>
            </m:oMath>
          </w:p>
        </w:tc>
      </w:tr>
    </w:tbl>
    <w:p w:rsidR="00897E88" w:rsidRDefault="00897E88" w:rsidP="00897E88">
      <w:pPr>
        <w:spacing w:line="240" w:lineRule="auto"/>
      </w:pPr>
    </w:p>
    <w:p w:rsidR="00897E88" w:rsidRDefault="00897E88" w:rsidP="00897E88">
      <w:pPr>
        <w:pStyle w:val="Heading1"/>
      </w:pPr>
    </w:p>
    <w:p w:rsidR="00897E88" w:rsidRDefault="00897E88" w:rsidP="00897E88">
      <w:pPr>
        <w:pStyle w:val="Heading1"/>
      </w:pPr>
      <w:r>
        <w:t>Appendix 2: Disaggregation input parameters</w:t>
      </w:r>
    </w:p>
    <w:p w:rsidR="00897E88" w:rsidRDefault="00897E88" w:rsidP="00897E88">
      <w:pPr>
        <w:spacing w:line="240" w:lineRule="auto"/>
      </w:pPr>
    </w:p>
    <w:p w:rsidR="00897E88" w:rsidRDefault="00897E88" w:rsidP="00897E88">
      <w:pPr>
        <w:pStyle w:val="Caption"/>
        <w:keepNext/>
      </w:pPr>
      <w:bookmarkStart w:id="0" w:name="_Ref48830302"/>
      <w:r>
        <w:t xml:space="preserve">Supplementary Table </w:t>
      </w:r>
      <w:r>
        <w:fldChar w:fldCharType="begin"/>
      </w:r>
      <w:r>
        <w:rPr>
          <w:noProof/>
        </w:rPr>
        <w:instrText xml:space="preserve"> SEQ Supplementary_Table \* ARABIC </w:instrText>
      </w:r>
      <w:r>
        <w:fldChar w:fldCharType="separate"/>
      </w:r>
      <w:r>
        <w:rPr>
          <w:noProof/>
        </w:rPr>
        <w:t>1</w:t>
      </w:r>
      <w:r>
        <w:fldChar w:fldCharType="end"/>
      </w:r>
      <w:bookmarkEnd w:id="0"/>
      <w:r>
        <w:t>: Base Mortality rate and pYLD for Māori Females</w:t>
      </w:r>
    </w:p>
    <w:tbl>
      <w:tblPr>
        <w:tblStyle w:val="TableGrid"/>
        <w:tblW w:w="0" w:type="auto"/>
        <w:tblInd w:w="0" w:type="dxa"/>
        <w:tblLook w:val="04A0" w:firstRow="1" w:lastRow="0" w:firstColumn="1" w:lastColumn="0" w:noHBand="0" w:noVBand="1"/>
      </w:tblPr>
      <w:tblGrid>
        <w:gridCol w:w="960"/>
        <w:gridCol w:w="960"/>
        <w:gridCol w:w="960"/>
        <w:gridCol w:w="1368"/>
        <w:gridCol w:w="825"/>
      </w:tblGrid>
      <w:tr w:rsidR="00897E88" w:rsidTr="00897E88">
        <w:trPr>
          <w:trHeight w:hRule="exact" w:val="216"/>
          <w:tblHeader/>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szCs w:val="16"/>
              </w:rPr>
              <w:t>E</w:t>
            </w:r>
            <w:r>
              <w:rPr>
                <w:b/>
                <w:sz w:val="16"/>
              </w:rPr>
              <w:t>thnicity</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szCs w:val="16"/>
              </w:rPr>
              <w:t>S</w:t>
            </w:r>
            <w:r>
              <w:rPr>
                <w:b/>
                <w:sz w:val="16"/>
              </w:rPr>
              <w:t>ex</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szCs w:val="16"/>
              </w:rPr>
              <w:t>A</w:t>
            </w:r>
            <w:r>
              <w:rPr>
                <w:b/>
                <w:sz w:val="16"/>
              </w:rPr>
              <w:t>ge</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szCs w:val="16"/>
              </w:rPr>
              <w:t>Mortality rate</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pYLD</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0.005244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0.016838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0.00052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0.032138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0.032138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0.032138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0.032138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0.035087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8.00E-05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0.035087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6.00E-05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0.035087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6.00E-05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0.035087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7.00E-05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0.035087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0.036172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0.00015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0.036172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0.00022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0.036172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0.036172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0.00041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0.036172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0.101246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0.00058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0.101246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0.101246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0.101246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0.101246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0.126133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0.126133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0.126133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0.126133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0.00059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0.126133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0.00059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0.146245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0.146245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0.146245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0.00068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0.146245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29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0.00074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0.146245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0.150982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0.00085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0.150982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0.00089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0.150982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0.00093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0.150982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0.00097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0.150982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0.001011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0.157912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0.001061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0.157912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0.001121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0.157912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0.001201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0.157912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39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0.001311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0.157912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0.001441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0.160344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0.001611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0.160344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0.001822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0.160344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0.002062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0.160344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0.002333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0.160344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0.002643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0.18003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0.002974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0.18003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0.003346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0.18003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0.003737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0.18003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49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0.004149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0.18003</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0.00458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0.17632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0.005033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0.17632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0.005495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0.17632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0.005998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0.17632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0.006541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0.17632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0.007156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0.196225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0.007841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0.196225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0.008617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0.196225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0.009495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0.196225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59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0.010495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0.196225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0.011637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0.228255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0.012923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0.228255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0.014373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0.228255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0.015977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0.228255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0.017696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0.228255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0.01954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0.261278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0.021459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0.261278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0.023463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0.261278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0.025513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0.261278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69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0.027608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0.261278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0.029707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0.284812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0.031811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0.284812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0.033919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0.284812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0.036125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0.284812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0.038543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0.284812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0.041312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0.321474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0.044548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0.321474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0.048371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0.321474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0.052895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0.321474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79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0.058254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0.321474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0.06456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0.375736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0.071947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0.375736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0.080538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0.375736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0.090373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0.375736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0.099312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0.375736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0.109614</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0.121253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0.134206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0.148442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89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0.164038</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0.181306</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0.200661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0.222531</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0.247347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0.275385</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0.306023</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0.339312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0.375319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0.414032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99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0.455407</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0.499309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0.545572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102</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0.593899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103</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0.6439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104</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0.695029</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105</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106</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107</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108</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109</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110</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0.746632</w:t>
            </w:r>
          </w:p>
        </w:tc>
        <w:tc>
          <w:tcPr>
            <w:tcW w:w="55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16"/>
              </w:rPr>
            </w:pPr>
            <w:r>
              <w:rPr>
                <w:sz w:val="16"/>
                <w:szCs w:val="16"/>
              </w:rPr>
              <w:t>0.477049</w:t>
            </w:r>
          </w:p>
        </w:tc>
      </w:tr>
    </w:tbl>
    <w:p w:rsidR="00897E88" w:rsidRDefault="00897E88" w:rsidP="00897E88">
      <w:pPr>
        <w:spacing w:line="240" w:lineRule="auto"/>
      </w:pPr>
    </w:p>
    <w:p w:rsidR="00897E88" w:rsidRDefault="00897E88" w:rsidP="00897E88">
      <w:pPr>
        <w:pStyle w:val="Caption"/>
        <w:keepNext/>
      </w:pPr>
      <w:bookmarkStart w:id="1" w:name="_Ref48830415"/>
      <w:r>
        <w:t xml:space="preserve">Supplementary Table </w:t>
      </w:r>
      <w:r>
        <w:fldChar w:fldCharType="begin"/>
      </w:r>
      <w:r>
        <w:rPr>
          <w:noProof/>
        </w:rPr>
        <w:instrText xml:space="preserve"> SEQ Supplementary_Table \* ARABIC </w:instrText>
      </w:r>
      <w:r>
        <w:fldChar w:fldCharType="separate"/>
      </w:r>
      <w:r>
        <w:rPr>
          <w:noProof/>
        </w:rPr>
        <w:t>2</w:t>
      </w:r>
      <w:r>
        <w:fldChar w:fldCharType="end"/>
      </w:r>
      <w:bookmarkEnd w:id="1"/>
      <w:r>
        <w:t>: Table Initial Population Counts for Māori Females</w:t>
      </w:r>
    </w:p>
    <w:tbl>
      <w:tblPr>
        <w:tblStyle w:val="TableGrid"/>
        <w:tblW w:w="0" w:type="auto"/>
        <w:tblInd w:w="0" w:type="dxa"/>
        <w:tblLook w:val="04A0" w:firstRow="1" w:lastRow="0" w:firstColumn="1" w:lastColumn="0" w:noHBand="0" w:noVBand="1"/>
      </w:tblPr>
      <w:tblGrid>
        <w:gridCol w:w="895"/>
        <w:gridCol w:w="563"/>
        <w:gridCol w:w="787"/>
        <w:gridCol w:w="944"/>
      </w:tblGrid>
      <w:tr w:rsidR="00897E88" w:rsidTr="00897E88">
        <w:trPr>
          <w:trHeight w:hRule="exact" w:val="259"/>
          <w:tblHeader/>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Sex</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Age</w:t>
            </w:r>
          </w:p>
        </w:tc>
        <w:tc>
          <w:tcPr>
            <w:tcW w:w="787"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rPr>
                <w:b/>
                <w:sz w:val="16"/>
              </w:rPr>
            </w:pPr>
            <w:r>
              <w:rPr>
                <w:b/>
                <w:sz w:val="16"/>
              </w:rPr>
              <w:t>Population count</w:t>
            </w: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right"/>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0-4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44100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34700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10-14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33800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15-19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32600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20-24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30100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25-29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23100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30-34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21900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35-39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22300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40-44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21800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45-49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20500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50-54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17700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55-59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13100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60-64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65-69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6600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70-74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5100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75-79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3100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80-84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1700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787"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85-89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700</w:t>
            </w:r>
          </w:p>
          <w:p w:rsidR="00897E88" w:rsidRDefault="00897E88">
            <w:pPr>
              <w:spacing w:after="0" w:line="240" w:lineRule="auto"/>
              <w:rPr>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22"/>
              </w:rPr>
            </w:pPr>
            <w:r>
              <w:rPr>
                <w:rFonts w:cstheme="minorHAnsi"/>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787"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rPr>
            </w:pPr>
            <w:r>
              <w:rPr>
                <w:rFonts w:cstheme="minorHAnsi"/>
                <w:color w:val="000000"/>
                <w:sz w:val="16"/>
              </w:rPr>
              <w:t>90-94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225</w:t>
            </w:r>
          </w:p>
          <w:p w:rsidR="00897E88" w:rsidRDefault="00897E88">
            <w:pPr>
              <w:spacing w:after="0" w:line="240" w:lineRule="auto"/>
              <w:rPr>
                <w:rFonts w:cstheme="minorHAnsi"/>
                <w:color w:val="000000"/>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22"/>
              </w:rPr>
            </w:pPr>
            <w:r>
              <w:rPr>
                <w:rFonts w:cstheme="minorHAnsi"/>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787"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color w:val="000000"/>
                <w:sz w:val="16"/>
              </w:rPr>
            </w:pPr>
            <w:r>
              <w:rPr>
                <w:rFonts w:cstheme="minorHAnsi"/>
                <w:color w:val="000000"/>
                <w:sz w:val="16"/>
              </w:rPr>
              <w:t>94-99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52.5</w:t>
            </w:r>
          </w:p>
          <w:p w:rsidR="00897E88" w:rsidRDefault="00897E88">
            <w:pPr>
              <w:spacing w:after="0" w:line="240" w:lineRule="auto"/>
              <w:rPr>
                <w:rFonts w:cstheme="minorHAnsi"/>
                <w:color w:val="000000"/>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22"/>
              </w:rPr>
            </w:pPr>
            <w:r>
              <w:rPr>
                <w:rFonts w:cstheme="minorHAnsi"/>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787"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color w:val="000000"/>
                <w:sz w:val="16"/>
              </w:rPr>
            </w:pPr>
            <w:r>
              <w:rPr>
                <w:rFonts w:cstheme="minorHAnsi"/>
                <w:color w:val="000000"/>
                <w:sz w:val="16"/>
              </w:rPr>
              <w:t>100-104</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18.75</w:t>
            </w:r>
          </w:p>
          <w:p w:rsidR="00897E88" w:rsidRDefault="00897E88">
            <w:pPr>
              <w:spacing w:after="0" w:line="240" w:lineRule="auto"/>
              <w:rPr>
                <w:rFonts w:cstheme="minorHAnsi"/>
                <w:color w:val="000000"/>
                <w:sz w:val="16"/>
                <w:szCs w:val="16"/>
              </w:rPr>
            </w:pPr>
          </w:p>
        </w:tc>
      </w:tr>
      <w:tr w:rsidR="00897E88" w:rsidTr="00897E88">
        <w:trPr>
          <w:trHeight w:hRule="exact" w:val="259"/>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22"/>
              </w:rPr>
            </w:pPr>
            <w:r>
              <w:rPr>
                <w:rFonts w:cstheme="minorHAnsi"/>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787"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color w:val="000000"/>
                <w:sz w:val="16"/>
              </w:rPr>
            </w:pPr>
            <w:r>
              <w:rPr>
                <w:rFonts w:cstheme="minorHAnsi"/>
                <w:color w:val="000000"/>
                <w:sz w:val="16"/>
              </w:rPr>
              <w:t>105-109</w:t>
            </w:r>
          </w:p>
        </w:tc>
        <w:tc>
          <w:tcPr>
            <w:tcW w:w="787" w:type="dxa"/>
            <w:tcBorders>
              <w:top w:val="single" w:sz="4" w:space="0" w:color="auto"/>
              <w:left w:val="single" w:sz="4" w:space="0" w:color="auto"/>
              <w:bottom w:val="single" w:sz="4" w:space="0" w:color="auto"/>
              <w:right w:val="single" w:sz="4" w:space="0" w:color="auto"/>
            </w:tcBorders>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3.75</w:t>
            </w:r>
          </w:p>
          <w:p w:rsidR="00897E88" w:rsidRDefault="00897E88">
            <w:pPr>
              <w:spacing w:after="0" w:line="240" w:lineRule="auto"/>
              <w:rPr>
                <w:rFonts w:cstheme="minorHAnsi"/>
                <w:color w:val="000000"/>
                <w:sz w:val="16"/>
                <w:szCs w:val="16"/>
              </w:rPr>
            </w:pPr>
          </w:p>
        </w:tc>
      </w:tr>
    </w:tbl>
    <w:p w:rsidR="00897E88" w:rsidRDefault="00897E88" w:rsidP="00897E88">
      <w:pPr>
        <w:spacing w:line="240" w:lineRule="auto"/>
      </w:pPr>
    </w:p>
    <w:p w:rsidR="00897E88" w:rsidRDefault="00897E88" w:rsidP="00897E88">
      <w:pPr>
        <w:pStyle w:val="Caption"/>
        <w:keepNext/>
      </w:pPr>
      <w:bookmarkStart w:id="2" w:name="_Ref48830613"/>
      <w:r>
        <w:t xml:space="preserve">Supplementary Table </w:t>
      </w:r>
      <w:r>
        <w:fldChar w:fldCharType="begin"/>
      </w:r>
      <w:r>
        <w:rPr>
          <w:noProof/>
        </w:rPr>
        <w:instrText xml:space="preserve"> SEQ Supplementary_Table \* ARABIC </w:instrText>
      </w:r>
      <w:r>
        <w:fldChar w:fldCharType="separate"/>
      </w:r>
      <w:r>
        <w:rPr>
          <w:noProof/>
        </w:rPr>
        <w:t>3</w:t>
      </w:r>
      <w:r>
        <w:fldChar w:fldCharType="end"/>
      </w:r>
      <w:bookmarkEnd w:id="2"/>
      <w:r>
        <w:t>: Mortality Rate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blHeader/>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b/>
                <w:sz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25-29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1.584513</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1.438385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1.292256</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1.146128</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30-34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1.595621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1.446715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1.29781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1.148905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35-39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1.612428</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1.459321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1.306214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1.153107</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lastRenderedPageBreak/>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40-44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1.635115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1.476336</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1.317557</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1.158779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45-49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1.663922</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1.497942</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1.331961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1.165981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50-54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1.699161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1.524371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1.349581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1.17479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55-59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1.741219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1.555914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1.37061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1.185305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60-64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1.581209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1.435907</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1.290605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1.145302</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65-69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1.461618</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1.346214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1.230809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1.115405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70-74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1.343452</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1.257589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1.171726</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1.085863</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75-79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1.227879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1.170909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1.113939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1.05697</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80-84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1.115918</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1.086938</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1.057959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1.028979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85-89</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1.008447</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1.006335</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1.004223</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1.002112</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rPr>
            </w:pPr>
            <w:r>
              <w:rPr>
                <w:rFonts w:cstheme="minorHAnsi"/>
                <w:color w:val="000000"/>
                <w:sz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0.886413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0.91481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0.943207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0.971603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3" w:name="_Ref48830625"/>
      <w:r>
        <w:t xml:space="preserve">Supplementary Table </w:t>
      </w:r>
      <w:r>
        <w:fldChar w:fldCharType="begin"/>
      </w:r>
      <w:r>
        <w:rPr>
          <w:noProof/>
        </w:rPr>
        <w:instrText xml:space="preserve"> SEQ Supplementary_Table \* ARABIC </w:instrText>
      </w:r>
      <w:r>
        <w:fldChar w:fldCharType="separate"/>
      </w:r>
      <w:r>
        <w:rPr>
          <w:noProof/>
        </w:rPr>
        <w:t>4</w:t>
      </w:r>
      <w:r>
        <w:fldChar w:fldCharType="end"/>
      </w:r>
      <w:bookmarkEnd w:id="3"/>
      <w:r>
        <w:t>: pYLD Rate ratios for Māori Females</w:t>
      </w:r>
    </w:p>
    <w:tbl>
      <w:tblPr>
        <w:tblStyle w:val="TableGrid"/>
        <w:tblW w:w="0" w:type="auto"/>
        <w:tblInd w:w="0" w:type="dxa"/>
        <w:tblLook w:val="04A0" w:firstRow="1" w:lastRow="0" w:firstColumn="1" w:lastColumn="0" w:noHBand="0" w:noVBand="1"/>
      </w:tblPr>
      <w:tblGrid>
        <w:gridCol w:w="1223"/>
        <w:gridCol w:w="13"/>
        <w:gridCol w:w="542"/>
        <w:gridCol w:w="13"/>
        <w:gridCol w:w="654"/>
        <w:gridCol w:w="13"/>
        <w:gridCol w:w="1368"/>
        <w:gridCol w:w="13"/>
        <w:gridCol w:w="1368"/>
        <w:gridCol w:w="13"/>
        <w:gridCol w:w="1368"/>
        <w:gridCol w:w="13"/>
        <w:gridCol w:w="1368"/>
        <w:gridCol w:w="13"/>
        <w:gridCol w:w="1368"/>
      </w:tblGrid>
      <w:tr w:rsidR="00897E88" w:rsidTr="00897E88">
        <w:trPr>
          <w:trHeight w:val="300"/>
        </w:trPr>
        <w:tc>
          <w:tcPr>
            <w:tcW w:w="122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Ethnicity</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Sex</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Age</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Rate ratio (dep5/dep1)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Rate ratio (dep4/dep1)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Rate ratio (dep3/dep1)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Rate ratio (dep2/dep1)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b/>
                <w:sz w:val="16"/>
              </w:rPr>
              <w:t>Rate ratio (dep1/dep1)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0-24</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381"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c>
          <w:tcPr>
            <w:tcW w:w="13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25-29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1.233833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1.175374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1.116916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1.058458</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30-34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1.187804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1.140853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1.093902</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1.046951</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35-39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1.21267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1.159503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1.106335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1.053168</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40-44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1.175167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1.131375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1.087583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1.043792</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45-49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1.129293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1.09697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1.064647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1.032323</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50-54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1.157673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1.118255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1.078836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1.039418</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55-59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1.143996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1.107997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1.071998</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1.035999</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60-64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1.127272</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1.095454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1.063636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1.031818</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65-69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1.080785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1.060588</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1.040392</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1.020196</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70-74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1.064367</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1.048275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1.032184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1.016092</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75-79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1.050946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1.03821</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1.025473</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1.012737</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80-84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1.042091</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1.031568</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1.021045</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1.010523</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szCs w:val="22"/>
              </w:rPr>
            </w:pPr>
            <w:r>
              <w:rPr>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F</w:t>
            </w:r>
          </w:p>
        </w:tc>
        <w:tc>
          <w:tcPr>
            <w:tcW w:w="667"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sz w:val="16"/>
              </w:rPr>
            </w:pPr>
            <w:r>
              <w:rPr>
                <w:sz w:val="16"/>
              </w:rPr>
              <w:t>85-89</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1.006856</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1.005142</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1.003428</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1.001714</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1236"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22"/>
              </w:rPr>
            </w:pPr>
            <w:r>
              <w:rPr>
                <w:rFonts w:cstheme="minorHAnsi"/>
                <w:sz w:val="16"/>
              </w:rPr>
              <w:t>Māori</w:t>
            </w:r>
          </w:p>
        </w:tc>
        <w:tc>
          <w:tcPr>
            <w:tcW w:w="555" w:type="dxa"/>
            <w:gridSpan w:val="2"/>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rPr>
            </w:pPr>
            <w:r>
              <w:rPr>
                <w:rFonts w:cstheme="minorHAnsi"/>
                <w:sz w:val="16"/>
              </w:rPr>
              <w:t>F</w:t>
            </w:r>
          </w:p>
        </w:tc>
        <w:tc>
          <w:tcPr>
            <w:tcW w:w="667"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rPr>
            </w:pPr>
            <w:r>
              <w:rPr>
                <w:rFonts w:cstheme="minorHAnsi"/>
                <w:color w:val="000000"/>
                <w:sz w:val="16"/>
              </w:rPr>
              <w:t>90+</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0.848308</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0.886231</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0.924154</w:t>
            </w:r>
          </w:p>
        </w:tc>
        <w:tc>
          <w:tcPr>
            <w:tcW w:w="1381" w:type="dxa"/>
            <w:gridSpan w:val="2"/>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0.962077</w:t>
            </w:r>
          </w:p>
        </w:tc>
        <w:tc>
          <w:tcPr>
            <w:tcW w:w="13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4" w:name="_Ref48831266"/>
      <w:r>
        <w:t xml:space="preserve">Supplementary Table </w:t>
      </w:r>
      <w:r>
        <w:fldChar w:fldCharType="begin"/>
      </w:r>
      <w:r>
        <w:rPr>
          <w:noProof/>
        </w:rPr>
        <w:instrText xml:space="preserve"> SEQ Supplementary_Table \* ARABIC </w:instrText>
      </w:r>
      <w:r>
        <w:fldChar w:fldCharType="separate"/>
      </w:r>
      <w:r>
        <w:rPr>
          <w:noProof/>
        </w:rPr>
        <w:t>5</w:t>
      </w:r>
      <w:r>
        <w:fldChar w:fldCharType="end"/>
      </w:r>
      <w:bookmarkEnd w:id="4"/>
      <w:r>
        <w:t>: CHD rates for Māori Females</w:t>
      </w:r>
    </w:p>
    <w:tbl>
      <w:tblPr>
        <w:tblStyle w:val="TableGrid"/>
        <w:tblW w:w="0" w:type="auto"/>
        <w:tblInd w:w="0" w:type="dxa"/>
        <w:tblLook w:val="04A0" w:firstRow="1" w:lastRow="0" w:firstColumn="1" w:lastColumn="0" w:noHBand="0" w:noVBand="1"/>
      </w:tblPr>
      <w:tblGrid>
        <w:gridCol w:w="960"/>
        <w:gridCol w:w="960"/>
        <w:gridCol w:w="960"/>
        <w:gridCol w:w="1140"/>
        <w:gridCol w:w="960"/>
        <w:gridCol w:w="960"/>
        <w:gridCol w:w="1255"/>
      </w:tblGrid>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Ethnicity</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Sex</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Age</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Prevalence</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Incidence</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Fatality</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Disability Rate</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0.005431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0.016293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0.032585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0.054309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0.081463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0.114048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8.6531E-05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4.65E-05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0.142915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0.00012766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6.9E-05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0.162633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0.00018458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9.78E-05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0.173202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0.0002609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0.174623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0.0003611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0.000174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0.166894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0.00049148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0.150016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0.00065551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0.126389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0.00084868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0.105162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0.00106311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0.086334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0.00129157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0.069907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0.00152665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0.055878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0.00176014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0.000309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0.04425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0.00198558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0.000294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0.036755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0.00220548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0.000288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0.030996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0.0024283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0.000292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0.02697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0.00266111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0.024679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0.00290969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0.000329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0.024122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0.00317849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0.00348683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0.000434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0.027466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0.00386711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0.000537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0.028885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0.00434901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0.000671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0.029557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0.004962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0.000836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0.029484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0.00573568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0.001031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0.028663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0.00670044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0.001257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0.027096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0.00789852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0.001537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0.02504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0.00936581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0.001839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0.02324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0.096268</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0.01112029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0.002165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0.021698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0.01317935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0.002514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0.020412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0.01555942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0.002887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0.019383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0.01827551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0.003282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0.018612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0.02132469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0.003667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0.018112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0.02467794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0.00402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0.017628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0.02829785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0.004339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0.01716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0.03214814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0.004625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0.016707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0.0361936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0.004879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0.016269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0.04040007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0.005099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0.015847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0.11249</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0.04478414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0.005407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0.015777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0.04942521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0.005835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0.016043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0.05441109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0.006384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0.016646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0.05982106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0.007053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0.017586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0.06572488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0.007842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0.018862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0.07218178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0.008751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0.020475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0.07921749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0.009712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0.02216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0.08678621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0.010604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0.023583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0.09480191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0.011427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0.024743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0.10318604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0.012181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0.025639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0.123975</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0.11186833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0.012867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0.026272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0.12078727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0.013483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0.026642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0.12988245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0.01403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0.026881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0.13910704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0.014576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0.027255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0.14843047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0.015121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0.027761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0.15782072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0.015666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0.028402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0.1672445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0.029175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0.17666751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0.016753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0.030082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0.18608633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0.017485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0.031713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0.19553112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0.018407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0.033934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0.109541</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0.2050256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0.01952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0.036745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0.21457837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0.020823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0.040147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0.22418386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0.022316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0.04414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0.23382357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0.023999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0.048723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0.24337891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0.025619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0.053848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0.25262657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0.026986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0.058927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0.26134547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0.028099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0.063958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0.26934014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0.028959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0.068941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0.27643974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0.029566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0.073878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0.28249618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0.029919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0.078766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0.100756</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0.28723392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0.029987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0.085003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0.29033412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0.030022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0.092634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0.29158889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0.030024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0.10166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0.29081797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0.029995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0.112082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0.28787713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0.029932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0.123898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0.28266789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0.029838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0.137109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0.27504134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0.030028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0.154038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0.26497195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0.030535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0.17329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0.25270519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0.194863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0.23860577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0.032503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0.21876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0.2231577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0.033962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0.244978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0.20694661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0.035739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0.27352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0.19080747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0.037535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0.299974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0.17544101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0.039509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0.329074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0.16288367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0.35599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0.089604</w:t>
            </w:r>
          </w:p>
        </w:tc>
      </w:tr>
    </w:tbl>
    <w:p w:rsidR="00897E88" w:rsidRDefault="00897E88" w:rsidP="00897E88">
      <w:pPr>
        <w:spacing w:line="240" w:lineRule="auto"/>
        <w:rPr>
          <w:sz w:val="18"/>
        </w:rPr>
      </w:pPr>
    </w:p>
    <w:p w:rsidR="00897E88" w:rsidRDefault="00897E88" w:rsidP="00897E88">
      <w:pPr>
        <w:pStyle w:val="Caption"/>
        <w:keepNext/>
      </w:pPr>
      <w:bookmarkStart w:id="5" w:name="_Ref48830953"/>
      <w:r>
        <w:t xml:space="preserve">Supplementary Table </w:t>
      </w:r>
      <w:r>
        <w:fldChar w:fldCharType="begin"/>
      </w:r>
      <w:r>
        <w:rPr>
          <w:noProof/>
        </w:rPr>
        <w:instrText xml:space="preserve"> SEQ Supplementary_Table \* ARABIC </w:instrText>
      </w:r>
      <w:r>
        <w:fldChar w:fldCharType="separate"/>
      </w:r>
      <w:r>
        <w:rPr>
          <w:noProof/>
        </w:rPr>
        <w:t>6</w:t>
      </w:r>
      <w:r>
        <w:fldChar w:fldCharType="end"/>
      </w:r>
      <w:bookmarkEnd w:id="5"/>
      <w:r>
        <w:t>: CHD Incidence rate ratios for Māori Females</w:t>
      </w:r>
    </w:p>
    <w:p w:rsidR="00897E88" w:rsidRDefault="00897E88" w:rsidP="00897E88">
      <w:pPr>
        <w:spacing w:line="240" w:lineRule="auto"/>
      </w:pPr>
      <w:r>
        <w:t>The data in supplementary tables 6, 8, 10, and 12 were based on extracts from the following NZ national health collections: National Health Index (NHI), Primary Health Organisation (PHO) Enrolment collection, Laboratory Claims, Pharmaceutical Claims, National Minimum Dataset (NMDS) - publicly funded hospitalizations only, Cancer Registry, Mortality Collection, National Non-Admitted Patient Collection, General Medical Subsidy (GMS) Claims.</w:t>
      </w:r>
    </w:p>
    <w:p w:rsidR="00897E88" w:rsidRDefault="00897E88" w:rsidP="00897E88">
      <w:pPr>
        <w:spacing w:line="240" w:lineRule="auto"/>
      </w:pPr>
    </w:p>
    <w:p w:rsidR="00897E88" w:rsidRDefault="00897E88" w:rsidP="00897E88">
      <w:pPr>
        <w:spacing w:line="240" w:lineRule="auto"/>
      </w:pPr>
      <w:r>
        <w:rPr>
          <w:b/>
        </w:rPr>
        <w:t>Health Service user population, and disease indications</w:t>
      </w:r>
    </w:p>
    <w:p w:rsidR="00897E88" w:rsidRDefault="00897E88" w:rsidP="00897E88">
      <w:pPr>
        <w:spacing w:line="240" w:lineRule="auto"/>
      </w:pPr>
      <w:r>
        <w:t>We created a health service user population for the 2011/12 financial year based on recorded contact and residence status in the above collections. Amongst this group of people, we used the algorithms described below to flag whether or not an individual had shown an indication of CHD or stroke in 2011/12:</w:t>
      </w:r>
    </w:p>
    <w:p w:rsidR="00897E88" w:rsidRDefault="00897E88" w:rsidP="00897E88">
      <w:pPr>
        <w:spacing w:line="240" w:lineRule="auto"/>
        <w:ind w:left="720"/>
        <w:rPr>
          <w:sz w:val="18"/>
          <w:szCs w:val="18"/>
        </w:rPr>
      </w:pPr>
      <w:r>
        <w:rPr>
          <w:b/>
        </w:rPr>
        <w:lastRenderedPageBreak/>
        <w:t>CHD:</w:t>
      </w:r>
      <w:r>
        <w:t xml:space="preserve"> </w:t>
      </w:r>
      <w:r>
        <w:rPr>
          <w:sz w:val="18"/>
          <w:szCs w:val="18"/>
        </w:rPr>
        <w:t>People with a publicly-funded hospital discharge with any (primary or otherwise) diagnosis of ICD-10-AM codes I20-I25 on or before the specified financial year who were alive for at least part of the year, or with an underlying cause of death recorded as one of these ICD-10-codes within the specified financial year, or with one of the following publicly-funded hospital procedures during the specified financial year:</w:t>
      </w:r>
    </w:p>
    <w:p w:rsidR="00897E88" w:rsidRDefault="00897E88" w:rsidP="00897E88">
      <w:pPr>
        <w:spacing w:line="240" w:lineRule="auto"/>
        <w:ind w:left="720"/>
        <w:rPr>
          <w:sz w:val="18"/>
          <w:szCs w:val="18"/>
        </w:rPr>
      </w:pPr>
      <w:r>
        <w:rPr>
          <w:sz w:val="18"/>
          <w:szCs w:val="18"/>
        </w:rPr>
        <w:t>(ICD-10-AM: 3530400, 3530500, 3531000, 3531001, 3531002, 3849700, 3849701, 3849702, 3849703, 3849704, 3849705, 3849706, 3849707, 3850000, 3850001, 3850002, 3850003, 3850004, 3850300, 3850301, 3850302, 3850303, 3850304, 3863700, 9020100, 9020101, 9020102, 9020103)</w:t>
      </w:r>
    </w:p>
    <w:p w:rsidR="00897E88" w:rsidRDefault="00897E88" w:rsidP="00897E88">
      <w:pPr>
        <w:spacing w:line="240" w:lineRule="auto"/>
        <w:ind w:left="720"/>
        <w:rPr>
          <w:sz w:val="18"/>
          <w:szCs w:val="18"/>
        </w:rPr>
      </w:pPr>
      <w:r>
        <w:rPr>
          <w:sz w:val="18"/>
          <w:szCs w:val="18"/>
        </w:rPr>
        <w:t>or with two or more dispensings of one of the following pharmaceuticals :</w:t>
      </w:r>
    </w:p>
    <w:p w:rsidR="00897E88" w:rsidRDefault="00897E88" w:rsidP="00897E88">
      <w:pPr>
        <w:spacing w:line="240" w:lineRule="auto"/>
        <w:ind w:left="720"/>
        <w:rPr>
          <w:sz w:val="18"/>
          <w:szCs w:val="18"/>
        </w:rPr>
      </w:pPr>
      <w:r>
        <w:rPr>
          <w:sz w:val="18"/>
          <w:szCs w:val="18"/>
        </w:rPr>
        <w:t xml:space="preserve">(Glyceryl trinitrate 1577, Isosorbide Dinitrate 2377 , Isosorbide mononitrate 2836, Nicorandil 1272, Perhexiline maleate 1949) in the specified financial year </w:t>
      </w:r>
    </w:p>
    <w:p w:rsidR="00897E88" w:rsidRDefault="00897E88" w:rsidP="00897E88">
      <w:pPr>
        <w:spacing w:line="240" w:lineRule="auto"/>
        <w:ind w:left="720"/>
        <w:rPr>
          <w:sz w:val="18"/>
          <w:szCs w:val="18"/>
        </w:rPr>
      </w:pPr>
      <w:r>
        <w:rPr>
          <w:b/>
        </w:rPr>
        <w:t>Stroke</w:t>
      </w:r>
      <w:r>
        <w:t xml:space="preserve">: </w:t>
      </w:r>
      <w:r>
        <w:rPr>
          <w:sz w:val="18"/>
          <w:szCs w:val="18"/>
        </w:rPr>
        <w:t>People with a publicly-funded hospital discharge with any (primary or otherwise) diagnosis of ICD-10-AM codes G45-G46, I60-I67 on or before the specified financial year who were alive for at least part of the year, or with an underlying cause of death recorded as one of these ICD-10-codes, during the specified financial year</w:t>
      </w:r>
    </w:p>
    <w:p w:rsidR="00897E88" w:rsidRDefault="00897E88" w:rsidP="00897E88">
      <w:pPr>
        <w:spacing w:line="240" w:lineRule="auto"/>
      </w:pPr>
    </w:p>
    <w:p w:rsidR="00897E88" w:rsidRDefault="00897E88" w:rsidP="00897E88">
      <w:pPr>
        <w:spacing w:line="240" w:lineRule="auto"/>
      </w:pPr>
      <w:r>
        <w:rPr>
          <w:b/>
        </w:rPr>
        <w:t>NZ Deprivation quintile</w:t>
      </w:r>
    </w:p>
    <w:p w:rsidR="00897E88" w:rsidRDefault="00897E88" w:rsidP="00897E88">
      <w:pPr>
        <w:spacing w:line="240" w:lineRule="auto"/>
      </w:pPr>
      <w:r>
        <w:t>We created a variable to flag NZ Deprivation Index quintile (as there is no standard NZDep variable as part of these collections) based on the following method:</w:t>
      </w:r>
    </w:p>
    <w:p w:rsidR="00897E88" w:rsidRDefault="00897E88" w:rsidP="00897E88">
      <w:pPr>
        <w:spacing w:line="240" w:lineRule="auto"/>
      </w:pPr>
      <w:r>
        <w:t>We extracted all domicile codes for each person for the years 2004/05 to 2014/15, along with relevant dates, from the following collections: NMDS (event end date), NHI (last updated date), Cancer registrations (diagnosis date), Mortality (date of death), NNPAC (date of service), PHO (last consultation date). Note that one person can have many domicile codes over a year.</w:t>
      </w:r>
    </w:p>
    <w:p w:rsidR="00897E88" w:rsidRDefault="00897E88" w:rsidP="00897E88">
      <w:pPr>
        <w:spacing w:line="240" w:lineRule="auto"/>
      </w:pPr>
      <w:r>
        <w:t>The domicile codes were mapped to census area units, which in turn were mapped to NZ Dep quintiles, first using 2013 mappings (and then if they didn't work, 2006 mappings). Where an individual in the health service user population had more than one NZDep quintile value for a particular financial year, we assigned the quintile value closest to the end of the financial year.  Where an individual did not have an NZDep quintile for a particular financial year, we used an NZDep quintile from the closest financial year (looking back first). A maximum five year range was used (that is, two years either side of the particular year). Finally, the NZDep quintile based on the domicile code from the NHI – which represented the NZDep from the last recorded (i.e. most recent) domicile code was added on to fill any remaining gaps.</w:t>
      </w:r>
    </w:p>
    <w:p w:rsidR="00897E88" w:rsidRDefault="00897E88" w:rsidP="00897E88">
      <w:pPr>
        <w:spacing w:line="240" w:lineRule="auto"/>
      </w:pPr>
    </w:p>
    <w:p w:rsidR="00897E88" w:rsidRDefault="00897E88" w:rsidP="00897E88">
      <w:pPr>
        <w:spacing w:line="240" w:lineRule="auto"/>
      </w:pPr>
      <w:r>
        <w:rPr>
          <w:b/>
        </w:rPr>
        <w:t>Incidence</w:t>
      </w:r>
    </w:p>
    <w:p w:rsidR="00897E88" w:rsidRDefault="00897E88" w:rsidP="00897E88">
      <w:pPr>
        <w:spacing w:line="240" w:lineRule="auto"/>
      </w:pPr>
      <w:r>
        <w:t>Incidence was measured as counts of people with their first indication of CHD or Stroke in 2011/12 divided by person time at risk (based on the health service use population). When incidence was calculated by age, sex, ethnic, and deprivation quintile group, the numbers were very small and patterns in rates were unstable. Predicted rates were calculated using Poisson regression (or negative binomial if overdispersed).</w:t>
      </w:r>
    </w:p>
    <w:p w:rsidR="00897E88" w:rsidRDefault="00897E88" w:rsidP="00897E88">
      <w:pPr>
        <w:spacing w:line="240" w:lineRule="auto"/>
      </w:pPr>
    </w:p>
    <w:p w:rsidR="00897E88" w:rsidRDefault="00897E88" w:rsidP="00897E88">
      <w:pPr>
        <w:spacing w:line="240" w:lineRule="auto"/>
      </w:pPr>
    </w:p>
    <w:p w:rsidR="00897E88" w:rsidRDefault="00897E88" w:rsidP="00897E88">
      <w:pPr>
        <w:spacing w:line="240" w:lineRule="auto"/>
      </w:pPr>
      <w:r>
        <w:rPr>
          <w:b/>
        </w:rPr>
        <w:t>Prevalence</w:t>
      </w:r>
    </w:p>
    <w:p w:rsidR="00897E88" w:rsidRDefault="00897E88" w:rsidP="00897E88">
      <w:pPr>
        <w:spacing w:line="240" w:lineRule="auto"/>
      </w:pPr>
      <w:r>
        <w:t>Prevalence was calculated as a proportion with number of cases (of CHD or stroke) divided by the health service user population. As for the incidence measure, rates were unstable when broken down by the four demographic variables, so logistic regression was used to calculate predicted rates.</w:t>
      </w:r>
    </w:p>
    <w:p w:rsidR="00897E88" w:rsidRDefault="00897E88" w:rsidP="00897E88"/>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2.508118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2.131088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1.754059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1.377029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2.447497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2.085623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1.723748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1.361874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2.359299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2.019474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1.67965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1.339825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2.246627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1.93497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1.623314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1.311657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2.113324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1.834993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1.556662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1.278331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1.963758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1.722819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1.481879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1.24094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1.80259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1.601942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1.401295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1.200647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1.717948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1.538461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1.358974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1.179487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1.533512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1.400134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1.266756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1.133378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1.384246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1.288185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1.192123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1.096062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1.26354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1.197655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1.13177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1.065885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1.166309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1.124732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1.083154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1.041577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1.088648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1.066486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1.044324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1.022162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1.017131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1.012848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1.008565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1.004283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6" w:name="_Ref48830963"/>
      <w:r>
        <w:t xml:space="preserve">Supplementary Table </w:t>
      </w:r>
      <w:r>
        <w:fldChar w:fldCharType="begin"/>
      </w:r>
      <w:r>
        <w:rPr>
          <w:noProof/>
        </w:rPr>
        <w:instrText xml:space="preserve"> SEQ Supplementary_Table \* ARABIC </w:instrText>
      </w:r>
      <w:r>
        <w:fldChar w:fldCharType="separate"/>
      </w:r>
      <w:r>
        <w:rPr>
          <w:noProof/>
        </w:rPr>
        <w:t>7</w:t>
      </w:r>
      <w:r>
        <w:fldChar w:fldCharType="end"/>
      </w:r>
      <w:bookmarkEnd w:id="6"/>
      <w:r>
        <w:t>: CHD Fatality rate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1.48253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1.361897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1.241265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1.120632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1.456976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1.342732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1.228488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1.114244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1.419471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1.314603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1.209735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1.104868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1.370961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1.27822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1.18548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1.09274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1.312648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1.984486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1.156324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1.078162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1.245937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1.934453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1.122969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1.061484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1.172381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1.879286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1.086191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1.043095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1.187543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1.890657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1.093771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1.046886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1.189493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1.892119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1.094746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1.047373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1.167084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1.125313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1.083542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1.041771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1.121684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1.091263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1.060842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1.030421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1.056009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1.042007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1.028005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1.014002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0.973852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0.980389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0.986926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0.993463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0.859885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0.894913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0.929942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0.964971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7" w:name="_Ref48831234"/>
      <w:r>
        <w:t xml:space="preserve">Supplementary Table </w:t>
      </w:r>
      <w:r>
        <w:fldChar w:fldCharType="begin"/>
      </w:r>
      <w:r>
        <w:rPr>
          <w:noProof/>
        </w:rPr>
        <w:instrText xml:space="preserve"> SEQ Supplementary_Table \* ARABIC </w:instrText>
      </w:r>
      <w:r>
        <w:fldChar w:fldCharType="separate"/>
      </w:r>
      <w:r>
        <w:rPr>
          <w:noProof/>
        </w:rPr>
        <w:t>8</w:t>
      </w:r>
      <w:r>
        <w:fldChar w:fldCharType="end"/>
      </w:r>
      <w:bookmarkEnd w:id="7"/>
      <w:r>
        <w:t>: CHD Prevalence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bookmarkStart w:id="8" w:name="_Hlk52307651"/>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bookmarkEnd w:id="8"/>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lastRenderedPageBreak/>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2.137763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1.853322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1.568881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1.284441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2.127309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1.845482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1.563655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1.281827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2.102494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1.826871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1.551247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1.275624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2.063819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1.797864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1.53191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1.265955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2.012061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1.759046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1.50603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1.253015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1.948246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1.711185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1.474123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1.237062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1.873609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1.655207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1.436805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1.218402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1.697884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1.523413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1.348942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1.174471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1.483933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1.36295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1.241967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1.120983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1.323865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1.242899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1.161933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1.080966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1.205583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1.154187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1.102791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1.051396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1.120657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1.090493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1.060329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1.030164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1.063342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1.047506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1.031671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1.015835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1.025867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1.019401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1.012934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1.006467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9" w:name="_Ref48831508"/>
      <w:r>
        <w:t xml:space="preserve">Supplementary Table </w:t>
      </w:r>
      <w:r>
        <w:fldChar w:fldCharType="begin"/>
      </w:r>
      <w:r>
        <w:rPr>
          <w:noProof/>
        </w:rPr>
        <w:instrText xml:space="preserve"> SEQ Supplementary_Table \* ARABIC </w:instrText>
      </w:r>
      <w:r>
        <w:fldChar w:fldCharType="separate"/>
      </w:r>
      <w:r>
        <w:rPr>
          <w:noProof/>
        </w:rPr>
        <w:t>9</w:t>
      </w:r>
      <w:r>
        <w:fldChar w:fldCharType="end"/>
      </w:r>
      <w:bookmarkEnd w:id="9"/>
      <w:r>
        <w:t>: Stroke rates for Māori Females</w:t>
      </w:r>
    </w:p>
    <w:tbl>
      <w:tblPr>
        <w:tblStyle w:val="TableGrid"/>
        <w:tblW w:w="0" w:type="auto"/>
        <w:tblInd w:w="0" w:type="dxa"/>
        <w:tblLook w:val="04A0" w:firstRow="1" w:lastRow="0" w:firstColumn="1" w:lastColumn="0" w:noHBand="0" w:noVBand="1"/>
      </w:tblPr>
      <w:tblGrid>
        <w:gridCol w:w="960"/>
        <w:gridCol w:w="960"/>
        <w:gridCol w:w="960"/>
        <w:gridCol w:w="1140"/>
        <w:gridCol w:w="960"/>
        <w:gridCol w:w="960"/>
        <w:gridCol w:w="1255"/>
      </w:tblGrid>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Ethnicity</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Sex</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Age</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Prevalence</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Incidence</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Fatality</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b/>
                <w:sz w:val="16"/>
                <w:szCs w:val="16"/>
              </w:rPr>
            </w:pPr>
            <w:r>
              <w:rPr>
                <w:rFonts w:ascii="Calibri" w:hAnsi="Calibri" w:cs="Calibri"/>
                <w:b/>
                <w:color w:val="000000"/>
                <w:sz w:val="16"/>
                <w:szCs w:val="16"/>
              </w:rPr>
              <w:t>Disability Rate</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5.48E-07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1.12E-06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0.047619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2.59E-06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3.37E-06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0.142857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6.5E-06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6.73E-06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0.285714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1.17E-05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1.12E-05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0.47619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1.68E-05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1.68E-05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0.714286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2.05E-05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2.36E-05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2.3E-05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3.2E-05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1.285714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2.52E-05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4.1E-05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1.52381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2.76E-05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5.07E-05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1.714286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3.06E-05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6.09E-05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1.857143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3.41E-05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7.17E-05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1.952381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3.84E-05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8.31E-05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5.03E-05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0.000123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1.95321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7.8E-05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0.000191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1.859631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39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0.000287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1.719261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0.000199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0.000411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1.532102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0.000313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0.000564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1.298153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0.000493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0.000744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1.017414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0.000781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0.000943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0.736539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0.001213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0.001133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0.502318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0.431037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0.001834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0.001315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0.314749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0.002705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0.001487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0.173835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0.003879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0.001651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0.079573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0.005359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0.001805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0.031965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49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0.007026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0.001939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0.031062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0.00877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0.002061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0.030209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0.010581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0.002172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0.029406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0.012447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0.002272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0.028654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0.014358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0.027953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0.016302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0.002436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0.027303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0.137442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0.018276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0.002517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0.026902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0.020284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0.002613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0.022339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0.002725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0.026697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0.002853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0.026893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59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0.026625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0.002996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0.027287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0.028869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0.003155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0.02788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0.031193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0.003338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0.02869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0.033602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0.029518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0.036098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0.003731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0.030364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0.03868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0.003941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0.031228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0.129704</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0.004159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0.03211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0.044107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0.004387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0.03301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0.046947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0.004626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0.034107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0.049861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0.004867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0.035384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69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0.052832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0.005111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0.036841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0.055843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0.005357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0.038478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0.058878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0.005606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0.040295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0.061917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0.005858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0.042291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0.064941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0.006115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0.044522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0.067936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0.006376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0.046807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0.163902</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0.070889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0.049147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0.07379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0.006908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0.051542</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0.076629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0.007179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0.053991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0.079396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0.007453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0.056495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79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0.082061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0.007898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0.061678</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0.084567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0.008512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0.069485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0.086845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0.009293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0.079916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0.088821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0.010243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0.092971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0.090421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0.01136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0.10865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0.091581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0.012646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0.126953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0.258457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0.092002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0.014028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0.153503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0.091237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0.015338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0.185677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0.089015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0.016576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0.223474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0.085244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0.017742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0.266895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89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0.080037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0.018837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0.315939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0.073694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0.019861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0.370606</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0.066711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0.020792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0.428389</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0.059802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0.021703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0.483665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0.053618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0.022593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0.536433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lastRenderedPageBreak/>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0.048464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0.023463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0.586694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0.044383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0.024313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0.634447</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0.041262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0.025143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0.679693</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0.038963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0.025836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0.716325</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0.037271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0.026599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0.756621</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99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102</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103</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106</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107</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108</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109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r w:rsidR="00897E88" w:rsidTr="00897E88">
        <w:trPr>
          <w:trHeight w:hRule="exact" w:val="21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Māori</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F</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110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0.036039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0.02712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0.793784</w:t>
            </w:r>
          </w:p>
        </w:tc>
        <w:tc>
          <w:tcPr>
            <w:tcW w:w="1255"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sz w:val="16"/>
                <w:szCs w:val="16"/>
              </w:rPr>
            </w:pPr>
            <w:r>
              <w:rPr>
                <w:rFonts w:ascii="Calibri" w:hAnsi="Calibri" w:cs="Calibri"/>
                <w:color w:val="000000"/>
                <w:sz w:val="16"/>
                <w:szCs w:val="16"/>
              </w:rPr>
              <w:t>0.558867</w:t>
            </w:r>
          </w:p>
        </w:tc>
      </w:tr>
    </w:tbl>
    <w:p w:rsidR="00897E88" w:rsidRDefault="00897E88" w:rsidP="00897E88">
      <w:pPr>
        <w:spacing w:line="240" w:lineRule="auto"/>
        <w:rPr>
          <w:sz w:val="18"/>
        </w:rPr>
      </w:pPr>
    </w:p>
    <w:p w:rsidR="00897E88" w:rsidRDefault="00897E88" w:rsidP="00897E88">
      <w:pPr>
        <w:pStyle w:val="Caption"/>
        <w:keepNext/>
      </w:pPr>
      <w:bookmarkStart w:id="10" w:name="_Ref48831986"/>
      <w:r>
        <w:t xml:space="preserve">Supplementary Table </w:t>
      </w:r>
      <w:r>
        <w:fldChar w:fldCharType="begin"/>
      </w:r>
      <w:r>
        <w:rPr>
          <w:noProof/>
        </w:rPr>
        <w:instrText xml:space="preserve"> SEQ Supplementary_Table \* ARABIC </w:instrText>
      </w:r>
      <w:r>
        <w:fldChar w:fldCharType="separate"/>
      </w:r>
      <w:r>
        <w:rPr>
          <w:noProof/>
        </w:rPr>
        <w:t>10</w:t>
      </w:r>
      <w:r>
        <w:fldChar w:fldCharType="end"/>
      </w:r>
      <w:bookmarkEnd w:id="10"/>
      <w:r>
        <w:t>: Stroke Incidence rate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1.573997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1.430498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1.286999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1.143499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1.597383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1.448037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1.298691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1.149346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1.633113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1.474835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1.316557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1.158278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1.682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1.5115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1.1705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1.745172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1.558879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1.372586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1.186293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1.824119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1.618089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1.412059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1.20603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1.920749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1.690562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1.460375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1.230187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1.663498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1.497623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1.331749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1.165874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1.438686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1.329014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1.219343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1.109671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1.273003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1.204752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1.136501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1.068251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1.152425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1.114319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1.076212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1.038106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1.067372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1.050529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1.033686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1.016843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1.011437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1.008578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1.005719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1.002859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0.977196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0.982897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0.988598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0.994299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11" w:name="_Ref48831989"/>
      <w:r>
        <w:t xml:space="preserve">Supplementary Table </w:t>
      </w:r>
      <w:r>
        <w:fldChar w:fldCharType="begin"/>
      </w:r>
      <w:r>
        <w:rPr>
          <w:noProof/>
        </w:rPr>
        <w:instrText xml:space="preserve"> SEQ Supplementary_Table \* ARABIC </w:instrText>
      </w:r>
      <w:r>
        <w:fldChar w:fldCharType="separate"/>
      </w:r>
      <w:r>
        <w:rPr>
          <w:noProof/>
        </w:rPr>
        <w:t>11</w:t>
      </w:r>
      <w:r>
        <w:fldChar w:fldCharType="end"/>
      </w:r>
      <w:bookmarkEnd w:id="11"/>
      <w:r>
        <w:t>: Stroke Fatality rate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1.161292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1.120969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1.080646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1.040323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1.176665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1.132499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1.088332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1.044166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1.200108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1.150081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1.100054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1.050027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1.232093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1.174069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1.116046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1.058023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1.273275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1.954957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1.136638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1.068319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1.324515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1.993387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1.162258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1.081129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lastRenderedPageBreak/>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1.386907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2.04018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1.193453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1.096727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1.294083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1.970562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1.147041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1.073521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1.240382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1.930287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1.120191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1.060096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1.186802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1.140102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1.093401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1.046701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1.133521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1.100141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1.06676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1.03338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1.08071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1.060532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1.040355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1.020177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1.028531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1.021399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1.014266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1.007133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0.966962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0.975221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0.983481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0.99174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12" w:name="_Ref48831991"/>
      <w:r>
        <w:t xml:space="preserve">Supplementary Table </w:t>
      </w:r>
      <w:r>
        <w:fldChar w:fldCharType="begin"/>
      </w:r>
      <w:r>
        <w:rPr>
          <w:noProof/>
        </w:rPr>
        <w:instrText xml:space="preserve"> SEQ Supplementary_Table \* ARABIC </w:instrText>
      </w:r>
      <w:r>
        <w:fldChar w:fldCharType="separate"/>
      </w:r>
      <w:r>
        <w:rPr>
          <w:noProof/>
        </w:rPr>
        <w:t>12</w:t>
      </w:r>
      <w:r>
        <w:fldChar w:fldCharType="end"/>
      </w:r>
      <w:bookmarkEnd w:id="12"/>
      <w:r>
        <w:t>: Stroke Prevalence ratios for Māori Females</w:t>
      </w:r>
    </w:p>
    <w:tbl>
      <w:tblPr>
        <w:tblStyle w:val="TableGrid"/>
        <w:tblW w:w="0" w:type="auto"/>
        <w:tblInd w:w="0" w:type="dxa"/>
        <w:tblLook w:val="04A0" w:firstRow="1" w:lastRow="0" w:firstColumn="1" w:lastColumn="0" w:noHBand="0" w:noVBand="1"/>
      </w:tblPr>
      <w:tblGrid>
        <w:gridCol w:w="895"/>
        <w:gridCol w:w="563"/>
        <w:gridCol w:w="682"/>
        <w:gridCol w:w="1442"/>
        <w:gridCol w:w="1442"/>
        <w:gridCol w:w="1442"/>
        <w:gridCol w:w="1442"/>
        <w:gridCol w:w="1442"/>
      </w:tblGrid>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Ethnicity</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Sex</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Age</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(dep5/dep1)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(dep4/dep1)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(dep3/dep1)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(dep2/dep1)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b/>
                <w:sz w:val="16"/>
              </w:rPr>
              <w:t>Rate ratio (dep1/dep1)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c>
          <w:tcPr>
            <w:tcW w:w="144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1.549719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1.412289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1.27486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1.13743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1.58028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1.43521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1.29014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1.14507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1.621962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1.466471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1.310981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1.15549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1.675606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1.506704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1.337803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1.168901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1.742323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1.556742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1.371161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1.185581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1.823519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1.617639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1.411759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1.20588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1.920954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1.690716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1.460477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1.230239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1.660236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1.495177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1.330118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1.165059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1.428493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1.321369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1.214246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1.107123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1.261287</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1.195966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1.130644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1.065322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1.142819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1.107114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1.07141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1.035705</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1.062598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1.046948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1.031299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1.015649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1.013883</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1.010412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1.006941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1.003471</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95"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563"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68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cstheme="minorHAnsi"/>
                <w:color w:val="000000"/>
                <w:sz w:val="16"/>
                <w:szCs w:val="16"/>
              </w:rPr>
              <w:t>90+</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0.991632</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0.993724</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0.995816</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0.997908</w:t>
            </w:r>
          </w:p>
        </w:tc>
        <w:tc>
          <w:tcPr>
            <w:tcW w:w="1442"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bl>
    <w:p w:rsidR="00897E88" w:rsidRDefault="00897E88" w:rsidP="00897E88">
      <w:pPr>
        <w:spacing w:line="240" w:lineRule="auto"/>
        <w:rPr>
          <w:sz w:val="18"/>
        </w:rPr>
      </w:pPr>
    </w:p>
    <w:p w:rsidR="00897E88" w:rsidRDefault="00897E88" w:rsidP="00897E88">
      <w:pPr>
        <w:pStyle w:val="Caption"/>
        <w:keepNext/>
      </w:pPr>
      <w:bookmarkStart w:id="13" w:name="_Ref48832205"/>
      <w:r>
        <w:t xml:space="preserve">Supplementary Table </w:t>
      </w:r>
      <w:r>
        <w:fldChar w:fldCharType="begin"/>
      </w:r>
      <w:r>
        <w:rPr>
          <w:noProof/>
        </w:rPr>
        <w:instrText xml:space="preserve"> SEQ Supplementary_Table \* ARABIC </w:instrText>
      </w:r>
      <w:r>
        <w:fldChar w:fldCharType="separate"/>
      </w:r>
      <w:r>
        <w:rPr>
          <w:noProof/>
        </w:rPr>
        <w:t>13</w:t>
      </w:r>
      <w:r>
        <w:fldChar w:fldCharType="end"/>
      </w:r>
      <w:bookmarkEnd w:id="13"/>
      <w:r>
        <w:t>: Sodium Daily Intake Proportions for Māori Females (rows sum to 1)</w:t>
      </w:r>
    </w:p>
    <w:tbl>
      <w:tblPr>
        <w:tblStyle w:val="TableGrid"/>
        <w:tblW w:w="10345" w:type="dxa"/>
        <w:tblInd w:w="0" w:type="dxa"/>
        <w:tblLook w:val="04A0" w:firstRow="1" w:lastRow="0" w:firstColumn="1" w:lastColumn="0" w:noHBand="0" w:noVBand="1"/>
      </w:tblPr>
      <w:tblGrid>
        <w:gridCol w:w="866"/>
        <w:gridCol w:w="482"/>
        <w:gridCol w:w="719"/>
        <w:gridCol w:w="1068"/>
        <w:gridCol w:w="1068"/>
        <w:gridCol w:w="1068"/>
        <w:gridCol w:w="1068"/>
        <w:gridCol w:w="1068"/>
        <w:gridCol w:w="1068"/>
        <w:gridCol w:w="1068"/>
        <w:gridCol w:w="1068"/>
      </w:tblGrid>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Ethnicity</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Sex</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Age</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0-1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1-2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2-3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3-4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4-5 gram</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5-6 gram</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6-7 gram</w:t>
            </w:r>
          </w:p>
        </w:tc>
        <w:tc>
          <w:tcPr>
            <w:tcW w:w="802"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&gt;7 gram</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sz w:val="16"/>
                <w:szCs w:val="16"/>
              </w:rPr>
              <w:t>0.028985507</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sz w:val="16"/>
                <w:szCs w:val="16"/>
              </w:rPr>
              <w:t>0.217391304</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sz w:val="16"/>
                <w:szCs w:val="16"/>
              </w:rPr>
              <w:t>0.297101449</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sz w:val="16"/>
                <w:szCs w:val="16"/>
              </w:rPr>
              <w:t>0.188405797</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sz w:val="16"/>
                <w:szCs w:val="16"/>
              </w:rPr>
              <w:t>0.115942029</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rPr>
                <w:rFonts w:cstheme="minorHAnsi"/>
                <w:sz w:val="16"/>
                <w:szCs w:val="16"/>
              </w:rPr>
            </w:pPr>
            <w:r>
              <w:rPr>
                <w:sz w:val="16"/>
                <w:szCs w:val="16"/>
              </w:rPr>
              <w:t>0.072463768</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rPr>
                <w:rFonts w:cstheme="minorHAnsi"/>
                <w:sz w:val="16"/>
                <w:szCs w:val="16"/>
              </w:rPr>
            </w:pPr>
            <w:r>
              <w:rPr>
                <w:sz w:val="16"/>
                <w:szCs w:val="16"/>
              </w:rPr>
              <w:t>0.036231884</w:t>
            </w:r>
          </w:p>
        </w:tc>
        <w:tc>
          <w:tcPr>
            <w:tcW w:w="802"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rPr>
                <w:rFonts w:cstheme="minorHAnsi"/>
                <w:sz w:val="16"/>
                <w:szCs w:val="16"/>
              </w:rPr>
            </w:pPr>
            <w:r>
              <w:rPr>
                <w:sz w:val="16"/>
                <w:szCs w:val="16"/>
              </w:rPr>
              <w:t>0.043478261</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25-34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0.030303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0.187879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0.218182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0.218182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0.175758</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0.090909</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0.030303</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0.048485</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35-44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0.02963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0.266667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0.125926</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0.111111</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0.02963</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0.037037</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45-54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0.08642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0.160494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0.333333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0.17284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0.111111</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0.049383</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0.074074</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0.012346</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55-64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0.033333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0.283333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0.266667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0.216667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0.05</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0.016667</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0.033333</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65-74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0.051282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0.333333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0.333333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0.179487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0.025641</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0.051282</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0.025641</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75-84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0.071429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0.428571</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0.214286</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0.071429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0.071429</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0.071429</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0.071429</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0.333333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0.666667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0</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w:t>
            </w:r>
          </w:p>
        </w:tc>
        <w:tc>
          <w:tcPr>
            <w:tcW w:w="802"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color w:val="000000"/>
                <w:sz w:val="16"/>
                <w:szCs w:val="16"/>
              </w:rPr>
            </w:pPr>
            <w:r>
              <w:rPr>
                <w:rFonts w:ascii="Calibri" w:hAnsi="Calibri" w:cs="Calibri"/>
                <w:color w:val="000000"/>
                <w:sz w:val="16"/>
                <w:szCs w:val="16"/>
              </w:rPr>
              <w:t>0</w:t>
            </w:r>
          </w:p>
        </w:tc>
      </w:tr>
    </w:tbl>
    <w:p w:rsidR="00897E88" w:rsidRDefault="00897E88" w:rsidP="00897E88">
      <w:pPr>
        <w:spacing w:line="240" w:lineRule="auto"/>
        <w:rPr>
          <w:sz w:val="18"/>
        </w:rPr>
      </w:pPr>
    </w:p>
    <w:p w:rsidR="00897E88" w:rsidRDefault="00897E88" w:rsidP="00897E88">
      <w:pPr>
        <w:pStyle w:val="Caption"/>
        <w:keepNext/>
      </w:pPr>
      <w:bookmarkStart w:id="14" w:name="_Ref48832214"/>
      <w:r>
        <w:lastRenderedPageBreak/>
        <w:t xml:space="preserve">Supplementary Table </w:t>
      </w:r>
      <w:r>
        <w:fldChar w:fldCharType="begin"/>
      </w:r>
      <w:r>
        <w:rPr>
          <w:noProof/>
        </w:rPr>
        <w:instrText xml:space="preserve"> SEQ Supplementary_Table \* ARABIC </w:instrText>
      </w:r>
      <w:r>
        <w:fldChar w:fldCharType="separate"/>
      </w:r>
      <w:r>
        <w:rPr>
          <w:noProof/>
        </w:rPr>
        <w:t>14</w:t>
      </w:r>
      <w:r>
        <w:fldChar w:fldCharType="end"/>
      </w:r>
      <w:bookmarkEnd w:id="14"/>
      <w:r>
        <w:t>: Relative Risks for CHD and Stroke per 1g/day Sodium Increase for Māori Females*</w:t>
      </w:r>
    </w:p>
    <w:tbl>
      <w:tblPr>
        <w:tblStyle w:val="TableGrid"/>
        <w:tblW w:w="4203" w:type="dxa"/>
        <w:tblInd w:w="0" w:type="dxa"/>
        <w:tblLook w:val="04A0" w:firstRow="1" w:lastRow="0" w:firstColumn="1" w:lastColumn="0" w:noHBand="0" w:noVBand="1"/>
      </w:tblPr>
      <w:tblGrid>
        <w:gridCol w:w="866"/>
        <w:gridCol w:w="482"/>
        <w:gridCol w:w="719"/>
        <w:gridCol w:w="1068"/>
        <w:gridCol w:w="1068"/>
      </w:tblGrid>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Ethnicity</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Sex</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Age</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CHD</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Stroke</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0-24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25-29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1.05182</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30-34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1.05</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1.06965</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35-39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1.057</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1.08688</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40-44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1.063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1.10034</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45-49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1.073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1.10901</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50-54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1.082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1.11714</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55-59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1.088</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color w:val="000000"/>
                <w:sz w:val="16"/>
                <w:szCs w:val="16"/>
              </w:rPr>
              <w:t>1.12139</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60-64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1.091</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1.12213</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65-69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1.093</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1.11908</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70-74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1.084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1.10173</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75-79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1.074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1.08226</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80-84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1.058</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1.04165</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85-89</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1.058</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1.04156</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719"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90+</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1.058</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ascii="Calibri" w:hAnsi="Calibri" w:cs="Calibri"/>
                <w:color w:val="000000"/>
                <w:sz w:val="16"/>
                <w:szCs w:val="16"/>
              </w:rPr>
            </w:pPr>
            <w:r>
              <w:rPr>
                <w:rFonts w:ascii="Calibri" w:hAnsi="Calibri" w:cs="Calibri"/>
                <w:color w:val="000000"/>
                <w:sz w:val="16"/>
                <w:szCs w:val="16"/>
              </w:rPr>
              <w:t>1.04152</w:t>
            </w:r>
          </w:p>
        </w:tc>
      </w:tr>
    </w:tbl>
    <w:p w:rsidR="00897E88" w:rsidRDefault="00897E88" w:rsidP="00897E88">
      <w:pPr>
        <w:spacing w:line="240" w:lineRule="auto"/>
      </w:pPr>
      <w:r>
        <w:rPr>
          <w:rFonts w:cstheme="minorHAnsi"/>
        </w:rPr>
        <w:t>*With a theoretical minimum risk exposure level (TMREL) of 3g sodium/day</w:t>
      </w:r>
    </w:p>
    <w:p w:rsidR="00897E88" w:rsidRDefault="00897E88" w:rsidP="00897E88">
      <w:pPr>
        <w:pStyle w:val="Caption"/>
        <w:keepNext/>
      </w:pPr>
      <w:bookmarkStart w:id="15" w:name="_Ref48832233"/>
    </w:p>
    <w:p w:rsidR="00897E88" w:rsidRDefault="00897E88" w:rsidP="00897E88">
      <w:pPr>
        <w:pStyle w:val="Caption"/>
        <w:keepNext/>
      </w:pPr>
      <w:r>
        <w:t xml:space="preserve">Supplementary Table </w:t>
      </w:r>
      <w:r>
        <w:fldChar w:fldCharType="begin"/>
      </w:r>
      <w:r>
        <w:rPr>
          <w:noProof/>
        </w:rPr>
        <w:instrText xml:space="preserve"> SEQ Supplementary_Table \* ARABIC </w:instrText>
      </w:r>
      <w:r>
        <w:fldChar w:fldCharType="separate"/>
      </w:r>
      <w:r>
        <w:rPr>
          <w:noProof/>
        </w:rPr>
        <w:t>15</w:t>
      </w:r>
      <w:r>
        <w:fldChar w:fldCharType="end"/>
      </w:r>
      <w:bookmarkEnd w:id="15"/>
      <w:r>
        <w:t>: Sodium Daily Intake BAU Mean Exposures for Māori Females</w:t>
      </w:r>
    </w:p>
    <w:tbl>
      <w:tblPr>
        <w:tblStyle w:val="TableGrid"/>
        <w:tblW w:w="9892" w:type="dxa"/>
        <w:tblInd w:w="0" w:type="dxa"/>
        <w:tblLook w:val="04A0" w:firstRow="1" w:lastRow="0" w:firstColumn="1" w:lastColumn="0" w:noHBand="0" w:noVBand="1"/>
      </w:tblPr>
      <w:tblGrid>
        <w:gridCol w:w="866"/>
        <w:gridCol w:w="482"/>
        <w:gridCol w:w="1068"/>
        <w:gridCol w:w="1068"/>
        <w:gridCol w:w="1068"/>
        <w:gridCol w:w="1068"/>
        <w:gridCol w:w="1068"/>
        <w:gridCol w:w="1068"/>
        <w:gridCol w:w="1068"/>
        <w:gridCol w:w="1068"/>
      </w:tblGrid>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Ethnicity</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cstheme="minorHAnsi"/>
                <w:b/>
                <w:sz w:val="16"/>
                <w:szCs w:val="16"/>
              </w:rPr>
              <w:t>Sex</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0-1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1-2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2-3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3-4 gram</w:t>
            </w:r>
          </w:p>
        </w:tc>
        <w:tc>
          <w:tcPr>
            <w:tcW w:w="1068"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4-5 gram</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5-6 gram</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6-7 gram</w:t>
            </w:r>
          </w:p>
        </w:tc>
        <w:tc>
          <w:tcPr>
            <w:tcW w:w="1068" w:type="dxa"/>
            <w:tcBorders>
              <w:top w:val="single" w:sz="4" w:space="0" w:color="auto"/>
              <w:left w:val="single" w:sz="4" w:space="0" w:color="auto"/>
              <w:bottom w:val="single" w:sz="4" w:space="0" w:color="auto"/>
              <w:right w:val="single" w:sz="4" w:space="0" w:color="auto"/>
            </w:tcBorders>
            <w:hideMark/>
          </w:tcPr>
          <w:p w:rsidR="00897E88" w:rsidRDefault="00897E88">
            <w:pPr>
              <w:spacing w:after="0" w:line="240" w:lineRule="auto"/>
              <w:jc w:val="center"/>
              <w:rPr>
                <w:rFonts w:cstheme="minorHAnsi"/>
                <w:b/>
                <w:sz w:val="16"/>
                <w:szCs w:val="16"/>
              </w:rPr>
            </w:pPr>
            <w:r>
              <w:rPr>
                <w:rFonts w:ascii="Calibri" w:hAnsi="Calibri" w:cs="Calibri"/>
                <w:b/>
                <w:color w:val="000000"/>
                <w:sz w:val="16"/>
                <w:szCs w:val="16"/>
              </w:rPr>
              <w:t>&gt;7 gram</w:t>
            </w:r>
          </w:p>
        </w:tc>
      </w:tr>
      <w:tr w:rsidR="00897E88" w:rsidTr="00897E88">
        <w:trPr>
          <w:trHeight w:val="300"/>
        </w:trPr>
        <w:tc>
          <w:tcPr>
            <w:tcW w:w="866"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Māori</w:t>
            </w:r>
          </w:p>
        </w:tc>
        <w:tc>
          <w:tcPr>
            <w:tcW w:w="482" w:type="dxa"/>
            <w:tcBorders>
              <w:top w:val="single" w:sz="4" w:space="0" w:color="auto"/>
              <w:left w:val="single" w:sz="4" w:space="0" w:color="auto"/>
              <w:bottom w:val="single" w:sz="4" w:space="0" w:color="auto"/>
              <w:right w:val="single" w:sz="4" w:space="0" w:color="auto"/>
            </w:tcBorders>
            <w:noWrap/>
            <w:hideMark/>
          </w:tcPr>
          <w:p w:rsidR="00897E88" w:rsidRDefault="00897E88">
            <w:pPr>
              <w:spacing w:after="0" w:line="240" w:lineRule="auto"/>
              <w:rPr>
                <w:rFonts w:cstheme="minorHAnsi"/>
                <w:sz w:val="16"/>
                <w:szCs w:val="16"/>
              </w:rPr>
            </w:pPr>
            <w:r>
              <w:rPr>
                <w:rFonts w:cstheme="minorHAnsi"/>
                <w:sz w:val="16"/>
                <w:szCs w:val="16"/>
              </w:rPr>
              <w:t>F</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sz w:val="16"/>
                <w:szCs w:val="16"/>
              </w:rPr>
              <w:t>0.678652</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sz w:val="16"/>
                <w:szCs w:val="16"/>
              </w:rPr>
              <w:t>1.574601</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sz w:val="16"/>
                <w:szCs w:val="16"/>
              </w:rPr>
              <w:t>2.511774</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sz w:val="16"/>
                <w:szCs w:val="16"/>
              </w:rPr>
              <w:t>3.474541</w:t>
            </w:r>
          </w:p>
        </w:tc>
        <w:tc>
          <w:tcPr>
            <w:tcW w:w="1068" w:type="dxa"/>
            <w:tcBorders>
              <w:top w:val="single" w:sz="4" w:space="0" w:color="auto"/>
              <w:left w:val="single" w:sz="4" w:space="0" w:color="auto"/>
              <w:bottom w:val="single" w:sz="4" w:space="0" w:color="auto"/>
              <w:right w:val="single" w:sz="4" w:space="0" w:color="auto"/>
            </w:tcBorders>
            <w:noWrap/>
            <w:vAlign w:val="bottom"/>
            <w:hideMark/>
          </w:tcPr>
          <w:p w:rsidR="00897E88" w:rsidRDefault="00897E88">
            <w:pPr>
              <w:spacing w:after="0" w:line="240" w:lineRule="auto"/>
              <w:rPr>
                <w:rFonts w:cstheme="minorHAnsi"/>
                <w:sz w:val="16"/>
                <w:szCs w:val="16"/>
              </w:rPr>
            </w:pPr>
            <w:r>
              <w:rPr>
                <w:rFonts w:ascii="Calibri" w:hAnsi="Calibri" w:cs="Calibri"/>
                <w:sz w:val="16"/>
                <w:szCs w:val="16"/>
              </w:rPr>
              <w:t>4.441067</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sz w:val="16"/>
                <w:szCs w:val="16"/>
              </w:rPr>
            </w:pPr>
            <w:r>
              <w:rPr>
                <w:rFonts w:ascii="Calibri" w:hAnsi="Calibri" w:cs="Calibri"/>
                <w:sz w:val="16"/>
                <w:szCs w:val="16"/>
              </w:rPr>
              <w:t>5.469723</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sz w:val="16"/>
                <w:szCs w:val="16"/>
              </w:rPr>
            </w:pPr>
            <w:r>
              <w:rPr>
                <w:rFonts w:ascii="Calibri" w:hAnsi="Calibri" w:cs="Calibri"/>
                <w:sz w:val="16"/>
                <w:szCs w:val="16"/>
              </w:rPr>
              <w:t>6.477527</w:t>
            </w:r>
          </w:p>
        </w:tc>
        <w:tc>
          <w:tcPr>
            <w:tcW w:w="1068" w:type="dxa"/>
            <w:tcBorders>
              <w:top w:val="single" w:sz="4" w:space="0" w:color="auto"/>
              <w:left w:val="single" w:sz="4" w:space="0" w:color="auto"/>
              <w:bottom w:val="single" w:sz="4" w:space="0" w:color="auto"/>
              <w:right w:val="single" w:sz="4" w:space="0" w:color="auto"/>
            </w:tcBorders>
            <w:vAlign w:val="bottom"/>
            <w:hideMark/>
          </w:tcPr>
          <w:p w:rsidR="00897E88" w:rsidRDefault="00897E88">
            <w:pPr>
              <w:spacing w:after="0" w:line="240" w:lineRule="auto"/>
              <w:rPr>
                <w:rFonts w:cstheme="minorHAnsi"/>
                <w:sz w:val="16"/>
                <w:szCs w:val="16"/>
              </w:rPr>
            </w:pPr>
            <w:r>
              <w:rPr>
                <w:rFonts w:ascii="Calibri" w:hAnsi="Calibri" w:cs="Calibri"/>
                <w:sz w:val="16"/>
                <w:szCs w:val="16"/>
              </w:rPr>
              <w:t>8.845344</w:t>
            </w:r>
          </w:p>
        </w:tc>
      </w:tr>
    </w:tbl>
    <w:p w:rsidR="00897E88" w:rsidRDefault="00897E88" w:rsidP="00897E88">
      <w:pPr>
        <w:spacing w:line="240" w:lineRule="auto"/>
      </w:pPr>
    </w:p>
    <w:p w:rsidR="0099089A" w:rsidRDefault="0099089A">
      <w:bookmarkStart w:id="16" w:name="_GoBack"/>
      <w:bookmarkEnd w:id="16"/>
    </w:p>
    <w:sectPr w:rsidR="00990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MR12">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3628B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92B8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13EED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26FC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A16071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8F47D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52ADC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4A7E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74E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A837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AC21E1"/>
    <w:multiLevelType w:val="hybridMultilevel"/>
    <w:tmpl w:val="C7743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2AE7A26"/>
    <w:multiLevelType w:val="hybridMultilevel"/>
    <w:tmpl w:val="6F28C3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61E97FE2"/>
    <w:multiLevelType w:val="multilevel"/>
    <w:tmpl w:val="FC6A1D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DB22196"/>
    <w:multiLevelType w:val="hybridMultilevel"/>
    <w:tmpl w:val="78CA73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num>
  <w:num w:numId="3">
    <w:abstractNumId w:val="8"/>
    <w:lvlOverride w:ilvl="0">
      <w:startOverride w:val="1"/>
    </w:lvlOverride>
  </w:num>
  <w:num w:numId="4">
    <w:abstractNumId w:val="7"/>
    <w:lvlOverride w:ilvl="0"/>
  </w:num>
  <w:num w:numId="5">
    <w:abstractNumId w:val="6"/>
    <w:lvlOverride w:ilvl="0"/>
  </w:num>
  <w:num w:numId="6">
    <w:abstractNumId w:val="5"/>
    <w:lvlOverride w:ilvl="0"/>
  </w:num>
  <w:num w:numId="7">
    <w:abstractNumId w:val="4"/>
    <w:lvlOverride w:ilvl="0"/>
  </w:num>
  <w:num w:numId="8">
    <w:abstractNumId w:val="3"/>
    <w:lvlOverride w:ilvl="0">
      <w:startOverride w:val="1"/>
    </w:lvlOverride>
  </w:num>
  <w:num w:numId="9">
    <w:abstractNumId w:val="2"/>
    <w:lvlOverride w:ilvl="0">
      <w:startOverride w:val="1"/>
    </w:lvlOverride>
  </w:num>
  <w:num w:numId="10">
    <w:abstractNumId w:val="1"/>
    <w:lvlOverride w:ilvl="0">
      <w:startOverride w:val="1"/>
    </w:lvlOverride>
  </w:num>
  <w:num w:numId="11">
    <w:abstractNumId w:val="0"/>
    <w:lvlOverride w:ilvl="0">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lvlOverride w:ilvl="3"/>
    <w:lvlOverride w:ilvl="4"/>
    <w:lvlOverride w:ilvl="5"/>
    <w:lvlOverride w:ilvl="6"/>
    <w:lvlOverride w:ilvl="7"/>
    <w:lvlOverride w:ilvl="8"/>
  </w:num>
  <w:num w:numId="1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88"/>
    <w:rsid w:val="00897E88"/>
    <w:rsid w:val="00990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20184E-D8F8-4417-9A17-C7AE7E01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E88"/>
    <w:pPr>
      <w:spacing w:after="120" w:line="480" w:lineRule="auto"/>
    </w:pPr>
    <w:rPr>
      <w:rFonts w:eastAsiaTheme="minorEastAsia"/>
      <w:szCs w:val="20"/>
    </w:rPr>
  </w:style>
  <w:style w:type="paragraph" w:styleId="Heading1">
    <w:name w:val="heading 1"/>
    <w:basedOn w:val="Normal"/>
    <w:next w:val="Normal"/>
    <w:link w:val="Heading1Char"/>
    <w:autoRedefine/>
    <w:uiPriority w:val="9"/>
    <w:qFormat/>
    <w:rsid w:val="00897E88"/>
    <w:pPr>
      <w:keepNext/>
      <w:keepLines/>
      <w:spacing w:before="180" w:line="240" w:lineRule="auto"/>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autoRedefine/>
    <w:uiPriority w:val="9"/>
    <w:semiHidden/>
    <w:unhideWhenUsed/>
    <w:qFormat/>
    <w:rsid w:val="00897E88"/>
    <w:pPr>
      <w:keepNext/>
      <w:keepLines/>
      <w:spacing w:before="80" w:after="0" w:line="240" w:lineRule="auto"/>
      <w:ind w:left="576" w:hanging="576"/>
      <w:outlineLvl w:val="1"/>
    </w:pPr>
    <w:rPr>
      <w:rFonts w:asciiTheme="majorHAnsi" w:eastAsiaTheme="majorEastAsia" w:hAnsiTheme="majorHAnsi" w:cstheme="majorBidi"/>
      <w:color w:val="0070C0"/>
      <w:sz w:val="28"/>
      <w:szCs w:val="28"/>
    </w:rPr>
  </w:style>
  <w:style w:type="paragraph" w:styleId="Heading3">
    <w:name w:val="heading 3"/>
    <w:basedOn w:val="Normal"/>
    <w:next w:val="Normal"/>
    <w:link w:val="Heading3Char"/>
    <w:uiPriority w:val="9"/>
    <w:semiHidden/>
    <w:unhideWhenUsed/>
    <w:qFormat/>
    <w:rsid w:val="00897E88"/>
    <w:pPr>
      <w:keepNext/>
      <w:keepLines/>
      <w:numPr>
        <w:ilvl w:val="2"/>
        <w:numId w:val="1"/>
      </w:numPr>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97E88"/>
    <w:pPr>
      <w:keepNext/>
      <w:keepLines/>
      <w:numPr>
        <w:ilvl w:val="3"/>
        <w:numId w:val="1"/>
      </w:numPr>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semiHidden/>
    <w:unhideWhenUsed/>
    <w:qFormat/>
    <w:rsid w:val="00897E88"/>
    <w:pPr>
      <w:keepNext/>
      <w:keepLines/>
      <w:numPr>
        <w:ilvl w:val="4"/>
        <w:numId w:val="1"/>
      </w:numPr>
      <w:spacing w:before="40" w:after="0"/>
      <w:outlineLvl w:val="4"/>
    </w:pPr>
    <w:rPr>
      <w:rFonts w:asciiTheme="majorHAnsi" w:eastAsiaTheme="majorEastAsia" w:hAnsiTheme="majorHAnsi" w:cstheme="majorBidi"/>
      <w:color w:val="44546A" w:themeColor="text2"/>
      <w:szCs w:val="22"/>
    </w:rPr>
  </w:style>
  <w:style w:type="paragraph" w:styleId="Heading6">
    <w:name w:val="heading 6"/>
    <w:basedOn w:val="Normal"/>
    <w:next w:val="Normal"/>
    <w:link w:val="Heading6Char"/>
    <w:uiPriority w:val="9"/>
    <w:semiHidden/>
    <w:unhideWhenUsed/>
    <w:qFormat/>
    <w:rsid w:val="00897E88"/>
    <w:pPr>
      <w:keepNext/>
      <w:keepLines/>
      <w:numPr>
        <w:ilvl w:val="5"/>
        <w:numId w:val="1"/>
      </w:numPr>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97E88"/>
    <w:pPr>
      <w:keepNext/>
      <w:keepLines/>
      <w:numPr>
        <w:ilvl w:val="6"/>
        <w:numId w:val="1"/>
      </w:numPr>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97E88"/>
    <w:pPr>
      <w:keepNext/>
      <w:keepLines/>
      <w:numPr>
        <w:ilvl w:val="7"/>
        <w:numId w:val="1"/>
      </w:numPr>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97E88"/>
    <w:pPr>
      <w:keepNext/>
      <w:keepLines/>
      <w:numPr>
        <w:ilvl w:val="8"/>
        <w:numId w:val="1"/>
      </w:numPr>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E88"/>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semiHidden/>
    <w:rsid w:val="00897E88"/>
    <w:rPr>
      <w:rFonts w:asciiTheme="majorHAnsi" w:eastAsiaTheme="majorEastAsia" w:hAnsiTheme="majorHAnsi" w:cstheme="majorBidi"/>
      <w:color w:val="0070C0"/>
      <w:sz w:val="28"/>
      <w:szCs w:val="28"/>
    </w:rPr>
  </w:style>
  <w:style w:type="character" w:customStyle="1" w:styleId="Heading3Char">
    <w:name w:val="Heading 3 Char"/>
    <w:basedOn w:val="DefaultParagraphFont"/>
    <w:link w:val="Heading3"/>
    <w:uiPriority w:val="9"/>
    <w:semiHidden/>
    <w:rsid w:val="00897E88"/>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97E88"/>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897E88"/>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897E88"/>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97E8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97E88"/>
    <w:rPr>
      <w:rFonts w:asciiTheme="majorHAnsi" w:eastAsiaTheme="majorEastAsia" w:hAnsiTheme="majorHAnsi" w:cstheme="majorBidi"/>
      <w:b/>
      <w:bCs/>
      <w:color w:val="44546A" w:themeColor="text2"/>
      <w:szCs w:val="20"/>
    </w:rPr>
  </w:style>
  <w:style w:type="character" w:customStyle="1" w:styleId="Heading9Char">
    <w:name w:val="Heading 9 Char"/>
    <w:basedOn w:val="DefaultParagraphFont"/>
    <w:link w:val="Heading9"/>
    <w:uiPriority w:val="9"/>
    <w:semiHidden/>
    <w:rsid w:val="00897E88"/>
    <w:rPr>
      <w:rFonts w:asciiTheme="majorHAnsi" w:eastAsiaTheme="majorEastAsia" w:hAnsiTheme="majorHAnsi" w:cstheme="majorBidi"/>
      <w:b/>
      <w:bCs/>
      <w:i/>
      <w:iCs/>
      <w:color w:val="44546A" w:themeColor="text2"/>
      <w:szCs w:val="20"/>
    </w:rPr>
  </w:style>
  <w:style w:type="character" w:styleId="Hyperlink">
    <w:name w:val="Hyperlink"/>
    <w:basedOn w:val="DefaultParagraphFont"/>
    <w:uiPriority w:val="99"/>
    <w:semiHidden/>
    <w:unhideWhenUsed/>
    <w:rsid w:val="00897E88"/>
    <w:rPr>
      <w:color w:val="0563C1" w:themeColor="hyperlink"/>
      <w:u w:val="single"/>
    </w:rPr>
  </w:style>
  <w:style w:type="character" w:styleId="FollowedHyperlink">
    <w:name w:val="FollowedHyperlink"/>
    <w:basedOn w:val="DefaultParagraphFont"/>
    <w:uiPriority w:val="99"/>
    <w:semiHidden/>
    <w:unhideWhenUsed/>
    <w:rsid w:val="00897E88"/>
    <w:rPr>
      <w:color w:val="954F72"/>
      <w:u w:val="single"/>
    </w:rPr>
  </w:style>
  <w:style w:type="paragraph" w:styleId="HTMLAddress">
    <w:name w:val="HTML Address"/>
    <w:basedOn w:val="Normal"/>
    <w:link w:val="HTMLAddressChar"/>
    <w:uiPriority w:val="99"/>
    <w:semiHidden/>
    <w:unhideWhenUsed/>
    <w:rsid w:val="00897E88"/>
    <w:pPr>
      <w:spacing w:after="0" w:line="240" w:lineRule="auto"/>
    </w:pPr>
    <w:rPr>
      <w:i/>
      <w:iCs/>
    </w:rPr>
  </w:style>
  <w:style w:type="character" w:customStyle="1" w:styleId="HTMLAddressChar">
    <w:name w:val="HTML Address Char"/>
    <w:basedOn w:val="DefaultParagraphFont"/>
    <w:link w:val="HTMLAddress"/>
    <w:uiPriority w:val="99"/>
    <w:semiHidden/>
    <w:rsid w:val="00897E88"/>
    <w:rPr>
      <w:rFonts w:eastAsiaTheme="minorEastAsia"/>
      <w:i/>
      <w:iCs/>
      <w:szCs w:val="20"/>
    </w:rPr>
  </w:style>
  <w:style w:type="paragraph" w:styleId="HTMLPreformatted">
    <w:name w:val="HTML Preformatted"/>
    <w:basedOn w:val="Normal"/>
    <w:link w:val="HTMLPreformattedChar"/>
    <w:uiPriority w:val="99"/>
    <w:semiHidden/>
    <w:unhideWhenUsed/>
    <w:rsid w:val="00897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97E88"/>
    <w:rPr>
      <w:rFonts w:ascii="Consolas" w:eastAsiaTheme="minorEastAsia" w:hAnsi="Consolas"/>
      <w:sz w:val="20"/>
      <w:szCs w:val="20"/>
    </w:rPr>
  </w:style>
  <w:style w:type="paragraph" w:customStyle="1" w:styleId="msonormal0">
    <w:name w:val="msonormal"/>
    <w:basedOn w:val="Normal"/>
    <w:uiPriority w:val="99"/>
    <w:semiHidden/>
    <w:rsid w:val="00897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897E88"/>
    <w:pPr>
      <w:spacing w:before="100" w:beforeAutospacing="1" w:after="100" w:afterAutospacing="1" w:line="240" w:lineRule="auto"/>
    </w:pPr>
    <w:rPr>
      <w:rFonts w:ascii="Times New Roman" w:eastAsia="Times New Roman" w:hAnsi="Times New Roman" w:cs="Times New Roman"/>
      <w:sz w:val="24"/>
      <w:szCs w:val="24"/>
    </w:rPr>
  </w:style>
  <w:style w:type="paragraph" w:styleId="Index1">
    <w:name w:val="index 1"/>
    <w:basedOn w:val="Normal"/>
    <w:next w:val="Normal"/>
    <w:autoRedefine/>
    <w:uiPriority w:val="99"/>
    <w:semiHidden/>
    <w:unhideWhenUsed/>
    <w:rsid w:val="00897E88"/>
    <w:pPr>
      <w:spacing w:after="0" w:line="240" w:lineRule="auto"/>
      <w:ind w:left="220" w:hanging="220"/>
    </w:pPr>
  </w:style>
  <w:style w:type="paragraph" w:styleId="Index2">
    <w:name w:val="index 2"/>
    <w:basedOn w:val="Normal"/>
    <w:next w:val="Normal"/>
    <w:autoRedefine/>
    <w:uiPriority w:val="99"/>
    <w:semiHidden/>
    <w:unhideWhenUsed/>
    <w:rsid w:val="00897E88"/>
    <w:pPr>
      <w:spacing w:after="0" w:line="240" w:lineRule="auto"/>
      <w:ind w:left="440" w:hanging="220"/>
    </w:pPr>
  </w:style>
  <w:style w:type="paragraph" w:styleId="Index3">
    <w:name w:val="index 3"/>
    <w:basedOn w:val="Normal"/>
    <w:next w:val="Normal"/>
    <w:autoRedefine/>
    <w:uiPriority w:val="99"/>
    <w:semiHidden/>
    <w:unhideWhenUsed/>
    <w:rsid w:val="00897E88"/>
    <w:pPr>
      <w:spacing w:after="0" w:line="240" w:lineRule="auto"/>
      <w:ind w:left="660" w:hanging="220"/>
    </w:pPr>
  </w:style>
  <w:style w:type="paragraph" w:styleId="Index4">
    <w:name w:val="index 4"/>
    <w:basedOn w:val="Normal"/>
    <w:next w:val="Normal"/>
    <w:autoRedefine/>
    <w:uiPriority w:val="99"/>
    <w:semiHidden/>
    <w:unhideWhenUsed/>
    <w:rsid w:val="00897E88"/>
    <w:pPr>
      <w:spacing w:after="0" w:line="240" w:lineRule="auto"/>
      <w:ind w:left="880" w:hanging="220"/>
    </w:pPr>
  </w:style>
  <w:style w:type="paragraph" w:styleId="Index5">
    <w:name w:val="index 5"/>
    <w:basedOn w:val="Normal"/>
    <w:next w:val="Normal"/>
    <w:autoRedefine/>
    <w:uiPriority w:val="99"/>
    <w:semiHidden/>
    <w:unhideWhenUsed/>
    <w:rsid w:val="00897E88"/>
    <w:pPr>
      <w:spacing w:after="0" w:line="240" w:lineRule="auto"/>
      <w:ind w:left="1100" w:hanging="220"/>
    </w:pPr>
  </w:style>
  <w:style w:type="paragraph" w:styleId="Index6">
    <w:name w:val="index 6"/>
    <w:basedOn w:val="Normal"/>
    <w:next w:val="Normal"/>
    <w:autoRedefine/>
    <w:uiPriority w:val="99"/>
    <w:semiHidden/>
    <w:unhideWhenUsed/>
    <w:rsid w:val="00897E88"/>
    <w:pPr>
      <w:spacing w:after="0" w:line="240" w:lineRule="auto"/>
      <w:ind w:left="1320" w:hanging="220"/>
    </w:pPr>
  </w:style>
  <w:style w:type="paragraph" w:styleId="Index7">
    <w:name w:val="index 7"/>
    <w:basedOn w:val="Normal"/>
    <w:next w:val="Normal"/>
    <w:autoRedefine/>
    <w:uiPriority w:val="99"/>
    <w:semiHidden/>
    <w:unhideWhenUsed/>
    <w:rsid w:val="00897E88"/>
    <w:pPr>
      <w:spacing w:after="0" w:line="240" w:lineRule="auto"/>
      <w:ind w:left="1540" w:hanging="220"/>
    </w:pPr>
  </w:style>
  <w:style w:type="paragraph" w:styleId="Index8">
    <w:name w:val="index 8"/>
    <w:basedOn w:val="Normal"/>
    <w:next w:val="Normal"/>
    <w:autoRedefine/>
    <w:uiPriority w:val="99"/>
    <w:semiHidden/>
    <w:unhideWhenUsed/>
    <w:rsid w:val="00897E88"/>
    <w:pPr>
      <w:spacing w:after="0" w:line="240" w:lineRule="auto"/>
      <w:ind w:left="1760" w:hanging="220"/>
    </w:pPr>
  </w:style>
  <w:style w:type="paragraph" w:styleId="Index9">
    <w:name w:val="index 9"/>
    <w:basedOn w:val="Normal"/>
    <w:next w:val="Normal"/>
    <w:autoRedefine/>
    <w:uiPriority w:val="99"/>
    <w:semiHidden/>
    <w:unhideWhenUsed/>
    <w:rsid w:val="00897E88"/>
    <w:pPr>
      <w:spacing w:after="0" w:line="240" w:lineRule="auto"/>
      <w:ind w:left="1980" w:hanging="220"/>
    </w:pPr>
  </w:style>
  <w:style w:type="paragraph" w:styleId="TOC1">
    <w:name w:val="toc 1"/>
    <w:basedOn w:val="Normal"/>
    <w:next w:val="Normal"/>
    <w:autoRedefine/>
    <w:uiPriority w:val="39"/>
    <w:semiHidden/>
    <w:unhideWhenUsed/>
    <w:rsid w:val="00897E88"/>
    <w:pPr>
      <w:spacing w:after="100"/>
    </w:pPr>
  </w:style>
  <w:style w:type="paragraph" w:styleId="TOC2">
    <w:name w:val="toc 2"/>
    <w:basedOn w:val="Normal"/>
    <w:next w:val="Normal"/>
    <w:autoRedefine/>
    <w:uiPriority w:val="39"/>
    <w:semiHidden/>
    <w:unhideWhenUsed/>
    <w:rsid w:val="00897E88"/>
    <w:pPr>
      <w:spacing w:after="100"/>
      <w:ind w:left="220"/>
    </w:pPr>
  </w:style>
  <w:style w:type="paragraph" w:styleId="TOC3">
    <w:name w:val="toc 3"/>
    <w:basedOn w:val="Normal"/>
    <w:next w:val="Normal"/>
    <w:autoRedefine/>
    <w:uiPriority w:val="39"/>
    <w:semiHidden/>
    <w:unhideWhenUsed/>
    <w:rsid w:val="00897E88"/>
    <w:pPr>
      <w:spacing w:after="100"/>
      <w:ind w:left="440"/>
    </w:pPr>
  </w:style>
  <w:style w:type="paragraph" w:styleId="TOC4">
    <w:name w:val="toc 4"/>
    <w:basedOn w:val="Normal"/>
    <w:next w:val="Normal"/>
    <w:autoRedefine/>
    <w:uiPriority w:val="39"/>
    <w:semiHidden/>
    <w:unhideWhenUsed/>
    <w:rsid w:val="00897E88"/>
    <w:pPr>
      <w:spacing w:after="100"/>
      <w:ind w:left="660"/>
    </w:pPr>
  </w:style>
  <w:style w:type="paragraph" w:styleId="TOC5">
    <w:name w:val="toc 5"/>
    <w:basedOn w:val="Normal"/>
    <w:next w:val="Normal"/>
    <w:autoRedefine/>
    <w:uiPriority w:val="39"/>
    <w:semiHidden/>
    <w:unhideWhenUsed/>
    <w:rsid w:val="00897E88"/>
    <w:pPr>
      <w:spacing w:after="100"/>
      <w:ind w:left="880"/>
    </w:pPr>
  </w:style>
  <w:style w:type="paragraph" w:styleId="TOC6">
    <w:name w:val="toc 6"/>
    <w:basedOn w:val="Normal"/>
    <w:next w:val="Normal"/>
    <w:autoRedefine/>
    <w:uiPriority w:val="39"/>
    <w:semiHidden/>
    <w:unhideWhenUsed/>
    <w:rsid w:val="00897E88"/>
    <w:pPr>
      <w:spacing w:after="100"/>
      <w:ind w:left="1100"/>
    </w:pPr>
  </w:style>
  <w:style w:type="paragraph" w:styleId="TOC7">
    <w:name w:val="toc 7"/>
    <w:basedOn w:val="Normal"/>
    <w:next w:val="Normal"/>
    <w:autoRedefine/>
    <w:uiPriority w:val="39"/>
    <w:semiHidden/>
    <w:unhideWhenUsed/>
    <w:rsid w:val="00897E88"/>
    <w:pPr>
      <w:spacing w:after="100"/>
      <w:ind w:left="1320"/>
    </w:pPr>
  </w:style>
  <w:style w:type="paragraph" w:styleId="TOC8">
    <w:name w:val="toc 8"/>
    <w:basedOn w:val="Normal"/>
    <w:next w:val="Normal"/>
    <w:autoRedefine/>
    <w:uiPriority w:val="39"/>
    <w:semiHidden/>
    <w:unhideWhenUsed/>
    <w:rsid w:val="00897E88"/>
    <w:pPr>
      <w:spacing w:after="100"/>
      <w:ind w:left="1540"/>
    </w:pPr>
  </w:style>
  <w:style w:type="paragraph" w:styleId="TOC9">
    <w:name w:val="toc 9"/>
    <w:basedOn w:val="Normal"/>
    <w:next w:val="Normal"/>
    <w:autoRedefine/>
    <w:uiPriority w:val="39"/>
    <w:semiHidden/>
    <w:unhideWhenUsed/>
    <w:rsid w:val="00897E88"/>
    <w:pPr>
      <w:spacing w:after="100"/>
      <w:ind w:left="1760"/>
    </w:pPr>
  </w:style>
  <w:style w:type="paragraph" w:styleId="NormalIndent">
    <w:name w:val="Normal Indent"/>
    <w:basedOn w:val="Normal"/>
    <w:uiPriority w:val="99"/>
    <w:semiHidden/>
    <w:unhideWhenUsed/>
    <w:rsid w:val="00897E88"/>
    <w:pPr>
      <w:ind w:left="720"/>
    </w:pPr>
  </w:style>
  <w:style w:type="paragraph" w:styleId="FootnoteText">
    <w:name w:val="footnote text"/>
    <w:basedOn w:val="Normal"/>
    <w:link w:val="FootnoteTextChar"/>
    <w:uiPriority w:val="99"/>
    <w:semiHidden/>
    <w:unhideWhenUsed/>
    <w:rsid w:val="00897E88"/>
    <w:pPr>
      <w:spacing w:after="0" w:line="240" w:lineRule="auto"/>
    </w:pPr>
    <w:rPr>
      <w:sz w:val="20"/>
    </w:rPr>
  </w:style>
  <w:style w:type="character" w:customStyle="1" w:styleId="FootnoteTextChar">
    <w:name w:val="Footnote Text Char"/>
    <w:basedOn w:val="DefaultParagraphFont"/>
    <w:link w:val="FootnoteText"/>
    <w:uiPriority w:val="99"/>
    <w:semiHidden/>
    <w:rsid w:val="00897E88"/>
    <w:rPr>
      <w:rFonts w:eastAsiaTheme="minorEastAsia"/>
      <w:sz w:val="20"/>
      <w:szCs w:val="20"/>
    </w:rPr>
  </w:style>
  <w:style w:type="paragraph" w:styleId="CommentText">
    <w:name w:val="annotation text"/>
    <w:basedOn w:val="Normal"/>
    <w:link w:val="CommentTextChar"/>
    <w:uiPriority w:val="99"/>
    <w:semiHidden/>
    <w:unhideWhenUsed/>
    <w:rsid w:val="00897E88"/>
    <w:pPr>
      <w:spacing w:after="160" w:line="240" w:lineRule="auto"/>
    </w:pPr>
    <w:rPr>
      <w:rFonts w:eastAsiaTheme="minorHAnsi"/>
    </w:rPr>
  </w:style>
  <w:style w:type="character" w:customStyle="1" w:styleId="CommentTextChar">
    <w:name w:val="Comment Text Char"/>
    <w:basedOn w:val="DefaultParagraphFont"/>
    <w:link w:val="CommentText"/>
    <w:uiPriority w:val="99"/>
    <w:semiHidden/>
    <w:rsid w:val="00897E88"/>
    <w:rPr>
      <w:szCs w:val="20"/>
    </w:rPr>
  </w:style>
  <w:style w:type="paragraph" w:styleId="Header">
    <w:name w:val="header"/>
    <w:basedOn w:val="Normal"/>
    <w:link w:val="HeaderChar"/>
    <w:uiPriority w:val="99"/>
    <w:semiHidden/>
    <w:unhideWhenUsed/>
    <w:rsid w:val="00897E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7E88"/>
    <w:rPr>
      <w:rFonts w:eastAsiaTheme="minorEastAsia"/>
      <w:szCs w:val="20"/>
    </w:rPr>
  </w:style>
  <w:style w:type="paragraph" w:styleId="Footer">
    <w:name w:val="footer"/>
    <w:basedOn w:val="Normal"/>
    <w:link w:val="FooterChar"/>
    <w:uiPriority w:val="99"/>
    <w:semiHidden/>
    <w:unhideWhenUsed/>
    <w:rsid w:val="00897E8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97E88"/>
    <w:rPr>
      <w:rFonts w:eastAsiaTheme="minorEastAsia"/>
      <w:szCs w:val="20"/>
    </w:rPr>
  </w:style>
  <w:style w:type="paragraph" w:styleId="IndexHeading">
    <w:name w:val="index heading"/>
    <w:basedOn w:val="Normal"/>
    <w:next w:val="Index1"/>
    <w:uiPriority w:val="99"/>
    <w:semiHidden/>
    <w:unhideWhenUsed/>
    <w:rsid w:val="00897E88"/>
    <w:rPr>
      <w:rFonts w:asciiTheme="majorHAnsi" w:eastAsiaTheme="majorEastAsia" w:hAnsiTheme="majorHAnsi" w:cstheme="majorBidi"/>
      <w:b/>
      <w:bCs/>
    </w:rPr>
  </w:style>
  <w:style w:type="paragraph" w:styleId="Caption">
    <w:name w:val="caption"/>
    <w:basedOn w:val="Normal"/>
    <w:next w:val="Normal"/>
    <w:uiPriority w:val="35"/>
    <w:semiHidden/>
    <w:unhideWhenUsed/>
    <w:qFormat/>
    <w:rsid w:val="00897E88"/>
    <w:pPr>
      <w:spacing w:line="240" w:lineRule="auto"/>
    </w:pPr>
    <w:rPr>
      <w:b/>
      <w:bCs/>
      <w:smallCaps/>
      <w:color w:val="595959" w:themeColor="text1" w:themeTint="A6"/>
      <w:spacing w:val="6"/>
    </w:rPr>
  </w:style>
  <w:style w:type="paragraph" w:styleId="TableofFigures">
    <w:name w:val="table of figures"/>
    <w:basedOn w:val="Normal"/>
    <w:next w:val="Normal"/>
    <w:uiPriority w:val="99"/>
    <w:semiHidden/>
    <w:unhideWhenUsed/>
    <w:rsid w:val="00897E88"/>
    <w:pPr>
      <w:spacing w:after="0"/>
    </w:pPr>
  </w:style>
  <w:style w:type="paragraph" w:styleId="EnvelopeAddress">
    <w:name w:val="envelope address"/>
    <w:basedOn w:val="Normal"/>
    <w:uiPriority w:val="99"/>
    <w:semiHidden/>
    <w:unhideWhenUsed/>
    <w:rsid w:val="00897E88"/>
    <w:pPr>
      <w:framePr w:w="7920" w:h="1980"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97E88"/>
    <w:pPr>
      <w:spacing w:after="0" w:line="240" w:lineRule="auto"/>
    </w:pPr>
    <w:rPr>
      <w:rFonts w:asciiTheme="majorHAnsi" w:eastAsiaTheme="majorEastAsia" w:hAnsiTheme="majorHAnsi" w:cstheme="majorBidi"/>
      <w:sz w:val="20"/>
    </w:rPr>
  </w:style>
  <w:style w:type="paragraph" w:styleId="EndnoteText">
    <w:name w:val="endnote text"/>
    <w:basedOn w:val="Normal"/>
    <w:link w:val="EndnoteTextChar"/>
    <w:uiPriority w:val="99"/>
    <w:semiHidden/>
    <w:unhideWhenUsed/>
    <w:rsid w:val="00897E88"/>
    <w:pPr>
      <w:spacing w:after="0" w:line="240" w:lineRule="auto"/>
    </w:pPr>
    <w:rPr>
      <w:sz w:val="20"/>
    </w:rPr>
  </w:style>
  <w:style w:type="character" w:customStyle="1" w:styleId="EndnoteTextChar">
    <w:name w:val="Endnote Text Char"/>
    <w:basedOn w:val="DefaultParagraphFont"/>
    <w:link w:val="EndnoteText"/>
    <w:uiPriority w:val="99"/>
    <w:semiHidden/>
    <w:rsid w:val="00897E88"/>
    <w:rPr>
      <w:rFonts w:eastAsiaTheme="minorEastAsia"/>
      <w:sz w:val="20"/>
      <w:szCs w:val="20"/>
    </w:rPr>
  </w:style>
  <w:style w:type="paragraph" w:styleId="TableofAuthorities">
    <w:name w:val="table of authorities"/>
    <w:basedOn w:val="Normal"/>
    <w:next w:val="Normal"/>
    <w:uiPriority w:val="99"/>
    <w:semiHidden/>
    <w:unhideWhenUsed/>
    <w:rsid w:val="00897E88"/>
    <w:pPr>
      <w:spacing w:after="0"/>
      <w:ind w:left="220" w:hanging="220"/>
    </w:pPr>
  </w:style>
  <w:style w:type="paragraph" w:styleId="MacroText">
    <w:name w:val="macro"/>
    <w:link w:val="MacroTextChar"/>
    <w:uiPriority w:val="99"/>
    <w:semiHidden/>
    <w:unhideWhenUsed/>
    <w:rsid w:val="00897E88"/>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sz w:val="20"/>
      <w:szCs w:val="20"/>
    </w:rPr>
  </w:style>
  <w:style w:type="character" w:customStyle="1" w:styleId="MacroTextChar">
    <w:name w:val="Macro Text Char"/>
    <w:basedOn w:val="DefaultParagraphFont"/>
    <w:link w:val="MacroText"/>
    <w:uiPriority w:val="99"/>
    <w:semiHidden/>
    <w:rsid w:val="00897E88"/>
    <w:rPr>
      <w:rFonts w:ascii="Consolas" w:eastAsiaTheme="minorEastAsia" w:hAnsi="Consolas"/>
      <w:sz w:val="20"/>
      <w:szCs w:val="20"/>
    </w:rPr>
  </w:style>
  <w:style w:type="paragraph" w:styleId="TOAHeading">
    <w:name w:val="toa heading"/>
    <w:basedOn w:val="Normal"/>
    <w:next w:val="Normal"/>
    <w:uiPriority w:val="99"/>
    <w:semiHidden/>
    <w:unhideWhenUsed/>
    <w:rsid w:val="00897E88"/>
    <w:pPr>
      <w:spacing w:before="120"/>
    </w:pPr>
    <w:rPr>
      <w:rFonts w:asciiTheme="majorHAnsi" w:eastAsiaTheme="majorEastAsia" w:hAnsiTheme="majorHAnsi" w:cstheme="majorBidi"/>
      <w:b/>
      <w:bCs/>
      <w:sz w:val="24"/>
      <w:szCs w:val="24"/>
    </w:rPr>
  </w:style>
  <w:style w:type="paragraph" w:styleId="List">
    <w:name w:val="List"/>
    <w:basedOn w:val="Normal"/>
    <w:uiPriority w:val="99"/>
    <w:semiHidden/>
    <w:unhideWhenUsed/>
    <w:rsid w:val="00897E88"/>
    <w:pPr>
      <w:ind w:left="360" w:hanging="360"/>
      <w:contextualSpacing/>
    </w:pPr>
  </w:style>
  <w:style w:type="paragraph" w:styleId="ListBullet">
    <w:name w:val="List Bullet"/>
    <w:basedOn w:val="Normal"/>
    <w:uiPriority w:val="99"/>
    <w:semiHidden/>
    <w:unhideWhenUsed/>
    <w:rsid w:val="00897E88"/>
    <w:pPr>
      <w:numPr>
        <w:numId w:val="2"/>
      </w:numPr>
      <w:contextualSpacing/>
    </w:pPr>
  </w:style>
  <w:style w:type="paragraph" w:styleId="ListNumber">
    <w:name w:val="List Number"/>
    <w:basedOn w:val="Normal"/>
    <w:uiPriority w:val="99"/>
    <w:semiHidden/>
    <w:unhideWhenUsed/>
    <w:rsid w:val="00897E88"/>
    <w:pPr>
      <w:numPr>
        <w:numId w:val="3"/>
      </w:numPr>
      <w:contextualSpacing/>
    </w:pPr>
  </w:style>
  <w:style w:type="paragraph" w:styleId="List2">
    <w:name w:val="List 2"/>
    <w:basedOn w:val="Normal"/>
    <w:uiPriority w:val="99"/>
    <w:semiHidden/>
    <w:unhideWhenUsed/>
    <w:rsid w:val="00897E88"/>
    <w:pPr>
      <w:ind w:left="720" w:hanging="360"/>
      <w:contextualSpacing/>
    </w:pPr>
  </w:style>
  <w:style w:type="paragraph" w:styleId="List3">
    <w:name w:val="List 3"/>
    <w:basedOn w:val="Normal"/>
    <w:uiPriority w:val="99"/>
    <w:semiHidden/>
    <w:unhideWhenUsed/>
    <w:rsid w:val="00897E88"/>
    <w:pPr>
      <w:ind w:left="1080" w:hanging="360"/>
      <w:contextualSpacing/>
    </w:pPr>
  </w:style>
  <w:style w:type="paragraph" w:styleId="List4">
    <w:name w:val="List 4"/>
    <w:basedOn w:val="Normal"/>
    <w:uiPriority w:val="99"/>
    <w:semiHidden/>
    <w:unhideWhenUsed/>
    <w:rsid w:val="00897E88"/>
    <w:pPr>
      <w:ind w:left="1440" w:hanging="360"/>
      <w:contextualSpacing/>
    </w:pPr>
  </w:style>
  <w:style w:type="paragraph" w:styleId="List5">
    <w:name w:val="List 5"/>
    <w:basedOn w:val="Normal"/>
    <w:uiPriority w:val="99"/>
    <w:semiHidden/>
    <w:unhideWhenUsed/>
    <w:rsid w:val="00897E88"/>
    <w:pPr>
      <w:ind w:left="1800" w:hanging="360"/>
      <w:contextualSpacing/>
    </w:pPr>
  </w:style>
  <w:style w:type="paragraph" w:styleId="ListBullet2">
    <w:name w:val="List Bullet 2"/>
    <w:basedOn w:val="Normal"/>
    <w:uiPriority w:val="99"/>
    <w:semiHidden/>
    <w:unhideWhenUsed/>
    <w:rsid w:val="00897E88"/>
    <w:pPr>
      <w:numPr>
        <w:numId w:val="4"/>
      </w:numPr>
      <w:contextualSpacing/>
    </w:pPr>
  </w:style>
  <w:style w:type="paragraph" w:styleId="ListBullet3">
    <w:name w:val="List Bullet 3"/>
    <w:basedOn w:val="Normal"/>
    <w:uiPriority w:val="99"/>
    <w:semiHidden/>
    <w:unhideWhenUsed/>
    <w:rsid w:val="00897E88"/>
    <w:pPr>
      <w:numPr>
        <w:numId w:val="5"/>
      </w:numPr>
      <w:contextualSpacing/>
    </w:pPr>
  </w:style>
  <w:style w:type="paragraph" w:styleId="ListBullet4">
    <w:name w:val="List Bullet 4"/>
    <w:basedOn w:val="Normal"/>
    <w:uiPriority w:val="99"/>
    <w:semiHidden/>
    <w:unhideWhenUsed/>
    <w:rsid w:val="00897E88"/>
    <w:pPr>
      <w:numPr>
        <w:numId w:val="6"/>
      </w:numPr>
      <w:contextualSpacing/>
    </w:pPr>
  </w:style>
  <w:style w:type="paragraph" w:styleId="ListBullet5">
    <w:name w:val="List Bullet 5"/>
    <w:basedOn w:val="Normal"/>
    <w:uiPriority w:val="99"/>
    <w:semiHidden/>
    <w:unhideWhenUsed/>
    <w:rsid w:val="00897E88"/>
    <w:pPr>
      <w:numPr>
        <w:numId w:val="7"/>
      </w:numPr>
      <w:contextualSpacing/>
    </w:pPr>
  </w:style>
  <w:style w:type="paragraph" w:styleId="ListNumber2">
    <w:name w:val="List Number 2"/>
    <w:basedOn w:val="Normal"/>
    <w:uiPriority w:val="99"/>
    <w:semiHidden/>
    <w:unhideWhenUsed/>
    <w:rsid w:val="00897E88"/>
    <w:pPr>
      <w:numPr>
        <w:numId w:val="8"/>
      </w:numPr>
      <w:contextualSpacing/>
    </w:pPr>
  </w:style>
  <w:style w:type="paragraph" w:styleId="ListNumber3">
    <w:name w:val="List Number 3"/>
    <w:basedOn w:val="Normal"/>
    <w:uiPriority w:val="99"/>
    <w:semiHidden/>
    <w:unhideWhenUsed/>
    <w:rsid w:val="00897E88"/>
    <w:pPr>
      <w:numPr>
        <w:numId w:val="9"/>
      </w:numPr>
      <w:contextualSpacing/>
    </w:pPr>
  </w:style>
  <w:style w:type="paragraph" w:styleId="ListNumber4">
    <w:name w:val="List Number 4"/>
    <w:basedOn w:val="Normal"/>
    <w:uiPriority w:val="99"/>
    <w:semiHidden/>
    <w:unhideWhenUsed/>
    <w:rsid w:val="00897E88"/>
    <w:pPr>
      <w:numPr>
        <w:numId w:val="10"/>
      </w:numPr>
      <w:contextualSpacing/>
    </w:pPr>
  </w:style>
  <w:style w:type="paragraph" w:styleId="ListNumber5">
    <w:name w:val="List Number 5"/>
    <w:basedOn w:val="Normal"/>
    <w:uiPriority w:val="99"/>
    <w:semiHidden/>
    <w:unhideWhenUsed/>
    <w:rsid w:val="00897E88"/>
    <w:pPr>
      <w:numPr>
        <w:numId w:val="11"/>
      </w:numPr>
      <w:contextualSpacing/>
    </w:pPr>
  </w:style>
  <w:style w:type="paragraph" w:styleId="Title">
    <w:name w:val="Title"/>
    <w:basedOn w:val="Normal"/>
    <w:next w:val="Normal"/>
    <w:link w:val="TitleChar"/>
    <w:uiPriority w:val="10"/>
    <w:qFormat/>
    <w:rsid w:val="00897E8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97E88"/>
    <w:rPr>
      <w:rFonts w:asciiTheme="majorHAnsi" w:eastAsiaTheme="majorEastAsia" w:hAnsiTheme="majorHAnsi" w:cstheme="majorBidi"/>
      <w:color w:val="5B9BD5" w:themeColor="accent1"/>
      <w:spacing w:val="-10"/>
      <w:sz w:val="56"/>
      <w:szCs w:val="56"/>
    </w:rPr>
  </w:style>
  <w:style w:type="paragraph" w:styleId="Closing">
    <w:name w:val="Closing"/>
    <w:basedOn w:val="Normal"/>
    <w:link w:val="ClosingChar"/>
    <w:uiPriority w:val="99"/>
    <w:semiHidden/>
    <w:unhideWhenUsed/>
    <w:rsid w:val="00897E88"/>
    <w:pPr>
      <w:spacing w:after="0" w:line="240" w:lineRule="auto"/>
      <w:ind w:left="4320"/>
    </w:pPr>
  </w:style>
  <w:style w:type="character" w:customStyle="1" w:styleId="ClosingChar">
    <w:name w:val="Closing Char"/>
    <w:basedOn w:val="DefaultParagraphFont"/>
    <w:link w:val="Closing"/>
    <w:uiPriority w:val="99"/>
    <w:semiHidden/>
    <w:rsid w:val="00897E88"/>
    <w:rPr>
      <w:rFonts w:eastAsiaTheme="minorEastAsia"/>
      <w:szCs w:val="20"/>
    </w:rPr>
  </w:style>
  <w:style w:type="paragraph" w:styleId="Signature">
    <w:name w:val="Signature"/>
    <w:basedOn w:val="Normal"/>
    <w:link w:val="SignatureChar"/>
    <w:uiPriority w:val="99"/>
    <w:semiHidden/>
    <w:unhideWhenUsed/>
    <w:rsid w:val="00897E88"/>
    <w:pPr>
      <w:spacing w:after="0" w:line="240" w:lineRule="auto"/>
      <w:ind w:left="4320"/>
    </w:pPr>
  </w:style>
  <w:style w:type="character" w:customStyle="1" w:styleId="SignatureChar">
    <w:name w:val="Signature Char"/>
    <w:basedOn w:val="DefaultParagraphFont"/>
    <w:link w:val="Signature"/>
    <w:uiPriority w:val="99"/>
    <w:semiHidden/>
    <w:rsid w:val="00897E88"/>
    <w:rPr>
      <w:rFonts w:eastAsiaTheme="minorEastAsia"/>
      <w:szCs w:val="20"/>
    </w:rPr>
  </w:style>
  <w:style w:type="paragraph" w:styleId="BodyText">
    <w:name w:val="Body Text"/>
    <w:basedOn w:val="Normal"/>
    <w:link w:val="BodyTextChar"/>
    <w:uiPriority w:val="99"/>
    <w:semiHidden/>
    <w:unhideWhenUsed/>
    <w:rsid w:val="00897E88"/>
  </w:style>
  <w:style w:type="character" w:customStyle="1" w:styleId="BodyTextChar">
    <w:name w:val="Body Text Char"/>
    <w:basedOn w:val="DefaultParagraphFont"/>
    <w:link w:val="BodyText"/>
    <w:uiPriority w:val="99"/>
    <w:semiHidden/>
    <w:rsid w:val="00897E88"/>
    <w:rPr>
      <w:rFonts w:eastAsiaTheme="minorEastAsia"/>
      <w:szCs w:val="20"/>
    </w:rPr>
  </w:style>
  <w:style w:type="paragraph" w:styleId="BodyTextIndent">
    <w:name w:val="Body Text Indent"/>
    <w:basedOn w:val="Normal"/>
    <w:link w:val="BodyTextIndentChar"/>
    <w:uiPriority w:val="99"/>
    <w:semiHidden/>
    <w:unhideWhenUsed/>
    <w:rsid w:val="00897E88"/>
    <w:pPr>
      <w:ind w:left="360"/>
    </w:pPr>
  </w:style>
  <w:style w:type="character" w:customStyle="1" w:styleId="BodyTextIndentChar">
    <w:name w:val="Body Text Indent Char"/>
    <w:basedOn w:val="DefaultParagraphFont"/>
    <w:link w:val="BodyTextIndent"/>
    <w:uiPriority w:val="99"/>
    <w:semiHidden/>
    <w:rsid w:val="00897E88"/>
    <w:rPr>
      <w:rFonts w:eastAsiaTheme="minorEastAsia"/>
      <w:szCs w:val="20"/>
    </w:rPr>
  </w:style>
  <w:style w:type="paragraph" w:styleId="ListContinue">
    <w:name w:val="List Continue"/>
    <w:basedOn w:val="Normal"/>
    <w:uiPriority w:val="99"/>
    <w:semiHidden/>
    <w:unhideWhenUsed/>
    <w:rsid w:val="00897E88"/>
    <w:pPr>
      <w:ind w:left="360"/>
      <w:contextualSpacing/>
    </w:pPr>
  </w:style>
  <w:style w:type="paragraph" w:styleId="ListContinue2">
    <w:name w:val="List Continue 2"/>
    <w:basedOn w:val="Normal"/>
    <w:uiPriority w:val="99"/>
    <w:semiHidden/>
    <w:unhideWhenUsed/>
    <w:rsid w:val="00897E88"/>
    <w:pPr>
      <w:ind w:left="720"/>
      <w:contextualSpacing/>
    </w:pPr>
  </w:style>
  <w:style w:type="paragraph" w:styleId="ListContinue3">
    <w:name w:val="List Continue 3"/>
    <w:basedOn w:val="Normal"/>
    <w:uiPriority w:val="99"/>
    <w:semiHidden/>
    <w:unhideWhenUsed/>
    <w:rsid w:val="00897E88"/>
    <w:pPr>
      <w:ind w:left="1080"/>
      <w:contextualSpacing/>
    </w:pPr>
  </w:style>
  <w:style w:type="paragraph" w:styleId="ListContinue4">
    <w:name w:val="List Continue 4"/>
    <w:basedOn w:val="Normal"/>
    <w:uiPriority w:val="99"/>
    <w:semiHidden/>
    <w:unhideWhenUsed/>
    <w:rsid w:val="00897E88"/>
    <w:pPr>
      <w:ind w:left="1440"/>
      <w:contextualSpacing/>
    </w:pPr>
  </w:style>
  <w:style w:type="paragraph" w:styleId="ListContinue5">
    <w:name w:val="List Continue 5"/>
    <w:basedOn w:val="Normal"/>
    <w:uiPriority w:val="99"/>
    <w:semiHidden/>
    <w:unhideWhenUsed/>
    <w:rsid w:val="00897E88"/>
    <w:pPr>
      <w:ind w:left="1800"/>
      <w:contextualSpacing/>
    </w:pPr>
  </w:style>
  <w:style w:type="paragraph" w:styleId="MessageHeader">
    <w:name w:val="Message Header"/>
    <w:basedOn w:val="Normal"/>
    <w:link w:val="MessageHeaderChar"/>
    <w:uiPriority w:val="99"/>
    <w:semiHidden/>
    <w:unhideWhenUsed/>
    <w:rsid w:val="00897E8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97E88"/>
    <w:rPr>
      <w:rFonts w:asciiTheme="majorHAnsi" w:eastAsiaTheme="majorEastAsia" w:hAnsiTheme="majorHAnsi" w:cstheme="majorBidi"/>
      <w:sz w:val="24"/>
      <w:szCs w:val="24"/>
      <w:shd w:val="pct20" w:color="auto" w:fill="auto"/>
    </w:rPr>
  </w:style>
  <w:style w:type="paragraph" w:styleId="Subtitle">
    <w:name w:val="Subtitle"/>
    <w:basedOn w:val="Normal"/>
    <w:next w:val="Normal"/>
    <w:link w:val="SubtitleChar"/>
    <w:uiPriority w:val="11"/>
    <w:qFormat/>
    <w:rsid w:val="00897E88"/>
    <w:p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97E88"/>
    <w:rPr>
      <w:rFonts w:asciiTheme="majorHAnsi" w:eastAsiaTheme="majorEastAsia" w:hAnsiTheme="majorHAnsi" w:cstheme="majorBidi"/>
      <w:sz w:val="24"/>
      <w:szCs w:val="24"/>
    </w:rPr>
  </w:style>
  <w:style w:type="paragraph" w:styleId="Salutation">
    <w:name w:val="Salutation"/>
    <w:basedOn w:val="Normal"/>
    <w:next w:val="Normal"/>
    <w:link w:val="SalutationChar"/>
    <w:uiPriority w:val="99"/>
    <w:semiHidden/>
    <w:unhideWhenUsed/>
    <w:rsid w:val="00897E88"/>
  </w:style>
  <w:style w:type="character" w:customStyle="1" w:styleId="SalutationChar">
    <w:name w:val="Salutation Char"/>
    <w:basedOn w:val="DefaultParagraphFont"/>
    <w:link w:val="Salutation"/>
    <w:uiPriority w:val="99"/>
    <w:semiHidden/>
    <w:rsid w:val="00897E88"/>
    <w:rPr>
      <w:rFonts w:eastAsiaTheme="minorEastAsia"/>
      <w:szCs w:val="20"/>
    </w:rPr>
  </w:style>
  <w:style w:type="paragraph" w:styleId="Date">
    <w:name w:val="Date"/>
    <w:basedOn w:val="Normal"/>
    <w:next w:val="Normal"/>
    <w:link w:val="DateChar"/>
    <w:uiPriority w:val="99"/>
    <w:semiHidden/>
    <w:unhideWhenUsed/>
    <w:rsid w:val="00897E88"/>
  </w:style>
  <w:style w:type="character" w:customStyle="1" w:styleId="DateChar">
    <w:name w:val="Date Char"/>
    <w:basedOn w:val="DefaultParagraphFont"/>
    <w:link w:val="Date"/>
    <w:uiPriority w:val="99"/>
    <w:semiHidden/>
    <w:rsid w:val="00897E88"/>
    <w:rPr>
      <w:rFonts w:eastAsiaTheme="minorEastAsia"/>
      <w:szCs w:val="20"/>
    </w:rPr>
  </w:style>
  <w:style w:type="paragraph" w:styleId="BodyTextFirstIndent">
    <w:name w:val="Body Text First Indent"/>
    <w:basedOn w:val="BodyText"/>
    <w:link w:val="BodyTextFirstIndentChar"/>
    <w:uiPriority w:val="99"/>
    <w:semiHidden/>
    <w:unhideWhenUsed/>
    <w:rsid w:val="00897E88"/>
    <w:pPr>
      <w:ind w:firstLine="360"/>
    </w:pPr>
  </w:style>
  <w:style w:type="character" w:customStyle="1" w:styleId="BodyTextFirstIndentChar">
    <w:name w:val="Body Text First Indent Char"/>
    <w:basedOn w:val="BodyTextChar"/>
    <w:link w:val="BodyTextFirstIndent"/>
    <w:uiPriority w:val="99"/>
    <w:semiHidden/>
    <w:rsid w:val="00897E88"/>
    <w:rPr>
      <w:rFonts w:eastAsiaTheme="minorEastAsia"/>
      <w:szCs w:val="20"/>
    </w:rPr>
  </w:style>
  <w:style w:type="paragraph" w:styleId="BodyTextFirstIndent2">
    <w:name w:val="Body Text First Indent 2"/>
    <w:basedOn w:val="BodyTextIndent"/>
    <w:link w:val="BodyTextFirstIndent2Char"/>
    <w:uiPriority w:val="99"/>
    <w:semiHidden/>
    <w:unhideWhenUsed/>
    <w:rsid w:val="00897E88"/>
    <w:pPr>
      <w:ind w:firstLine="360"/>
    </w:pPr>
  </w:style>
  <w:style w:type="character" w:customStyle="1" w:styleId="BodyTextFirstIndent2Char">
    <w:name w:val="Body Text First Indent 2 Char"/>
    <w:basedOn w:val="BodyTextIndentChar"/>
    <w:link w:val="BodyTextFirstIndent2"/>
    <w:uiPriority w:val="99"/>
    <w:semiHidden/>
    <w:rsid w:val="00897E88"/>
    <w:rPr>
      <w:rFonts w:eastAsiaTheme="minorEastAsia"/>
      <w:szCs w:val="20"/>
    </w:rPr>
  </w:style>
  <w:style w:type="paragraph" w:styleId="NoteHeading">
    <w:name w:val="Note Heading"/>
    <w:basedOn w:val="Normal"/>
    <w:next w:val="Normal"/>
    <w:link w:val="NoteHeadingChar"/>
    <w:uiPriority w:val="99"/>
    <w:semiHidden/>
    <w:unhideWhenUsed/>
    <w:rsid w:val="00897E88"/>
    <w:pPr>
      <w:spacing w:after="0" w:line="240" w:lineRule="auto"/>
    </w:pPr>
  </w:style>
  <w:style w:type="character" w:customStyle="1" w:styleId="NoteHeadingChar">
    <w:name w:val="Note Heading Char"/>
    <w:basedOn w:val="DefaultParagraphFont"/>
    <w:link w:val="NoteHeading"/>
    <w:uiPriority w:val="99"/>
    <w:semiHidden/>
    <w:rsid w:val="00897E88"/>
    <w:rPr>
      <w:rFonts w:eastAsiaTheme="minorEastAsia"/>
      <w:szCs w:val="20"/>
    </w:rPr>
  </w:style>
  <w:style w:type="paragraph" w:styleId="BodyText2">
    <w:name w:val="Body Text 2"/>
    <w:basedOn w:val="Normal"/>
    <w:link w:val="BodyText2Char"/>
    <w:uiPriority w:val="99"/>
    <w:semiHidden/>
    <w:unhideWhenUsed/>
    <w:rsid w:val="00897E88"/>
  </w:style>
  <w:style w:type="character" w:customStyle="1" w:styleId="BodyText2Char">
    <w:name w:val="Body Text 2 Char"/>
    <w:basedOn w:val="DefaultParagraphFont"/>
    <w:link w:val="BodyText2"/>
    <w:uiPriority w:val="99"/>
    <w:semiHidden/>
    <w:rsid w:val="00897E88"/>
    <w:rPr>
      <w:rFonts w:eastAsiaTheme="minorEastAsia"/>
      <w:szCs w:val="20"/>
    </w:rPr>
  </w:style>
  <w:style w:type="paragraph" w:styleId="BodyText3">
    <w:name w:val="Body Text 3"/>
    <w:basedOn w:val="Normal"/>
    <w:link w:val="BodyText3Char"/>
    <w:uiPriority w:val="99"/>
    <w:semiHidden/>
    <w:unhideWhenUsed/>
    <w:rsid w:val="00897E88"/>
    <w:rPr>
      <w:sz w:val="16"/>
      <w:szCs w:val="16"/>
    </w:rPr>
  </w:style>
  <w:style w:type="character" w:customStyle="1" w:styleId="BodyText3Char">
    <w:name w:val="Body Text 3 Char"/>
    <w:basedOn w:val="DefaultParagraphFont"/>
    <w:link w:val="BodyText3"/>
    <w:uiPriority w:val="99"/>
    <w:semiHidden/>
    <w:rsid w:val="00897E88"/>
    <w:rPr>
      <w:rFonts w:eastAsiaTheme="minorEastAsia"/>
      <w:sz w:val="16"/>
      <w:szCs w:val="16"/>
    </w:rPr>
  </w:style>
  <w:style w:type="paragraph" w:styleId="BodyTextIndent2">
    <w:name w:val="Body Text Indent 2"/>
    <w:basedOn w:val="Normal"/>
    <w:link w:val="BodyTextIndent2Char"/>
    <w:uiPriority w:val="99"/>
    <w:semiHidden/>
    <w:unhideWhenUsed/>
    <w:rsid w:val="00897E88"/>
    <w:pPr>
      <w:ind w:left="360"/>
    </w:pPr>
  </w:style>
  <w:style w:type="character" w:customStyle="1" w:styleId="BodyTextIndent2Char">
    <w:name w:val="Body Text Indent 2 Char"/>
    <w:basedOn w:val="DefaultParagraphFont"/>
    <w:link w:val="BodyTextIndent2"/>
    <w:uiPriority w:val="99"/>
    <w:semiHidden/>
    <w:rsid w:val="00897E88"/>
    <w:rPr>
      <w:rFonts w:eastAsiaTheme="minorEastAsia"/>
      <w:szCs w:val="20"/>
    </w:rPr>
  </w:style>
  <w:style w:type="paragraph" w:styleId="BodyTextIndent3">
    <w:name w:val="Body Text Indent 3"/>
    <w:basedOn w:val="Normal"/>
    <w:link w:val="BodyTextIndent3Char"/>
    <w:uiPriority w:val="99"/>
    <w:semiHidden/>
    <w:unhideWhenUsed/>
    <w:rsid w:val="00897E88"/>
    <w:pPr>
      <w:ind w:left="360"/>
    </w:pPr>
    <w:rPr>
      <w:sz w:val="16"/>
      <w:szCs w:val="16"/>
    </w:rPr>
  </w:style>
  <w:style w:type="character" w:customStyle="1" w:styleId="BodyTextIndent3Char">
    <w:name w:val="Body Text Indent 3 Char"/>
    <w:basedOn w:val="DefaultParagraphFont"/>
    <w:link w:val="BodyTextIndent3"/>
    <w:uiPriority w:val="99"/>
    <w:semiHidden/>
    <w:rsid w:val="00897E88"/>
    <w:rPr>
      <w:rFonts w:eastAsiaTheme="minorEastAsia"/>
      <w:sz w:val="16"/>
      <w:szCs w:val="16"/>
    </w:rPr>
  </w:style>
  <w:style w:type="paragraph" w:styleId="BlockText">
    <w:name w:val="Block Text"/>
    <w:basedOn w:val="Normal"/>
    <w:uiPriority w:val="99"/>
    <w:semiHidden/>
    <w:unhideWhenUsed/>
    <w:rsid w:val="00897E8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DocumentMap">
    <w:name w:val="Document Map"/>
    <w:basedOn w:val="Normal"/>
    <w:link w:val="DocumentMapChar"/>
    <w:uiPriority w:val="99"/>
    <w:semiHidden/>
    <w:unhideWhenUsed/>
    <w:rsid w:val="00897E8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7E88"/>
    <w:rPr>
      <w:rFonts w:ascii="Segoe UI" w:eastAsiaTheme="minorEastAsia" w:hAnsi="Segoe UI" w:cs="Segoe UI"/>
      <w:sz w:val="16"/>
      <w:szCs w:val="16"/>
    </w:rPr>
  </w:style>
  <w:style w:type="paragraph" w:styleId="PlainText">
    <w:name w:val="Plain Text"/>
    <w:basedOn w:val="Normal"/>
    <w:link w:val="PlainTextChar"/>
    <w:uiPriority w:val="99"/>
    <w:semiHidden/>
    <w:unhideWhenUsed/>
    <w:rsid w:val="00897E8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97E88"/>
    <w:rPr>
      <w:rFonts w:ascii="Consolas" w:eastAsiaTheme="minorEastAsia" w:hAnsi="Consolas"/>
      <w:sz w:val="21"/>
      <w:szCs w:val="21"/>
    </w:rPr>
  </w:style>
  <w:style w:type="paragraph" w:styleId="E-mailSignature">
    <w:name w:val="E-mail Signature"/>
    <w:basedOn w:val="Normal"/>
    <w:link w:val="E-mailSignatureChar"/>
    <w:uiPriority w:val="99"/>
    <w:semiHidden/>
    <w:unhideWhenUsed/>
    <w:rsid w:val="00897E88"/>
    <w:pPr>
      <w:spacing w:after="0" w:line="240" w:lineRule="auto"/>
    </w:pPr>
  </w:style>
  <w:style w:type="character" w:customStyle="1" w:styleId="E-mailSignatureChar">
    <w:name w:val="E-mail Signature Char"/>
    <w:basedOn w:val="DefaultParagraphFont"/>
    <w:link w:val="E-mailSignature"/>
    <w:uiPriority w:val="99"/>
    <w:semiHidden/>
    <w:rsid w:val="00897E88"/>
    <w:rPr>
      <w:rFonts w:eastAsiaTheme="minorEastAsia"/>
      <w:szCs w:val="20"/>
    </w:rPr>
  </w:style>
  <w:style w:type="paragraph" w:styleId="CommentSubject">
    <w:name w:val="annotation subject"/>
    <w:basedOn w:val="CommentText"/>
    <w:next w:val="CommentText"/>
    <w:link w:val="CommentSubjectChar"/>
    <w:uiPriority w:val="99"/>
    <w:semiHidden/>
    <w:unhideWhenUsed/>
    <w:rsid w:val="00897E88"/>
    <w:pPr>
      <w:spacing w:after="120"/>
    </w:pPr>
    <w:rPr>
      <w:rFonts w:eastAsiaTheme="minorEastAsia"/>
      <w:b/>
      <w:bCs/>
    </w:rPr>
  </w:style>
  <w:style w:type="character" w:customStyle="1" w:styleId="CommentSubjectChar">
    <w:name w:val="Comment Subject Char"/>
    <w:basedOn w:val="CommentTextChar"/>
    <w:link w:val="CommentSubject"/>
    <w:uiPriority w:val="99"/>
    <w:semiHidden/>
    <w:rsid w:val="00897E88"/>
    <w:rPr>
      <w:rFonts w:eastAsiaTheme="minorEastAsia"/>
      <w:b/>
      <w:bCs/>
      <w:szCs w:val="20"/>
    </w:rPr>
  </w:style>
  <w:style w:type="paragraph" w:styleId="BalloonText">
    <w:name w:val="Balloon Text"/>
    <w:basedOn w:val="Normal"/>
    <w:link w:val="BalloonTextChar"/>
    <w:uiPriority w:val="99"/>
    <w:semiHidden/>
    <w:unhideWhenUsed/>
    <w:rsid w:val="00897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E88"/>
    <w:rPr>
      <w:rFonts w:ascii="Segoe UI" w:eastAsiaTheme="minorEastAsia" w:hAnsi="Segoe UI" w:cs="Segoe UI"/>
      <w:sz w:val="18"/>
      <w:szCs w:val="18"/>
    </w:rPr>
  </w:style>
  <w:style w:type="paragraph" w:styleId="NoSpacing">
    <w:name w:val="No Spacing"/>
    <w:uiPriority w:val="1"/>
    <w:qFormat/>
    <w:rsid w:val="00897E88"/>
    <w:pPr>
      <w:spacing w:after="0" w:line="240" w:lineRule="auto"/>
    </w:pPr>
    <w:rPr>
      <w:rFonts w:eastAsiaTheme="minorEastAsia"/>
      <w:sz w:val="20"/>
      <w:szCs w:val="20"/>
    </w:rPr>
  </w:style>
  <w:style w:type="paragraph" w:styleId="Revision">
    <w:name w:val="Revision"/>
    <w:uiPriority w:val="99"/>
    <w:semiHidden/>
    <w:rsid w:val="00897E88"/>
    <w:pPr>
      <w:spacing w:after="0" w:line="240" w:lineRule="auto"/>
    </w:pPr>
    <w:rPr>
      <w:rFonts w:eastAsiaTheme="minorEastAsia"/>
      <w:sz w:val="20"/>
      <w:szCs w:val="20"/>
    </w:rPr>
  </w:style>
  <w:style w:type="paragraph" w:styleId="ListParagraph">
    <w:name w:val="List Paragraph"/>
    <w:basedOn w:val="Normal"/>
    <w:uiPriority w:val="34"/>
    <w:qFormat/>
    <w:rsid w:val="00897E88"/>
    <w:pPr>
      <w:ind w:left="720"/>
      <w:contextualSpacing/>
    </w:pPr>
  </w:style>
  <w:style w:type="paragraph" w:styleId="Quote">
    <w:name w:val="Quote"/>
    <w:basedOn w:val="Normal"/>
    <w:next w:val="Normal"/>
    <w:link w:val="QuoteChar"/>
    <w:uiPriority w:val="29"/>
    <w:qFormat/>
    <w:rsid w:val="00897E8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97E88"/>
    <w:rPr>
      <w:rFonts w:eastAsiaTheme="minorEastAsia"/>
      <w:i/>
      <w:iCs/>
      <w:color w:val="404040" w:themeColor="text1" w:themeTint="BF"/>
      <w:szCs w:val="20"/>
    </w:rPr>
  </w:style>
  <w:style w:type="paragraph" w:styleId="IntenseQuote">
    <w:name w:val="Intense Quote"/>
    <w:basedOn w:val="Normal"/>
    <w:next w:val="Normal"/>
    <w:link w:val="IntenseQuoteChar"/>
    <w:uiPriority w:val="30"/>
    <w:qFormat/>
    <w:rsid w:val="00897E8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97E88"/>
    <w:rPr>
      <w:rFonts w:asciiTheme="majorHAnsi" w:eastAsiaTheme="majorEastAsia" w:hAnsiTheme="majorHAnsi" w:cstheme="majorBidi"/>
      <w:color w:val="5B9BD5" w:themeColor="accent1"/>
      <w:sz w:val="28"/>
      <w:szCs w:val="28"/>
    </w:rPr>
  </w:style>
  <w:style w:type="paragraph" w:styleId="Bibliography">
    <w:name w:val="Bibliography"/>
    <w:basedOn w:val="Normal"/>
    <w:next w:val="Normal"/>
    <w:uiPriority w:val="37"/>
    <w:semiHidden/>
    <w:unhideWhenUsed/>
    <w:rsid w:val="00897E88"/>
    <w:pPr>
      <w:tabs>
        <w:tab w:val="left" w:pos="384"/>
      </w:tabs>
      <w:spacing w:after="240" w:line="240" w:lineRule="auto"/>
      <w:ind w:left="384" w:hanging="384"/>
    </w:pPr>
  </w:style>
  <w:style w:type="paragraph" w:styleId="TOCHeading">
    <w:name w:val="TOC Heading"/>
    <w:basedOn w:val="Heading1"/>
    <w:next w:val="Normal"/>
    <w:uiPriority w:val="39"/>
    <w:semiHidden/>
    <w:unhideWhenUsed/>
    <w:qFormat/>
    <w:rsid w:val="00897E88"/>
    <w:pPr>
      <w:outlineLvl w:val="9"/>
    </w:pPr>
  </w:style>
  <w:style w:type="character" w:customStyle="1" w:styleId="EndNoteBibliographyTitleChar">
    <w:name w:val="EndNote Bibliography Title Char"/>
    <w:basedOn w:val="DefaultParagraphFont"/>
    <w:link w:val="EndNoteBibliographyTitle"/>
    <w:semiHidden/>
    <w:locked/>
    <w:rsid w:val="00897E88"/>
    <w:rPr>
      <w:rFonts w:ascii="Calibri" w:hAnsi="Calibri" w:cs="Calibri"/>
      <w:noProof/>
    </w:rPr>
  </w:style>
  <w:style w:type="paragraph" w:customStyle="1" w:styleId="EndNoteBibliographyTitle">
    <w:name w:val="EndNote Bibliography Title"/>
    <w:basedOn w:val="Normal"/>
    <w:link w:val="EndNoteBibliographyTitleChar"/>
    <w:semiHidden/>
    <w:rsid w:val="00897E88"/>
    <w:pPr>
      <w:spacing w:after="0"/>
      <w:jc w:val="center"/>
    </w:pPr>
    <w:rPr>
      <w:rFonts w:ascii="Calibri" w:eastAsiaTheme="minorHAnsi" w:hAnsi="Calibri" w:cs="Calibri"/>
      <w:noProof/>
      <w:szCs w:val="22"/>
    </w:rPr>
  </w:style>
  <w:style w:type="character" w:customStyle="1" w:styleId="EndNoteBibliographyChar">
    <w:name w:val="EndNote Bibliography Char"/>
    <w:basedOn w:val="DefaultParagraphFont"/>
    <w:link w:val="EndNoteBibliography"/>
    <w:semiHidden/>
    <w:locked/>
    <w:rsid w:val="00897E88"/>
    <w:rPr>
      <w:rFonts w:ascii="Calibri" w:hAnsi="Calibri" w:cs="Calibri"/>
      <w:noProof/>
    </w:rPr>
  </w:style>
  <w:style w:type="paragraph" w:customStyle="1" w:styleId="EndNoteBibliography">
    <w:name w:val="EndNote Bibliography"/>
    <w:basedOn w:val="Normal"/>
    <w:link w:val="EndNoteBibliographyChar"/>
    <w:semiHidden/>
    <w:rsid w:val="00897E88"/>
    <w:pPr>
      <w:spacing w:line="240" w:lineRule="auto"/>
    </w:pPr>
    <w:rPr>
      <w:rFonts w:ascii="Calibri" w:eastAsiaTheme="minorHAnsi" w:hAnsi="Calibri" w:cs="Calibri"/>
      <w:noProof/>
      <w:szCs w:val="22"/>
    </w:rPr>
  </w:style>
  <w:style w:type="character" w:styleId="FootnoteReference">
    <w:name w:val="footnote reference"/>
    <w:basedOn w:val="DefaultParagraphFont"/>
    <w:uiPriority w:val="99"/>
    <w:semiHidden/>
    <w:unhideWhenUsed/>
    <w:rsid w:val="00897E88"/>
    <w:rPr>
      <w:vertAlign w:val="superscript"/>
    </w:rPr>
  </w:style>
  <w:style w:type="character" w:styleId="CommentReference">
    <w:name w:val="annotation reference"/>
    <w:basedOn w:val="DefaultParagraphFont"/>
    <w:uiPriority w:val="99"/>
    <w:semiHidden/>
    <w:unhideWhenUsed/>
    <w:rsid w:val="00897E88"/>
    <w:rPr>
      <w:sz w:val="16"/>
      <w:szCs w:val="16"/>
    </w:rPr>
  </w:style>
  <w:style w:type="character" w:styleId="PlaceholderText">
    <w:name w:val="Placeholder Text"/>
    <w:basedOn w:val="DefaultParagraphFont"/>
    <w:uiPriority w:val="99"/>
    <w:semiHidden/>
    <w:rsid w:val="00897E88"/>
    <w:rPr>
      <w:color w:val="808080"/>
    </w:rPr>
  </w:style>
  <w:style w:type="character" w:styleId="SubtleEmphasis">
    <w:name w:val="Subtle Emphasis"/>
    <w:basedOn w:val="DefaultParagraphFont"/>
    <w:uiPriority w:val="19"/>
    <w:qFormat/>
    <w:rsid w:val="00897E88"/>
    <w:rPr>
      <w:i/>
      <w:iCs/>
      <w:color w:val="404040" w:themeColor="text1" w:themeTint="BF"/>
    </w:rPr>
  </w:style>
  <w:style w:type="character" w:styleId="IntenseEmphasis">
    <w:name w:val="Intense Emphasis"/>
    <w:basedOn w:val="DefaultParagraphFont"/>
    <w:uiPriority w:val="21"/>
    <w:qFormat/>
    <w:rsid w:val="00897E88"/>
    <w:rPr>
      <w:b/>
      <w:bCs/>
      <w:i/>
      <w:iCs/>
    </w:rPr>
  </w:style>
  <w:style w:type="character" w:styleId="SubtleReference">
    <w:name w:val="Subtle Reference"/>
    <w:basedOn w:val="DefaultParagraphFont"/>
    <w:uiPriority w:val="31"/>
    <w:qFormat/>
    <w:rsid w:val="00897E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97E88"/>
    <w:rPr>
      <w:b/>
      <w:bCs/>
      <w:smallCaps/>
      <w:spacing w:val="5"/>
      <w:u w:val="single"/>
    </w:rPr>
  </w:style>
  <w:style w:type="character" w:styleId="BookTitle">
    <w:name w:val="Book Title"/>
    <w:basedOn w:val="DefaultParagraphFont"/>
    <w:uiPriority w:val="33"/>
    <w:qFormat/>
    <w:rsid w:val="00897E88"/>
    <w:rPr>
      <w:b/>
      <w:bCs/>
      <w:smallCaps/>
    </w:rPr>
  </w:style>
  <w:style w:type="character" w:customStyle="1" w:styleId="UnresolvedMention">
    <w:name w:val="Unresolved Mention"/>
    <w:basedOn w:val="DefaultParagraphFont"/>
    <w:uiPriority w:val="99"/>
    <w:semiHidden/>
    <w:rsid w:val="00897E88"/>
    <w:rPr>
      <w:color w:val="605E5C"/>
      <w:shd w:val="clear" w:color="auto" w:fill="E1DFDD"/>
    </w:rPr>
  </w:style>
  <w:style w:type="character" w:customStyle="1" w:styleId="UnresolvedMention1">
    <w:name w:val="Unresolved Mention1"/>
    <w:basedOn w:val="DefaultParagraphFont"/>
    <w:uiPriority w:val="99"/>
    <w:semiHidden/>
    <w:rsid w:val="00897E88"/>
    <w:rPr>
      <w:color w:val="605E5C"/>
      <w:shd w:val="clear" w:color="auto" w:fill="E1DFDD"/>
    </w:rPr>
  </w:style>
  <w:style w:type="table" w:styleId="TableGrid">
    <w:name w:val="Table Grid"/>
    <w:basedOn w:val="TableNormal"/>
    <w:uiPriority w:val="39"/>
    <w:rsid w:val="00897E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33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13846</Words>
  <Characters>78926</Characters>
  <Application>Microsoft Office Word</Application>
  <DocSecurity>0</DocSecurity>
  <Lines>657</Lines>
  <Paragraphs>185</Paragraphs>
  <ScaleCrop>false</ScaleCrop>
  <Company>Springer Nature IT</Company>
  <LinksUpToDate>false</LinksUpToDate>
  <CharactersWithSpaces>92587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Kamble</dc:creator>
  <cp:keywords/>
  <dc:description/>
  <cp:lastModifiedBy>Siddharth Kamble</cp:lastModifiedBy>
  <cp:revision>1</cp:revision>
  <dcterms:created xsi:type="dcterms:W3CDTF">2021-03-09T11:50:00Z</dcterms:created>
  <dcterms:modified xsi:type="dcterms:W3CDTF">2021-03-09T11:51:00Z</dcterms:modified>
</cp:coreProperties>
</file>