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90E0" w14:textId="661CA764" w:rsidR="007E6026" w:rsidRDefault="00703374">
      <w:r w:rsidRPr="00B402E0">
        <w:rPr>
          <w:rFonts w:ascii="Times New Roman" w:hAnsi="Times New Roman" w:cs="Times New Roman"/>
          <w:sz w:val="24"/>
          <w:szCs w:val="24"/>
        </w:rPr>
        <w:t>This study included the data of patients who were diagnosed with adenocarcinoma by pathology after initial treatment and radical operation in Beijing Chaoyang Hospital from October 2016 to January 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 w:rsidRPr="00B402E0">
        <w:rPr>
          <w:rFonts w:ascii="Times New Roman" w:hAnsi="Times New Roman" w:cs="Times New Roman"/>
          <w:sz w:val="24"/>
          <w:szCs w:val="24"/>
        </w:rPr>
        <w:t xml:space="preserve"> relevant medical records of patients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B40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collected</w:t>
      </w:r>
      <w:r w:rsidRPr="00B402E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sorted</w:t>
      </w:r>
      <w:r w:rsidRPr="00B402E0">
        <w:rPr>
          <w:rFonts w:ascii="Times New Roman" w:hAnsi="Times New Roman" w:cs="Times New Roman"/>
          <w:sz w:val="24"/>
          <w:szCs w:val="24"/>
        </w:rPr>
        <w:t xml:space="preserve"> out </w:t>
      </w:r>
      <w:r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Pr="00B402E0">
        <w:rPr>
          <w:rFonts w:ascii="Times New Roman" w:hAnsi="Times New Roman" w:cs="Times New Roman"/>
          <w:sz w:val="24"/>
          <w:szCs w:val="24"/>
        </w:rPr>
        <w:t>demographic, clinical, and pathological features,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2E0">
        <w:rPr>
          <w:rFonts w:ascii="Times New Roman" w:hAnsi="Times New Roman" w:cs="Times New Roman"/>
          <w:sz w:val="24"/>
          <w:szCs w:val="24"/>
        </w:rPr>
        <w:t>curative treatment effect evaluation, and long-term survival after treatment.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374">
        <w:rPr>
          <w:rFonts w:ascii="Times New Roman" w:hAnsi="Times New Roman" w:cs="Times New Roman"/>
          <w:sz w:val="24"/>
          <w:szCs w:val="24"/>
        </w:rPr>
        <w:t xml:space="preserve">Immunohistochemical analyses were performed according to methods published by </w:t>
      </w:r>
      <w:proofErr w:type="spellStart"/>
      <w:r w:rsidRPr="00703374">
        <w:rPr>
          <w:rFonts w:ascii="Times New Roman" w:hAnsi="Times New Roman" w:cs="Times New Roman"/>
          <w:sz w:val="24"/>
          <w:szCs w:val="24"/>
        </w:rPr>
        <w:t>Budwit</w:t>
      </w:r>
      <w:proofErr w:type="spellEnd"/>
      <w:r w:rsidRPr="00703374">
        <w:rPr>
          <w:rFonts w:ascii="Times New Roman" w:hAnsi="Times New Roman" w:cs="Times New Roman"/>
          <w:sz w:val="24"/>
          <w:szCs w:val="24"/>
        </w:rPr>
        <w:t xml:space="preserve">-Novotny et al. The expression of ICOS and ICOSL were divided to negative, </w:t>
      </w:r>
      <w:proofErr w:type="gramStart"/>
      <w:r w:rsidRPr="00703374">
        <w:rPr>
          <w:rFonts w:ascii="Times New Roman" w:hAnsi="Times New Roman" w:cs="Times New Roman"/>
          <w:sz w:val="24"/>
          <w:szCs w:val="24"/>
        </w:rPr>
        <w:t>low</w:t>
      </w:r>
      <w:proofErr w:type="gramEnd"/>
      <w:r w:rsidRPr="00703374">
        <w:rPr>
          <w:rFonts w:ascii="Times New Roman" w:hAnsi="Times New Roman" w:cs="Times New Roman"/>
          <w:sz w:val="24"/>
          <w:szCs w:val="24"/>
        </w:rPr>
        <w:t xml:space="preserve"> and high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7E6026" w:rsidSect="0070337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74"/>
    <w:rsid w:val="00703374"/>
    <w:rsid w:val="007E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5EF14"/>
  <w15:chartTrackingRefBased/>
  <w15:docId w15:val="{1974531F-9674-48FA-A3EF-B0616C6B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 NN</dc:creator>
  <cp:keywords/>
  <dc:description/>
  <cp:lastModifiedBy>YY NN</cp:lastModifiedBy>
  <cp:revision>1</cp:revision>
  <dcterms:created xsi:type="dcterms:W3CDTF">2022-08-05T08:20:00Z</dcterms:created>
  <dcterms:modified xsi:type="dcterms:W3CDTF">2022-08-05T08:24:00Z</dcterms:modified>
</cp:coreProperties>
</file>