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Material.</w:t>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Oro-dental phenotyping and report of three families with </w:t>
      </w:r>
      <w:r w:rsidDel="00000000" w:rsidR="00000000" w:rsidRPr="00000000">
        <w:rPr>
          <w:rFonts w:ascii="Times New Roman" w:cs="Times New Roman" w:eastAsia="Times New Roman" w:hAnsi="Times New Roman"/>
          <w:b w:val="1"/>
          <w:i w:val="1"/>
          <w:sz w:val="24"/>
          <w:szCs w:val="24"/>
          <w:rtl w:val="0"/>
        </w:rPr>
        <w:t xml:space="preserve">RELT</w:t>
      </w:r>
      <w:r w:rsidDel="00000000" w:rsidR="00000000" w:rsidRPr="00000000">
        <w:rPr>
          <w:rFonts w:ascii="Times New Roman" w:cs="Times New Roman" w:eastAsia="Times New Roman" w:hAnsi="Times New Roman"/>
          <w:b w:val="1"/>
          <w:sz w:val="24"/>
          <w:szCs w:val="24"/>
          <w:rtl w:val="0"/>
        </w:rPr>
        <w:t xml:space="preserve">-associated amelogenesis imperfecta</w:t>
      </w: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Kemelly Karolliny Moreira Resende</w:t>
      </w:r>
      <w:r w:rsidDel="00000000" w:rsidR="00000000" w:rsidRPr="00000000">
        <w:rPr>
          <w:rFonts w:ascii="Times New Roman" w:cs="Times New Roman" w:eastAsia="Times New Roman" w:hAnsi="Times New Roman"/>
          <w:sz w:val="24"/>
          <w:szCs w:val="24"/>
          <w:vertAlign w:val="superscript"/>
          <w:rtl w:val="0"/>
        </w:rPr>
        <w:t xml:space="preserve">1,5</w:t>
      </w:r>
      <w:r w:rsidDel="00000000" w:rsidR="00000000" w:rsidRPr="00000000">
        <w:rPr>
          <w:rFonts w:ascii="Times New Roman" w:cs="Times New Roman" w:eastAsia="Times New Roman" w:hAnsi="Times New Roman"/>
          <w:sz w:val="24"/>
          <w:szCs w:val="24"/>
          <w:rtl w:val="0"/>
        </w:rPr>
        <w:t xml:space="preserve">, Margot Charlotte Riou</w:t>
      </w:r>
      <w:r w:rsidDel="00000000" w:rsidR="00000000" w:rsidRPr="00000000">
        <w:rPr>
          <w:rFonts w:ascii="Times New Roman" w:cs="Times New Roman" w:eastAsia="Times New Roman" w:hAnsi="Times New Roman"/>
          <w:sz w:val="24"/>
          <w:szCs w:val="24"/>
          <w:vertAlign w:val="superscript"/>
          <w:rtl w:val="0"/>
        </w:rPr>
        <w:t xml:space="preserve">2,3,4</w:t>
      </w:r>
      <w:r w:rsidDel="00000000" w:rsidR="00000000" w:rsidRPr="00000000">
        <w:rPr>
          <w:rFonts w:ascii="Times New Roman" w:cs="Times New Roman" w:eastAsia="Times New Roman" w:hAnsi="Times New Roman"/>
          <w:sz w:val="24"/>
          <w:szCs w:val="24"/>
          <w:rtl w:val="0"/>
        </w:rPr>
        <w:t xml:space="preserve">, Paulo Marcio Yamaguti</w:t>
      </w:r>
      <w:r w:rsidDel="00000000" w:rsidR="00000000" w:rsidRPr="00000000">
        <w:rPr>
          <w:rFonts w:ascii="Times New Roman" w:cs="Times New Roman" w:eastAsia="Times New Roman" w:hAnsi="Times New Roman"/>
          <w:sz w:val="24"/>
          <w:szCs w:val="24"/>
          <w:vertAlign w:val="superscript"/>
          <w:rtl w:val="0"/>
        </w:rPr>
        <w:t xml:space="preserve">1,5</w:t>
      </w:r>
      <w:r w:rsidDel="00000000" w:rsidR="00000000" w:rsidRPr="00000000">
        <w:rPr>
          <w:rFonts w:ascii="Times New Roman" w:cs="Times New Roman" w:eastAsia="Times New Roman" w:hAnsi="Times New Roman"/>
          <w:sz w:val="24"/>
          <w:szCs w:val="24"/>
          <w:rtl w:val="0"/>
        </w:rPr>
        <w:t xml:space="preserve">, Benjamin Fournier</w:t>
      </w:r>
      <w:r w:rsidDel="00000000" w:rsidR="00000000" w:rsidRPr="00000000">
        <w:rPr>
          <w:rFonts w:ascii="Times New Roman" w:cs="Times New Roman" w:eastAsia="Times New Roman" w:hAnsi="Times New Roman"/>
          <w:sz w:val="24"/>
          <w:szCs w:val="24"/>
          <w:vertAlign w:val="superscript"/>
          <w:rtl w:val="0"/>
        </w:rPr>
        <w:t xml:space="preserve">2,3,4</w:t>
      </w:r>
      <w:r w:rsidDel="00000000" w:rsidR="00000000" w:rsidRPr="00000000">
        <w:rPr>
          <w:rFonts w:ascii="Times New Roman" w:cs="Times New Roman" w:eastAsia="Times New Roman" w:hAnsi="Times New Roman"/>
          <w:sz w:val="24"/>
          <w:szCs w:val="24"/>
          <w:rtl w:val="0"/>
        </w:rPr>
        <w:t xml:space="preserve">, Sophie Rondeau</w:t>
      </w:r>
      <w:r w:rsidDel="00000000" w:rsidR="00000000" w:rsidRPr="00000000">
        <w:rPr>
          <w:rFonts w:ascii="Times New Roman" w:cs="Times New Roman" w:eastAsia="Times New Roman" w:hAnsi="Times New Roman"/>
          <w:sz w:val="24"/>
          <w:szCs w:val="24"/>
          <w:vertAlign w:val="superscript"/>
          <w:rtl w:val="0"/>
        </w:rPr>
        <w:t xml:space="preserve">7,10</w:t>
      </w:r>
      <w:r w:rsidDel="00000000" w:rsidR="00000000" w:rsidRPr="00000000">
        <w:rPr>
          <w:rFonts w:ascii="Times New Roman" w:cs="Times New Roman" w:eastAsia="Times New Roman" w:hAnsi="Times New Roman"/>
          <w:sz w:val="24"/>
          <w:szCs w:val="24"/>
          <w:rtl w:val="0"/>
        </w:rPr>
        <w:t xml:space="preserve">, Laurence Pacot</w:t>
      </w:r>
      <w:r w:rsidDel="00000000" w:rsidR="00000000" w:rsidRPr="00000000">
        <w:rPr>
          <w:rFonts w:ascii="Times New Roman" w:cs="Times New Roman" w:eastAsia="Times New Roman" w:hAnsi="Times New Roman"/>
          <w:sz w:val="24"/>
          <w:szCs w:val="24"/>
          <w:vertAlign w:val="superscript"/>
          <w:rtl w:val="0"/>
        </w:rPr>
        <w:t xml:space="preserve">8,9</w:t>
      </w:r>
      <w:r w:rsidDel="00000000" w:rsidR="00000000" w:rsidRPr="00000000">
        <w:rPr>
          <w:rFonts w:ascii="Times New Roman" w:cs="Times New Roman" w:eastAsia="Times New Roman" w:hAnsi="Times New Roman"/>
          <w:sz w:val="24"/>
          <w:szCs w:val="24"/>
          <w:rtl w:val="0"/>
        </w:rPr>
        <w:t xml:space="preserve">, Ariane Berdal</w:t>
      </w:r>
      <w:r w:rsidDel="00000000" w:rsidR="00000000" w:rsidRPr="00000000">
        <w:rPr>
          <w:rFonts w:ascii="Times New Roman" w:cs="Times New Roman" w:eastAsia="Times New Roman" w:hAnsi="Times New Roman"/>
          <w:sz w:val="24"/>
          <w:szCs w:val="24"/>
          <w:vertAlign w:val="superscript"/>
          <w:rtl w:val="0"/>
        </w:rPr>
        <w:t xml:space="preserve">2,3,4</w:t>
      </w:r>
      <w:r w:rsidDel="00000000" w:rsidR="00000000" w:rsidRPr="00000000">
        <w:rPr>
          <w:rFonts w:ascii="Times New Roman" w:cs="Times New Roman" w:eastAsia="Times New Roman" w:hAnsi="Times New Roman"/>
          <w:sz w:val="24"/>
          <w:szCs w:val="24"/>
          <w:rtl w:val="0"/>
        </w:rPr>
        <w:t xml:space="preserve">, Juliana Forte Mazzeu</w:t>
      </w: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 Valérie Cormier-Daire</w:t>
      </w:r>
      <w:r w:rsidDel="00000000" w:rsidR="00000000" w:rsidRPr="00000000">
        <w:rPr>
          <w:rFonts w:ascii="Times New Roman" w:cs="Times New Roman" w:eastAsia="Times New Roman" w:hAnsi="Times New Roman"/>
          <w:sz w:val="24"/>
          <w:szCs w:val="24"/>
          <w:vertAlign w:val="superscript"/>
          <w:rtl w:val="0"/>
        </w:rPr>
        <w:t xml:space="preserve">7,10</w:t>
      </w:r>
      <w:r w:rsidDel="00000000" w:rsidR="00000000" w:rsidRPr="00000000">
        <w:rPr>
          <w:rFonts w:ascii="Times New Roman" w:cs="Times New Roman" w:eastAsia="Times New Roman" w:hAnsi="Times New Roman"/>
          <w:sz w:val="24"/>
          <w:szCs w:val="24"/>
          <w:rtl w:val="0"/>
        </w:rPr>
        <w:t xml:space="preserve">, Céline Gaucher</w:t>
      </w:r>
      <w:r w:rsidDel="00000000" w:rsidR="00000000" w:rsidRPr="00000000">
        <w:rPr>
          <w:rFonts w:ascii="Times New Roman" w:cs="Times New Roman" w:eastAsia="Times New Roman" w:hAnsi="Times New Roman"/>
          <w:sz w:val="24"/>
          <w:szCs w:val="24"/>
          <w:vertAlign w:val="superscript"/>
          <w:rtl w:val="0"/>
        </w:rPr>
        <w:t xml:space="preserve">8,11,12</w:t>
      </w:r>
      <w:r w:rsidDel="00000000" w:rsidR="00000000" w:rsidRPr="00000000">
        <w:rPr>
          <w:rFonts w:ascii="Times New Roman" w:cs="Times New Roman" w:eastAsia="Times New Roman" w:hAnsi="Times New Roman"/>
          <w:sz w:val="24"/>
          <w:szCs w:val="24"/>
          <w:rtl w:val="0"/>
        </w:rPr>
        <w:t xml:space="preserve">, Ana Carolina Acevedo</w:t>
      </w:r>
      <w:r w:rsidDel="00000000" w:rsidR="00000000" w:rsidRPr="00000000">
        <w:rPr>
          <w:rFonts w:ascii="Times New Roman" w:cs="Times New Roman" w:eastAsia="Times New Roman" w:hAnsi="Times New Roman"/>
          <w:sz w:val="24"/>
          <w:szCs w:val="24"/>
          <w:vertAlign w:val="superscript"/>
          <w:rtl w:val="0"/>
        </w:rPr>
        <w:t xml:space="preserve">1,3,4,5</w:t>
      </w:r>
      <w:r w:rsidDel="00000000" w:rsidR="00000000" w:rsidRPr="00000000">
        <w:rPr>
          <w:rFonts w:ascii="Times New Roman" w:cs="Times New Roman" w:eastAsia="Times New Roman" w:hAnsi="Times New Roman"/>
          <w:sz w:val="24"/>
          <w:szCs w:val="24"/>
          <w:rtl w:val="0"/>
        </w:rPr>
        <w:t xml:space="preserve">*, Muriel de La Dure-Molla</w:t>
      </w:r>
      <w:r w:rsidDel="00000000" w:rsidR="00000000" w:rsidRPr="00000000">
        <w:rPr>
          <w:rFonts w:ascii="Times New Roman" w:cs="Times New Roman" w:eastAsia="Times New Roman" w:hAnsi="Times New Roman"/>
          <w:sz w:val="24"/>
          <w:szCs w:val="24"/>
          <w:vertAlign w:val="superscript"/>
          <w:rtl w:val="0"/>
        </w:rPr>
        <w:t xml:space="preserve">2,3,10</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1-Laboratory of Oral Histopathology, Faculty of Health Sciences, University of Brasilia, Brazil</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2-Reference Center of Oral and Dental Rare Diseases (O-Rares), Rothschild Hospital, Public Assistance- Paris Hospitals, Paris, France</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3-Paris Cité University, Dental Faculty, Paris, France.</w:t>
      </w:r>
    </w:p>
    <w:p w:rsidR="00000000" w:rsidDel="00000000" w:rsidP="00000000" w:rsidRDefault="00000000" w:rsidRPr="00000000" w14:paraId="00000007">
      <w:pPr>
        <w:spacing w:line="240" w:lineRule="auto"/>
        <w:jc w:val="both"/>
        <w:rPr/>
      </w:pPr>
      <w:r w:rsidDel="00000000" w:rsidR="00000000" w:rsidRPr="00000000">
        <w:rPr>
          <w:rFonts w:ascii="Times New Roman" w:cs="Times New Roman" w:eastAsia="Times New Roman" w:hAnsi="Times New Roman"/>
          <w:sz w:val="24"/>
          <w:szCs w:val="24"/>
          <w:rtl w:val="0"/>
        </w:rPr>
        <w:t xml:space="preserve">4-Centre de Recherche des Cordeliers, Université Paris Cité, Sorbonne University, UMRS 1138 Inserm, Molecular Oral Physiopathology, Paris, France.</w:t>
      </w: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5-Oral Care Center for Inherited Diseases, University Hospital of Brasilia, Brasilia, Brazil.</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6-Laboratory of Clinical Genetics, Faculty of Medicine, University of Brasília, Brasília, Brazil.</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7-Reference Center for Skeletal Dysplasia, Service de Médecine Génomique des Maladies Rares, Necker Enfants Malades Hospital, Assistance Publique-Hôpitaux de Paris, Paris, France</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8-Service de Médecine Génomique des Maladies de Système et d'Organe, Fédération de Génétique et de Médecine Génomique, APHP.Centre - Université Paris Cité, Hôpital Cochin, Paris, France.</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Institut Cochin, Inserm U1016, CNRS UMR8104, Université Paris Cité, CARPEM, Paris, France</w:t>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10-Paris Cité University, INSERM UMR 1163 IMAGINE Institute, Paris France</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11-Université Paris Cité, URP2496, F-92120 Montrouge, France.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12-Department of Odontology, AP-HP, </w:t>
      </w:r>
      <w:r w:rsidDel="00000000" w:rsidR="00000000" w:rsidRPr="00000000">
        <w:rPr>
          <w:rFonts w:ascii="Times New Roman" w:cs="Times New Roman" w:eastAsia="Times New Roman" w:hAnsi="Times New Roman"/>
          <w:i w:val="1"/>
          <w:sz w:val="24"/>
          <w:szCs w:val="24"/>
          <w:rtl w:val="0"/>
        </w:rPr>
        <w:t xml:space="preserve">Hôpitaux Universitaire Henri Mondor</w:t>
      </w:r>
      <w:r w:rsidDel="00000000" w:rsidR="00000000" w:rsidRPr="00000000">
        <w:rPr>
          <w:rFonts w:ascii="Times New Roman" w:cs="Times New Roman" w:eastAsia="Times New Roman" w:hAnsi="Times New Roman"/>
          <w:sz w:val="24"/>
          <w:szCs w:val="24"/>
          <w:rtl w:val="0"/>
        </w:rPr>
        <w:t xml:space="preserve">, Paris F-94000, France.</w:t>
      </w:r>
    </w:p>
    <w:p w:rsidR="00000000" w:rsidDel="00000000" w:rsidP="00000000" w:rsidRDefault="00000000" w:rsidRPr="00000000" w14:paraId="00000010">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S1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Material and Methods. Molecular Analysis.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family 1 (proband IV:2) exome sequencing was performed using the Illumina platform at Macrogen (Seoul, Korea) and the variants were analyzed on the VarStation and Franklin Genoox platforms. Further Sanger sequencing was done in the affected siblings and parents using primers according to Appendix S2. In family 2 proband (V:3), exome sequencing was performed using Human Exome Refseq Kit (Twist Bioscience) and a Novaseq (Illumina). Annotation and visualization of the variants was made on Polyweb Interface (Imagine Institute, Paris). Finally, in family 3, (proband II;2) high-throughput targeted sequencing was performed using a hybridization capture DNA library (NimbleDesign®-Roche sequencing solution</w:t>
      </w:r>
      <w:r w:rsidDel="00000000" w:rsidR="00000000" w:rsidRPr="00000000">
        <w:rPr>
          <w:rFonts w:ascii="Times New Roman" w:cs="Times New Roman" w:eastAsia="Times New Roman" w:hAnsi="Times New Roman"/>
          <w:sz w:val="24"/>
          <w:szCs w:val="24"/>
          <w:vertAlign w:val="superscript"/>
          <w:rtl w:val="0"/>
        </w:rPr>
        <w:t xml:space="preserve">TM</w:t>
      </w:r>
      <w:r w:rsidDel="00000000" w:rsidR="00000000" w:rsidRPr="00000000">
        <w:rPr>
          <w:rFonts w:ascii="Times New Roman" w:cs="Times New Roman" w:eastAsia="Times New Roman" w:hAnsi="Times New Roman"/>
          <w:sz w:val="24"/>
          <w:szCs w:val="24"/>
          <w:rtl w:val="0"/>
        </w:rPr>
        <w:t xml:space="preserve">) and a MiSeq® platform (Illumina</w:t>
      </w:r>
      <w:r w:rsidDel="00000000" w:rsidR="00000000" w:rsidRPr="00000000">
        <w:rPr>
          <w:rFonts w:ascii="Times New Roman" w:cs="Times New Roman" w:eastAsia="Times New Roman" w:hAnsi="Times New Roman"/>
          <w:sz w:val="24"/>
          <w:szCs w:val="24"/>
          <w:vertAlign w:val="superscript"/>
          <w:rtl w:val="0"/>
        </w:rPr>
        <w:t xml:space="preserve">TM</w:t>
      </w:r>
      <w:r w:rsidDel="00000000" w:rsidR="00000000" w:rsidRPr="00000000">
        <w:rPr>
          <w:rFonts w:ascii="Times New Roman" w:cs="Times New Roman" w:eastAsia="Times New Roman" w:hAnsi="Times New Roman"/>
          <w:sz w:val="24"/>
          <w:szCs w:val="24"/>
          <w:rtl w:val="0"/>
        </w:rPr>
        <w:t xml:space="preserve">)(Appendix S3A). </w:t>
      </w:r>
    </w:p>
    <w:p w:rsidR="00000000" w:rsidDel="00000000" w:rsidP="00000000" w:rsidRDefault="00000000" w:rsidRPr="00000000" w14:paraId="00000013">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variants were classified according to the latest American College of Medical Genetics guidelines (Richards et al, 2015).  Variants were identified as a novel by their absence from the Osteogenesis Imperfecta Variant Database (</w:t>
      </w:r>
      <w:hyperlink r:id="rId7">
        <w:r w:rsidDel="00000000" w:rsidR="00000000" w:rsidRPr="00000000">
          <w:rPr>
            <w:rFonts w:ascii="Times New Roman" w:cs="Times New Roman" w:eastAsia="Times New Roman" w:hAnsi="Times New Roman"/>
            <w:sz w:val="24"/>
            <w:szCs w:val="24"/>
            <w:rtl w:val="0"/>
          </w:rPr>
          <w:t xml:space="preserve">http://www.le.ac.uk/ge/collagen)</w:t>
        </w:r>
      </w:hyperlink>
      <w:r w:rsidDel="00000000" w:rsidR="00000000" w:rsidRPr="00000000">
        <w:rPr>
          <w:rFonts w:ascii="Times New Roman" w:cs="Times New Roman" w:eastAsia="Times New Roman" w:hAnsi="Times New Roman"/>
          <w:sz w:val="24"/>
          <w:szCs w:val="24"/>
          <w:rtl w:val="0"/>
        </w:rPr>
        <w:t xml:space="preserve">. The nomenclature of all variants was checked on the Mutalyzer Website (</w:t>
      </w:r>
      <w:hyperlink r:id="rId8">
        <w:r w:rsidDel="00000000" w:rsidR="00000000" w:rsidRPr="00000000">
          <w:rPr>
            <w:rFonts w:ascii="Times New Roman" w:cs="Times New Roman" w:eastAsia="Times New Roman" w:hAnsi="Times New Roman"/>
            <w:sz w:val="24"/>
            <w:szCs w:val="24"/>
            <w:rtl w:val="0"/>
          </w:rPr>
          <w:t xml:space="preserve">https://mutalyzer.nl</w:t>
        </w:r>
      </w:hyperlink>
      <w:r w:rsidDel="00000000" w:rsidR="00000000" w:rsidRPr="00000000">
        <w:rPr>
          <w:rFonts w:ascii="Times New Roman" w:cs="Times New Roman" w:eastAsia="Times New Roman" w:hAnsi="Times New Roman"/>
          <w:sz w:val="24"/>
          <w:szCs w:val="24"/>
          <w:rtl w:val="0"/>
        </w:rPr>
        <w:t xml:space="preserve">). All variants were registered in the Leiden Open Variation Database (LOVD)</w:t>
      </w:r>
    </w:p>
    <w:tbl>
      <w:tblPr>
        <w:tblStyle w:val="Table1"/>
        <w:tblW w:w="978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3969"/>
        <w:gridCol w:w="3260"/>
        <w:tblGridChange w:id="0">
          <w:tblGrid>
            <w:gridCol w:w="2552"/>
            <w:gridCol w:w="3969"/>
            <w:gridCol w:w="3260"/>
          </w:tblGrid>
        </w:tblGridChange>
      </w:tblGrid>
      <w:tr>
        <w:trPr>
          <w:cantSplit w:val="0"/>
          <w:trHeight w:val="454" w:hRule="atLeast"/>
          <w:tblHeader w:val="0"/>
        </w:trPr>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S2.</w:t>
            </w:r>
            <w:r w:rsidDel="00000000" w:rsidR="00000000" w:rsidRPr="00000000">
              <w:rPr>
                <w:rFonts w:ascii="Times New Roman" w:cs="Times New Roman" w:eastAsia="Times New Roman" w:hAnsi="Times New Roman"/>
                <w:sz w:val="24"/>
                <w:szCs w:val="24"/>
                <w:rtl w:val="0"/>
              </w:rPr>
              <w:t xml:space="preserve"> Sequences of the primers used for </w:t>
            </w:r>
            <w:r w:rsidDel="00000000" w:rsidR="00000000" w:rsidRPr="00000000">
              <w:rPr>
                <w:rFonts w:ascii="Times New Roman" w:cs="Times New Roman" w:eastAsia="Times New Roman" w:hAnsi="Times New Roman"/>
                <w:i w:val="1"/>
                <w:sz w:val="24"/>
                <w:szCs w:val="24"/>
                <w:rtl w:val="0"/>
              </w:rPr>
              <w:t xml:space="preserve">RELT</w:t>
            </w:r>
            <w:r w:rsidDel="00000000" w:rsidR="00000000" w:rsidRPr="00000000">
              <w:rPr>
                <w:rFonts w:ascii="Times New Roman" w:cs="Times New Roman" w:eastAsia="Times New Roman" w:hAnsi="Times New Roman"/>
                <w:sz w:val="24"/>
                <w:szCs w:val="24"/>
                <w:rtl w:val="0"/>
              </w:rPr>
              <w:t xml:space="preserve"> gene amplification of Family 1:</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8">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RELT</w:t>
            </w:r>
            <w:r w:rsidDel="00000000" w:rsidR="00000000" w:rsidRPr="00000000">
              <w:rPr>
                <w:rtl w:val="0"/>
              </w:rPr>
            </w:r>
          </w:p>
        </w:tc>
        <w:tc>
          <w:tcPr>
            <w:vAlign w:val="center"/>
          </w:tcPr>
          <w:p w:rsidR="00000000" w:rsidDel="00000000" w:rsidP="00000000" w:rsidRDefault="00000000" w:rsidRPr="00000000" w14:paraId="00000019">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Primers (5’-&gt;3’)</w:t>
            </w:r>
          </w:p>
        </w:tc>
        <w:tc>
          <w:tcPr>
            <w:vAlign w:val="center"/>
          </w:tcPr>
          <w:p w:rsidR="00000000" w:rsidDel="00000000" w:rsidP="00000000" w:rsidRDefault="00000000" w:rsidRPr="00000000" w14:paraId="0000001A">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Amplicon size (bp)</w:t>
            </w:r>
          </w:p>
        </w:tc>
      </w:tr>
      <w:tr>
        <w:trPr>
          <w:cantSplit w:val="0"/>
          <w:trHeight w:val="454" w:hRule="atLeast"/>
          <w:tblHeader w:val="0"/>
        </w:trPr>
        <w:tc>
          <w:tcPr>
            <w:vAlign w:val="center"/>
          </w:tcPr>
          <w:p w:rsidR="00000000" w:rsidDel="00000000" w:rsidP="00000000" w:rsidRDefault="00000000" w:rsidRPr="00000000" w14:paraId="0000001B">
            <w:pP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Exon 3-F</w:t>
            </w:r>
          </w:p>
        </w:tc>
        <w:tc>
          <w:tcPr>
            <w:vAlign w:val="center"/>
          </w:tcPr>
          <w:p w:rsidR="00000000" w:rsidDel="00000000" w:rsidP="00000000" w:rsidRDefault="00000000" w:rsidRPr="00000000" w14:paraId="0000001C">
            <w:pP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GTCCCTACCACTGGGGTTTC</w:t>
            </w:r>
          </w:p>
        </w:tc>
        <w:tc>
          <w:tcPr>
            <w:vMerge w:val="restart"/>
            <w:vAlign w:val="center"/>
          </w:tcPr>
          <w:p w:rsidR="00000000" w:rsidDel="00000000" w:rsidP="00000000" w:rsidRDefault="00000000" w:rsidRPr="00000000" w14:paraId="0000001D">
            <w:pP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269</w:t>
            </w:r>
          </w:p>
        </w:tc>
      </w:tr>
      <w:tr>
        <w:trPr>
          <w:cantSplit w:val="0"/>
          <w:trHeight w:val="454" w:hRule="atLeast"/>
          <w:tblHeader w:val="0"/>
        </w:trPr>
        <w:tc>
          <w:tcPr>
            <w:vAlign w:val="center"/>
          </w:tcPr>
          <w:p w:rsidR="00000000" w:rsidDel="00000000" w:rsidP="00000000" w:rsidRDefault="00000000" w:rsidRPr="00000000" w14:paraId="0000001E">
            <w:pP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Exon 3-R</w:t>
            </w:r>
          </w:p>
        </w:tc>
        <w:tc>
          <w:tcPr>
            <w:vAlign w:val="center"/>
          </w:tcPr>
          <w:p w:rsidR="00000000" w:rsidDel="00000000" w:rsidP="00000000" w:rsidRDefault="00000000" w:rsidRPr="00000000" w14:paraId="0000001F">
            <w:pP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AAGCCTGAGGACCCTTGG</w:t>
            </w:r>
          </w:p>
        </w:tc>
        <w:tc>
          <w:tcPr>
            <w:vMerge w:val="continue"/>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2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bp: base pairs.</w:t>
      </w:r>
    </w:p>
    <w:p w:rsidR="00000000" w:rsidDel="00000000" w:rsidP="00000000" w:rsidRDefault="00000000" w:rsidRPr="00000000" w14:paraId="00000022">
      <w:pPr>
        <w:spacing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S3 A</w:t>
      </w:r>
      <w:r w:rsidDel="00000000" w:rsidR="00000000" w:rsidRPr="00000000">
        <w:rPr>
          <w:rFonts w:ascii="Times New Roman" w:cs="Times New Roman" w:eastAsia="Times New Roman" w:hAnsi="Times New Roman"/>
          <w:sz w:val="24"/>
          <w:szCs w:val="24"/>
          <w:rtl w:val="0"/>
        </w:rPr>
        <w:t xml:space="preserve">: Targeted genes panel used for molecular analysis for family 3.</w:t>
      </w:r>
    </w:p>
    <w:tbl>
      <w:tblPr>
        <w:tblStyle w:val="Table2"/>
        <w:tblW w:w="96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40"/>
        <w:gridCol w:w="1245"/>
        <w:gridCol w:w="1515"/>
        <w:gridCol w:w="2595"/>
        <w:tblGridChange w:id="0">
          <w:tblGrid>
            <w:gridCol w:w="4340"/>
            <w:gridCol w:w="1245"/>
            <w:gridCol w:w="1515"/>
            <w:gridCol w:w="2595"/>
          </w:tblGrid>
        </w:tblGridChange>
      </w:tblGrid>
      <w:tr>
        <w:trPr>
          <w:cantSplit w:val="0"/>
          <w:trHeight w:val="461" w:hRule="atLeast"/>
          <w:tblHeader w:val="0"/>
        </w:trPr>
        <w:tc>
          <w:tcPr/>
          <w:p w:rsidR="00000000" w:rsidDel="00000000" w:rsidP="00000000" w:rsidRDefault="00000000" w:rsidRPr="00000000" w14:paraId="00000024">
            <w:pPr>
              <w:spacing w:after="12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Protein</w:t>
            </w:r>
          </w:p>
        </w:tc>
        <w:tc>
          <w:tcPr/>
          <w:p w:rsidR="00000000" w:rsidDel="00000000" w:rsidP="00000000" w:rsidRDefault="00000000" w:rsidRPr="00000000" w14:paraId="00000025">
            <w:pPr>
              <w:spacing w:after="12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 (HGNC)</w:t>
            </w:r>
          </w:p>
        </w:tc>
        <w:tc>
          <w:tcPr/>
          <w:p w:rsidR="00000000" w:rsidDel="00000000" w:rsidP="00000000" w:rsidRDefault="00000000" w:rsidRPr="00000000" w14:paraId="00000026">
            <w:pPr>
              <w:spacing w:after="12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Localization</w:t>
            </w:r>
          </w:p>
        </w:tc>
        <w:tc>
          <w:tcPr/>
          <w:p w:rsidR="00000000" w:rsidDel="00000000" w:rsidP="00000000" w:rsidRDefault="00000000" w:rsidRPr="00000000" w14:paraId="00000027">
            <w:pPr>
              <w:spacing w:after="12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ENST</w:t>
            </w:r>
          </w:p>
        </w:tc>
      </w:tr>
      <w:tr>
        <w:trPr>
          <w:cantSplit w:val="0"/>
          <w:trHeight w:val="198" w:hRule="atLeast"/>
          <w:tblHeader w:val="0"/>
        </w:trPr>
        <w:tc>
          <w:tcPr/>
          <w:p w:rsidR="00000000" w:rsidDel="00000000" w:rsidP="00000000" w:rsidRDefault="00000000" w:rsidRPr="00000000" w14:paraId="0000002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Amelogenin</w:t>
            </w:r>
          </w:p>
        </w:tc>
        <w:tc>
          <w:tcPr/>
          <w:p w:rsidR="00000000" w:rsidDel="00000000" w:rsidP="00000000" w:rsidRDefault="00000000" w:rsidRPr="00000000" w14:paraId="0000002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AMELX</w:t>
            </w:r>
          </w:p>
        </w:tc>
        <w:tc>
          <w:tcPr/>
          <w:p w:rsidR="00000000" w:rsidDel="00000000" w:rsidP="00000000" w:rsidRDefault="00000000" w:rsidRPr="00000000" w14:paraId="0000002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Xp22.31-22.1</w:t>
            </w:r>
          </w:p>
        </w:tc>
        <w:tc>
          <w:tcPr/>
          <w:p w:rsidR="00000000" w:rsidDel="00000000" w:rsidP="00000000" w:rsidRDefault="00000000" w:rsidRPr="00000000" w14:paraId="0000002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ENST0000380712.7</w:t>
            </w:r>
          </w:p>
        </w:tc>
      </w:tr>
      <w:tr>
        <w:trPr>
          <w:cantSplit w:val="0"/>
          <w:trHeight w:val="49" w:hRule="atLeast"/>
          <w:tblHeader w:val="0"/>
        </w:trPr>
        <w:tc>
          <w:tcPr/>
          <w:p w:rsidR="00000000" w:rsidDel="00000000" w:rsidP="00000000" w:rsidRDefault="00000000" w:rsidRPr="00000000" w14:paraId="0000002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Enamelin</w:t>
            </w:r>
          </w:p>
        </w:tc>
        <w:tc>
          <w:tcPr/>
          <w:p w:rsidR="00000000" w:rsidDel="00000000" w:rsidP="00000000" w:rsidRDefault="00000000" w:rsidRPr="00000000" w14:paraId="0000002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ENAM</w:t>
            </w:r>
          </w:p>
        </w:tc>
        <w:tc>
          <w:tcPr/>
          <w:p w:rsidR="00000000" w:rsidDel="00000000" w:rsidP="00000000" w:rsidRDefault="00000000" w:rsidRPr="00000000" w14:paraId="0000002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4q13.3</w:t>
            </w:r>
          </w:p>
        </w:tc>
        <w:tc>
          <w:tcPr/>
          <w:p w:rsidR="00000000" w:rsidDel="00000000" w:rsidP="00000000" w:rsidRDefault="00000000" w:rsidRPr="00000000" w14:paraId="0000002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ENST00000396073.3</w:t>
            </w:r>
          </w:p>
        </w:tc>
      </w:tr>
      <w:tr>
        <w:trPr>
          <w:cantSplit w:val="0"/>
          <w:trHeight w:val="156" w:hRule="atLeast"/>
          <w:tblHeader w:val="0"/>
        </w:trPr>
        <w:tc>
          <w:tcPr/>
          <w:p w:rsidR="00000000" w:rsidDel="00000000" w:rsidP="00000000" w:rsidRDefault="00000000" w:rsidRPr="00000000" w14:paraId="00000030">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Ameloblastin</w:t>
            </w:r>
          </w:p>
        </w:tc>
        <w:tc>
          <w:tcPr/>
          <w:p w:rsidR="00000000" w:rsidDel="00000000" w:rsidP="00000000" w:rsidRDefault="00000000" w:rsidRPr="00000000" w14:paraId="0000003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AMBN</w:t>
            </w:r>
          </w:p>
        </w:tc>
        <w:tc>
          <w:tcPr/>
          <w:p w:rsidR="00000000" w:rsidDel="00000000" w:rsidP="00000000" w:rsidRDefault="00000000" w:rsidRPr="00000000" w14:paraId="00000032">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4q21</w:t>
            </w:r>
          </w:p>
        </w:tc>
        <w:tc>
          <w:tcPr/>
          <w:p w:rsidR="00000000" w:rsidDel="00000000" w:rsidP="00000000" w:rsidRDefault="00000000" w:rsidRPr="00000000" w14:paraId="00000033">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ENST00000922937.10</w:t>
            </w:r>
          </w:p>
        </w:tc>
      </w:tr>
      <w:tr>
        <w:trPr>
          <w:cantSplit w:val="0"/>
          <w:trHeight w:val="119" w:hRule="atLeast"/>
          <w:tblHeader w:val="0"/>
        </w:trPr>
        <w:tc>
          <w:tcPr/>
          <w:p w:rsidR="00000000" w:rsidDel="00000000" w:rsidP="00000000" w:rsidRDefault="00000000" w:rsidRPr="00000000" w14:paraId="00000034">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Distal less homeobox 3</w:t>
            </w:r>
          </w:p>
        </w:tc>
        <w:tc>
          <w:tcPr/>
          <w:p w:rsidR="00000000" w:rsidDel="00000000" w:rsidP="00000000" w:rsidRDefault="00000000" w:rsidRPr="00000000" w14:paraId="0000003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DLX3</w:t>
            </w:r>
          </w:p>
        </w:tc>
        <w:tc>
          <w:tcPr/>
          <w:p w:rsidR="00000000" w:rsidDel="00000000" w:rsidP="00000000" w:rsidRDefault="00000000" w:rsidRPr="00000000" w14:paraId="00000036">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17q21</w:t>
            </w:r>
          </w:p>
        </w:tc>
        <w:tc>
          <w:tcPr/>
          <w:p w:rsidR="00000000" w:rsidDel="00000000" w:rsidP="00000000" w:rsidRDefault="00000000" w:rsidRPr="00000000" w14:paraId="00000037">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ENST00000434704.2</w:t>
            </w:r>
          </w:p>
        </w:tc>
      </w:tr>
      <w:tr>
        <w:trPr>
          <w:cantSplit w:val="0"/>
          <w:trHeight w:val="69" w:hRule="atLeast"/>
          <w:tblHeader w:val="0"/>
        </w:trPr>
        <w:tc>
          <w:tcPr/>
          <w:p w:rsidR="00000000" w:rsidDel="00000000" w:rsidP="00000000" w:rsidRDefault="00000000" w:rsidRPr="00000000" w14:paraId="0000003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Integrin, beta 6</w:t>
            </w:r>
          </w:p>
        </w:tc>
        <w:tc>
          <w:tcPr/>
          <w:p w:rsidR="00000000" w:rsidDel="00000000" w:rsidP="00000000" w:rsidRDefault="00000000" w:rsidRPr="00000000" w14:paraId="0000003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ITGB6</w:t>
            </w:r>
          </w:p>
        </w:tc>
        <w:tc>
          <w:tcPr/>
          <w:p w:rsidR="00000000" w:rsidDel="00000000" w:rsidP="00000000" w:rsidRDefault="00000000" w:rsidRPr="00000000" w14:paraId="0000003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2q24.2</w:t>
            </w:r>
          </w:p>
        </w:tc>
        <w:tc>
          <w:tcPr/>
          <w:p w:rsidR="00000000" w:rsidDel="00000000" w:rsidP="00000000" w:rsidRDefault="00000000" w:rsidRPr="00000000" w14:paraId="0000003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ENST00000283249.6</w:t>
            </w:r>
          </w:p>
        </w:tc>
      </w:tr>
      <w:tr>
        <w:trPr>
          <w:cantSplit w:val="0"/>
          <w:trHeight w:val="161" w:hRule="atLeast"/>
          <w:tblHeader w:val="0"/>
        </w:trPr>
        <w:tc>
          <w:tcPr/>
          <w:p w:rsidR="00000000" w:rsidDel="00000000" w:rsidP="00000000" w:rsidRDefault="00000000" w:rsidRPr="00000000" w14:paraId="0000003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Laminin, beta 3</w:t>
            </w:r>
          </w:p>
        </w:tc>
        <w:tc>
          <w:tcPr/>
          <w:p w:rsidR="00000000" w:rsidDel="00000000" w:rsidP="00000000" w:rsidRDefault="00000000" w:rsidRPr="00000000" w14:paraId="0000003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LAMB3</w:t>
            </w:r>
          </w:p>
        </w:tc>
        <w:tc>
          <w:tcPr/>
          <w:p w:rsidR="00000000" w:rsidDel="00000000" w:rsidP="00000000" w:rsidRDefault="00000000" w:rsidRPr="00000000" w14:paraId="0000003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1q32</w:t>
            </w:r>
          </w:p>
        </w:tc>
        <w:tc>
          <w:tcPr/>
          <w:p w:rsidR="00000000" w:rsidDel="00000000" w:rsidP="00000000" w:rsidRDefault="00000000" w:rsidRPr="00000000" w14:paraId="0000003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ENST00000356082.8</w:t>
            </w:r>
          </w:p>
        </w:tc>
      </w:tr>
      <w:tr>
        <w:trPr>
          <w:cantSplit w:val="0"/>
          <w:trHeight w:val="49" w:hRule="atLeast"/>
          <w:tblHeader w:val="0"/>
        </w:trPr>
        <w:tc>
          <w:tcPr/>
          <w:p w:rsidR="00000000" w:rsidDel="00000000" w:rsidP="00000000" w:rsidRDefault="00000000" w:rsidRPr="00000000" w14:paraId="00000040">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Amelotin</w:t>
            </w:r>
          </w:p>
        </w:tc>
        <w:tc>
          <w:tcPr/>
          <w:p w:rsidR="00000000" w:rsidDel="00000000" w:rsidP="00000000" w:rsidRDefault="00000000" w:rsidRPr="00000000" w14:paraId="0000004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AMTN</w:t>
            </w:r>
          </w:p>
        </w:tc>
        <w:tc>
          <w:tcPr/>
          <w:p w:rsidR="00000000" w:rsidDel="00000000" w:rsidP="00000000" w:rsidRDefault="00000000" w:rsidRPr="00000000" w14:paraId="00000042">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4q13.3</w:t>
            </w:r>
          </w:p>
        </w:tc>
        <w:tc>
          <w:tcPr/>
          <w:p w:rsidR="00000000" w:rsidDel="00000000" w:rsidP="00000000" w:rsidRDefault="00000000" w:rsidRPr="00000000" w14:paraId="00000043">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ENST00000339336.8</w:t>
            </w:r>
          </w:p>
        </w:tc>
      </w:tr>
      <w:tr>
        <w:trPr>
          <w:cantSplit w:val="0"/>
          <w:trHeight w:val="217" w:hRule="atLeast"/>
          <w:tblHeader w:val="0"/>
        </w:trPr>
        <w:tc>
          <w:tcPr/>
          <w:p w:rsidR="00000000" w:rsidDel="00000000" w:rsidP="00000000" w:rsidRDefault="00000000" w:rsidRPr="00000000" w14:paraId="00000044">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WD repeat domain 72</w:t>
            </w:r>
          </w:p>
        </w:tc>
        <w:tc>
          <w:tcPr/>
          <w:p w:rsidR="00000000" w:rsidDel="00000000" w:rsidP="00000000" w:rsidRDefault="00000000" w:rsidRPr="00000000" w14:paraId="0000004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WDR72</w:t>
            </w:r>
          </w:p>
        </w:tc>
        <w:tc>
          <w:tcPr/>
          <w:p w:rsidR="00000000" w:rsidDel="00000000" w:rsidP="00000000" w:rsidRDefault="00000000" w:rsidRPr="00000000" w14:paraId="00000046">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15q21.3</w:t>
            </w:r>
          </w:p>
        </w:tc>
        <w:tc>
          <w:tcPr/>
          <w:p w:rsidR="00000000" w:rsidDel="00000000" w:rsidP="00000000" w:rsidRDefault="00000000" w:rsidRPr="00000000" w14:paraId="00000047">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ENST00000360509.9</w:t>
            </w:r>
          </w:p>
        </w:tc>
      </w:tr>
      <w:tr>
        <w:trPr>
          <w:cantSplit w:val="0"/>
          <w:trHeight w:val="309" w:hRule="atLeast"/>
          <w:tblHeader w:val="0"/>
        </w:trPr>
        <w:tc>
          <w:tcPr/>
          <w:p w:rsidR="00000000" w:rsidDel="00000000" w:rsidP="00000000" w:rsidRDefault="00000000" w:rsidRPr="00000000" w14:paraId="0000004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Matrix metallopeptidase 20</w:t>
            </w:r>
          </w:p>
        </w:tc>
        <w:tc>
          <w:tcPr/>
          <w:p w:rsidR="00000000" w:rsidDel="00000000" w:rsidP="00000000" w:rsidRDefault="00000000" w:rsidRPr="00000000" w14:paraId="0000004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MMP20</w:t>
            </w:r>
          </w:p>
        </w:tc>
        <w:tc>
          <w:tcPr/>
          <w:p w:rsidR="00000000" w:rsidDel="00000000" w:rsidP="00000000" w:rsidRDefault="00000000" w:rsidRPr="00000000" w14:paraId="0000004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11q22.3</w:t>
            </w:r>
          </w:p>
        </w:tc>
        <w:tc>
          <w:tcPr/>
          <w:p w:rsidR="00000000" w:rsidDel="00000000" w:rsidP="00000000" w:rsidRDefault="00000000" w:rsidRPr="00000000" w14:paraId="0000004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ENST00000260228.2</w:t>
            </w:r>
          </w:p>
        </w:tc>
      </w:tr>
      <w:tr>
        <w:trPr>
          <w:cantSplit w:val="0"/>
          <w:trHeight w:val="270" w:hRule="atLeast"/>
          <w:tblHeader w:val="0"/>
        </w:trPr>
        <w:tc>
          <w:tcPr/>
          <w:p w:rsidR="00000000" w:rsidDel="00000000" w:rsidP="00000000" w:rsidRDefault="00000000" w:rsidRPr="00000000" w14:paraId="0000004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Solute carrier Family 24A4</w:t>
            </w:r>
          </w:p>
        </w:tc>
        <w:tc>
          <w:tcPr/>
          <w:p w:rsidR="00000000" w:rsidDel="00000000" w:rsidP="00000000" w:rsidRDefault="00000000" w:rsidRPr="00000000" w14:paraId="0000004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SLC24A4</w:t>
            </w:r>
          </w:p>
        </w:tc>
        <w:tc>
          <w:tcPr/>
          <w:p w:rsidR="00000000" w:rsidDel="00000000" w:rsidP="00000000" w:rsidRDefault="00000000" w:rsidRPr="00000000" w14:paraId="0000004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14q32.12</w:t>
            </w:r>
          </w:p>
        </w:tc>
        <w:tc>
          <w:tcPr/>
          <w:p w:rsidR="00000000" w:rsidDel="00000000" w:rsidP="00000000" w:rsidRDefault="00000000" w:rsidRPr="00000000" w14:paraId="0000004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ENST00000532405.5</w:t>
            </w:r>
          </w:p>
        </w:tc>
      </w:tr>
      <w:tr>
        <w:trPr>
          <w:cantSplit w:val="0"/>
          <w:trHeight w:val="275" w:hRule="atLeast"/>
          <w:tblHeader w:val="0"/>
        </w:trPr>
        <w:tc>
          <w:tcPr/>
          <w:p w:rsidR="00000000" w:rsidDel="00000000" w:rsidP="00000000" w:rsidRDefault="00000000" w:rsidRPr="00000000" w14:paraId="00000050">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Kallikrein-related peptidase 4</w:t>
            </w:r>
          </w:p>
        </w:tc>
        <w:tc>
          <w:tcPr/>
          <w:p w:rsidR="00000000" w:rsidDel="00000000" w:rsidP="00000000" w:rsidRDefault="00000000" w:rsidRPr="00000000" w14:paraId="0000005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KLK4</w:t>
            </w:r>
          </w:p>
        </w:tc>
        <w:tc>
          <w:tcPr/>
          <w:p w:rsidR="00000000" w:rsidDel="00000000" w:rsidP="00000000" w:rsidRDefault="00000000" w:rsidRPr="00000000" w14:paraId="00000052">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19q13.41</w:t>
            </w:r>
          </w:p>
        </w:tc>
        <w:tc>
          <w:tcPr/>
          <w:p w:rsidR="00000000" w:rsidDel="00000000" w:rsidP="00000000" w:rsidRDefault="00000000" w:rsidRPr="00000000" w14:paraId="00000053">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ENST00000324041.5</w:t>
            </w:r>
          </w:p>
        </w:tc>
      </w:tr>
      <w:tr>
        <w:trPr>
          <w:cantSplit w:val="0"/>
          <w:trHeight w:val="264" w:hRule="atLeast"/>
          <w:tblHeader w:val="0"/>
        </w:trPr>
        <w:tc>
          <w:tcPr/>
          <w:p w:rsidR="00000000" w:rsidDel="00000000" w:rsidP="00000000" w:rsidRDefault="00000000" w:rsidRPr="00000000" w14:paraId="00000054">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Bone morphogenetic phosphoprotein 2</w:t>
            </w:r>
          </w:p>
        </w:tc>
        <w:tc>
          <w:tcPr/>
          <w:p w:rsidR="00000000" w:rsidDel="00000000" w:rsidP="00000000" w:rsidRDefault="00000000" w:rsidRPr="00000000" w14:paraId="0000005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BMP2</w:t>
            </w:r>
          </w:p>
        </w:tc>
        <w:tc>
          <w:tcPr/>
          <w:p w:rsidR="00000000" w:rsidDel="00000000" w:rsidP="00000000" w:rsidRDefault="00000000" w:rsidRPr="00000000" w14:paraId="00000056">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20p13</w:t>
            </w:r>
          </w:p>
        </w:tc>
        <w:tc>
          <w:tcPr/>
          <w:p w:rsidR="00000000" w:rsidDel="00000000" w:rsidP="00000000" w:rsidRDefault="00000000" w:rsidRPr="00000000" w14:paraId="00000057">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ENST00000378827.4</w:t>
            </w:r>
          </w:p>
        </w:tc>
      </w:tr>
      <w:tr>
        <w:trPr>
          <w:cantSplit w:val="0"/>
          <w:trHeight w:val="461" w:hRule="atLeast"/>
          <w:tblHeader w:val="0"/>
        </w:trPr>
        <w:tc>
          <w:tcPr/>
          <w:p w:rsidR="00000000" w:rsidDel="00000000" w:rsidP="00000000" w:rsidRDefault="00000000" w:rsidRPr="00000000" w14:paraId="0000005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Odontogenesis-associated phosphoprotein</w:t>
            </w:r>
          </w:p>
        </w:tc>
        <w:tc>
          <w:tcPr/>
          <w:p w:rsidR="00000000" w:rsidDel="00000000" w:rsidP="00000000" w:rsidRDefault="00000000" w:rsidRPr="00000000" w14:paraId="0000005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ODAPH</w:t>
            </w:r>
          </w:p>
        </w:tc>
        <w:tc>
          <w:tcPr/>
          <w:p w:rsidR="00000000" w:rsidDel="00000000" w:rsidP="00000000" w:rsidRDefault="00000000" w:rsidRPr="00000000" w14:paraId="0000005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4q21.1</w:t>
            </w:r>
          </w:p>
        </w:tc>
        <w:tc>
          <w:tcPr/>
          <w:p w:rsidR="00000000" w:rsidDel="00000000" w:rsidP="00000000" w:rsidRDefault="00000000" w:rsidRPr="00000000" w14:paraId="0000005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ENST00000311623.8</w:t>
            </w:r>
          </w:p>
        </w:tc>
      </w:tr>
      <w:tr>
        <w:trPr>
          <w:cantSplit w:val="0"/>
          <w:trHeight w:val="277" w:hRule="atLeast"/>
          <w:tblHeader w:val="0"/>
        </w:trPr>
        <w:tc>
          <w:tcPr/>
          <w:p w:rsidR="00000000" w:rsidDel="00000000" w:rsidP="00000000" w:rsidRDefault="00000000" w:rsidRPr="00000000" w14:paraId="0000005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Collagen 17 alpha 1</w:t>
            </w:r>
          </w:p>
        </w:tc>
        <w:tc>
          <w:tcPr/>
          <w:p w:rsidR="00000000" w:rsidDel="00000000" w:rsidP="00000000" w:rsidRDefault="00000000" w:rsidRPr="00000000" w14:paraId="0000005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COL17A1</w:t>
            </w:r>
          </w:p>
        </w:tc>
        <w:tc>
          <w:tcPr/>
          <w:p w:rsidR="00000000" w:rsidDel="00000000" w:rsidP="00000000" w:rsidRDefault="00000000" w:rsidRPr="00000000" w14:paraId="0000005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10q24.3</w:t>
            </w:r>
          </w:p>
        </w:tc>
        <w:tc>
          <w:tcPr/>
          <w:p w:rsidR="00000000" w:rsidDel="00000000" w:rsidP="00000000" w:rsidRDefault="00000000" w:rsidRPr="00000000" w14:paraId="0000005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ENST00000353479.9</w:t>
            </w:r>
          </w:p>
        </w:tc>
      </w:tr>
      <w:tr>
        <w:trPr>
          <w:cantSplit w:val="0"/>
          <w:trHeight w:val="461" w:hRule="atLeast"/>
          <w:tblHeader w:val="0"/>
        </w:trPr>
        <w:tc>
          <w:tcPr/>
          <w:p w:rsidR="00000000" w:rsidDel="00000000" w:rsidP="00000000" w:rsidRDefault="00000000" w:rsidRPr="00000000" w14:paraId="00000060">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Cyclin and CBS domain divalente metal cátion transport mediator 4</w:t>
            </w:r>
          </w:p>
        </w:tc>
        <w:tc>
          <w:tcPr/>
          <w:p w:rsidR="00000000" w:rsidDel="00000000" w:rsidP="00000000" w:rsidRDefault="00000000" w:rsidRPr="00000000" w14:paraId="0000006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CNNM4</w:t>
            </w:r>
          </w:p>
        </w:tc>
        <w:tc>
          <w:tcPr/>
          <w:p w:rsidR="00000000" w:rsidDel="00000000" w:rsidP="00000000" w:rsidRDefault="00000000" w:rsidRPr="00000000" w14:paraId="00000062">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2q11.2</w:t>
            </w:r>
          </w:p>
        </w:tc>
        <w:tc>
          <w:tcPr/>
          <w:p w:rsidR="00000000" w:rsidDel="00000000" w:rsidP="00000000" w:rsidRDefault="00000000" w:rsidRPr="00000000" w14:paraId="00000063">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ENST00000377075.2</w:t>
            </w:r>
          </w:p>
        </w:tc>
      </w:tr>
      <w:tr>
        <w:trPr>
          <w:cantSplit w:val="0"/>
          <w:trHeight w:val="461" w:hRule="atLeast"/>
          <w:tblHeader w:val="0"/>
        </w:trPr>
        <w:tc>
          <w:tcPr/>
          <w:p w:rsidR="00000000" w:rsidDel="00000000" w:rsidP="00000000" w:rsidRDefault="00000000" w:rsidRPr="00000000" w14:paraId="00000064">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with sequence similarity 83, member H</w:t>
            </w:r>
          </w:p>
        </w:tc>
        <w:tc>
          <w:tcPr/>
          <w:p w:rsidR="00000000" w:rsidDel="00000000" w:rsidP="00000000" w:rsidRDefault="00000000" w:rsidRPr="00000000" w14:paraId="0000006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FAM83H</w:t>
            </w:r>
          </w:p>
        </w:tc>
        <w:tc>
          <w:tcPr/>
          <w:p w:rsidR="00000000" w:rsidDel="00000000" w:rsidP="00000000" w:rsidRDefault="00000000" w:rsidRPr="00000000" w14:paraId="00000066">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8q24.3</w:t>
            </w:r>
          </w:p>
        </w:tc>
        <w:tc>
          <w:tcPr/>
          <w:p w:rsidR="00000000" w:rsidDel="00000000" w:rsidP="00000000" w:rsidRDefault="00000000" w:rsidRPr="00000000" w14:paraId="00000067">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ENST00000388913.3</w:t>
            </w:r>
          </w:p>
        </w:tc>
      </w:tr>
      <w:tr>
        <w:trPr>
          <w:cantSplit w:val="0"/>
          <w:trHeight w:val="283" w:hRule="atLeast"/>
          <w:tblHeader w:val="0"/>
        </w:trPr>
        <w:tc>
          <w:tcPr/>
          <w:p w:rsidR="00000000" w:rsidDel="00000000" w:rsidP="00000000" w:rsidRDefault="00000000" w:rsidRPr="00000000" w14:paraId="0000006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Laminin subunit alpha 3</w:t>
            </w:r>
          </w:p>
        </w:tc>
        <w:tc>
          <w:tcPr/>
          <w:p w:rsidR="00000000" w:rsidDel="00000000" w:rsidP="00000000" w:rsidRDefault="00000000" w:rsidRPr="00000000" w14:paraId="0000006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LAMA3</w:t>
            </w:r>
          </w:p>
        </w:tc>
        <w:tc>
          <w:tcPr/>
          <w:p w:rsidR="00000000" w:rsidDel="00000000" w:rsidP="00000000" w:rsidRDefault="00000000" w:rsidRPr="00000000" w14:paraId="0000006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18q11</w:t>
            </w:r>
          </w:p>
        </w:tc>
        <w:tc>
          <w:tcPr/>
          <w:p w:rsidR="00000000" w:rsidDel="00000000" w:rsidP="00000000" w:rsidRDefault="00000000" w:rsidRPr="00000000" w14:paraId="0000006B">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ENST00000313654.13</w:t>
            </w:r>
          </w:p>
        </w:tc>
      </w:tr>
      <w:tr>
        <w:trPr>
          <w:cantSplit w:val="0"/>
          <w:trHeight w:val="273" w:hRule="atLeast"/>
          <w:tblHeader w:val="0"/>
        </w:trPr>
        <w:tc>
          <w:tcPr/>
          <w:p w:rsidR="00000000" w:rsidDel="00000000" w:rsidP="00000000" w:rsidRDefault="00000000" w:rsidRPr="00000000" w14:paraId="0000006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Acid phosphatase 4</w:t>
            </w:r>
          </w:p>
        </w:tc>
        <w:tc>
          <w:tcPr/>
          <w:p w:rsidR="00000000" w:rsidDel="00000000" w:rsidP="00000000" w:rsidRDefault="00000000" w:rsidRPr="00000000" w14:paraId="0000006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ACP4</w:t>
            </w:r>
          </w:p>
        </w:tc>
        <w:tc>
          <w:tcPr/>
          <w:p w:rsidR="00000000" w:rsidDel="00000000" w:rsidP="00000000" w:rsidRDefault="00000000" w:rsidRPr="00000000" w14:paraId="0000006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19q13.33</w:t>
            </w:r>
          </w:p>
        </w:tc>
        <w:tc>
          <w:tcPr/>
          <w:p w:rsidR="00000000" w:rsidDel="00000000" w:rsidP="00000000" w:rsidRDefault="00000000" w:rsidRPr="00000000" w14:paraId="0000006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ENST00000270593.1</w:t>
            </w:r>
          </w:p>
        </w:tc>
      </w:tr>
      <w:tr>
        <w:trPr>
          <w:cantSplit w:val="0"/>
          <w:trHeight w:val="135" w:hRule="atLeast"/>
          <w:tblHeader w:val="0"/>
        </w:trPr>
        <w:tc>
          <w:tcPr/>
          <w:p w:rsidR="00000000" w:rsidDel="00000000" w:rsidP="00000000" w:rsidRDefault="00000000" w:rsidRPr="00000000" w14:paraId="00000070">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G-protein-coupled receptor 68</w:t>
            </w:r>
          </w:p>
        </w:tc>
        <w:tc>
          <w:tcPr/>
          <w:p w:rsidR="00000000" w:rsidDel="00000000" w:rsidP="00000000" w:rsidRDefault="00000000" w:rsidRPr="00000000" w14:paraId="0000007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GPR68</w:t>
            </w:r>
          </w:p>
        </w:tc>
        <w:tc>
          <w:tcPr/>
          <w:p w:rsidR="00000000" w:rsidDel="00000000" w:rsidP="00000000" w:rsidRDefault="00000000" w:rsidRPr="00000000" w14:paraId="00000072">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14q32</w:t>
            </w:r>
          </w:p>
        </w:tc>
        <w:tc>
          <w:tcPr/>
          <w:p w:rsidR="00000000" w:rsidDel="00000000" w:rsidP="00000000" w:rsidRDefault="00000000" w:rsidRPr="00000000" w14:paraId="00000073">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ENST00000531499.2</w:t>
            </w:r>
          </w:p>
        </w:tc>
      </w:tr>
      <w:tr>
        <w:trPr>
          <w:cantSplit w:val="0"/>
          <w:trHeight w:val="135" w:hRule="atLeast"/>
          <w:tblHeader w:val="0"/>
        </w:trPr>
        <w:tc>
          <w:tcPr>
            <w:tcMar>
              <w:top w:w="100.0" w:type="dxa"/>
              <w:left w:w="100.0" w:type="dxa"/>
              <w:bottom w:w="100.0" w:type="dxa"/>
              <w:right w:w="100.0" w:type="dxa"/>
            </w:tcMar>
          </w:tcPr>
          <w:p w:rsidR="00000000" w:rsidDel="00000000" w:rsidP="00000000" w:rsidRDefault="00000000" w:rsidRPr="00000000" w14:paraId="00000074">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Receptor Expressed in Lymphoid Tissues</w:t>
            </w:r>
          </w:p>
        </w:tc>
        <w:tc>
          <w:tcPr/>
          <w:p w:rsidR="00000000" w:rsidDel="00000000" w:rsidP="00000000" w:rsidRDefault="00000000" w:rsidRPr="00000000" w14:paraId="0000007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RELT</w:t>
            </w:r>
          </w:p>
        </w:tc>
        <w:tc>
          <w:tcPr>
            <w:tcMar>
              <w:top w:w="100.0" w:type="dxa"/>
              <w:left w:w="100.0" w:type="dxa"/>
              <w:bottom w:w="100.0" w:type="dxa"/>
              <w:right w:w="100.0" w:type="dxa"/>
            </w:tcMar>
          </w:tcPr>
          <w:p w:rsidR="00000000" w:rsidDel="00000000" w:rsidP="00000000" w:rsidRDefault="00000000" w:rsidRPr="00000000" w14:paraId="00000076">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11q13.4</w:t>
            </w:r>
          </w:p>
        </w:tc>
        <w:tc>
          <w:tcPr>
            <w:tcMar>
              <w:top w:w="100.0" w:type="dxa"/>
              <w:left w:w="100.0" w:type="dxa"/>
              <w:bottom w:w="100.0" w:type="dxa"/>
              <w:right w:w="100.0" w:type="dxa"/>
            </w:tcMar>
          </w:tcPr>
          <w:p w:rsidR="00000000" w:rsidDel="00000000" w:rsidP="00000000" w:rsidRDefault="00000000" w:rsidRPr="00000000" w14:paraId="00000077">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ENST00000064780.7</w:t>
            </w:r>
          </w:p>
        </w:tc>
      </w:tr>
      <w:tr>
        <w:trPr>
          <w:cantSplit w:val="0"/>
          <w:trHeight w:val="135" w:hRule="atLeast"/>
          <w:tblHeader w:val="0"/>
        </w:trPr>
        <w:tc>
          <w:tcPr>
            <w:tcMar>
              <w:top w:w="100.0" w:type="dxa"/>
              <w:left w:w="100.0" w:type="dxa"/>
              <w:bottom w:w="100.0" w:type="dxa"/>
              <w:right w:w="100.0" w:type="dxa"/>
            </w:tcMar>
          </w:tcPr>
          <w:p w:rsidR="00000000" w:rsidDel="00000000" w:rsidP="00000000" w:rsidRDefault="00000000" w:rsidRPr="00000000" w14:paraId="00000078">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FAM20a golgi associated secretory pathway pseudokinase</w:t>
            </w:r>
          </w:p>
        </w:tc>
        <w:tc>
          <w:tcPr/>
          <w:p w:rsidR="00000000" w:rsidDel="00000000" w:rsidP="00000000" w:rsidRDefault="00000000" w:rsidRPr="00000000" w14:paraId="0000007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FAM20A</w:t>
            </w:r>
          </w:p>
        </w:tc>
        <w:tc>
          <w:tcPr>
            <w:tcMar>
              <w:top w:w="100.0" w:type="dxa"/>
              <w:left w:w="100.0" w:type="dxa"/>
              <w:bottom w:w="100.0" w:type="dxa"/>
              <w:right w:w="100.0" w:type="dxa"/>
            </w:tcMar>
          </w:tcPr>
          <w:p w:rsidR="00000000" w:rsidDel="00000000" w:rsidP="00000000" w:rsidRDefault="00000000" w:rsidRPr="00000000" w14:paraId="0000007A">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17q24.2</w:t>
            </w:r>
          </w:p>
        </w:tc>
        <w:tc>
          <w:tcPr>
            <w:tcMar>
              <w:top w:w="100.0" w:type="dxa"/>
              <w:left w:w="100.0" w:type="dxa"/>
              <w:bottom w:w="100.0" w:type="dxa"/>
              <w:right w:w="100.0" w:type="dxa"/>
            </w:tcMar>
          </w:tcPr>
          <w:p w:rsidR="00000000" w:rsidDel="00000000" w:rsidP="00000000" w:rsidRDefault="00000000" w:rsidRPr="00000000" w14:paraId="0000007B">
            <w:pPr>
              <w:spacing w:after="120" w:lineRule="auto"/>
              <w:jc w:val="center"/>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sz w:val="24"/>
                  <w:szCs w:val="24"/>
                  <w:rtl w:val="0"/>
                </w:rPr>
                <w:t xml:space="preserve">ENST00000592554.2  ENST00000619787.4</w:t>
              </w:r>
            </w:hyperlink>
            <w:r w:rsidDel="00000000" w:rsidR="00000000" w:rsidRPr="00000000">
              <w:rPr>
                <w:rtl w:val="0"/>
              </w:rPr>
            </w:r>
          </w:p>
        </w:tc>
      </w:tr>
      <w:tr>
        <w:trPr>
          <w:cantSplit w:val="0"/>
          <w:trHeight w:val="135" w:hRule="atLeast"/>
          <w:tblHeader w:val="0"/>
        </w:trPr>
        <w:tc>
          <w:tcPr>
            <w:tcMar>
              <w:top w:w="100.0" w:type="dxa"/>
              <w:left w:w="100.0" w:type="dxa"/>
              <w:bottom w:w="100.0" w:type="dxa"/>
              <w:right w:w="100.0" w:type="dxa"/>
            </w:tcMar>
          </w:tcPr>
          <w:p w:rsidR="00000000" w:rsidDel="00000000" w:rsidP="00000000" w:rsidRDefault="00000000" w:rsidRPr="00000000" w14:paraId="0000007C">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Latent Transforming Growth Factor beta Binding Protein 3</w:t>
            </w:r>
          </w:p>
        </w:tc>
        <w:tc>
          <w:tcPr/>
          <w:p w:rsidR="00000000" w:rsidDel="00000000" w:rsidP="00000000" w:rsidRDefault="00000000" w:rsidRPr="00000000" w14:paraId="0000007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LTBP3</w:t>
            </w:r>
          </w:p>
        </w:tc>
        <w:tc>
          <w:tcPr>
            <w:tcMar>
              <w:top w:w="100.0" w:type="dxa"/>
              <w:left w:w="100.0" w:type="dxa"/>
              <w:bottom w:w="100.0" w:type="dxa"/>
              <w:right w:w="100.0" w:type="dxa"/>
            </w:tcMar>
          </w:tcPr>
          <w:p w:rsidR="00000000" w:rsidDel="00000000" w:rsidP="00000000" w:rsidRDefault="00000000" w:rsidRPr="00000000" w14:paraId="0000007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11q13.1</w:t>
            </w:r>
          </w:p>
        </w:tc>
        <w:tc>
          <w:tcPr>
            <w:tcMar>
              <w:top w:w="100.0" w:type="dxa"/>
              <w:left w:w="100.0" w:type="dxa"/>
              <w:bottom w:w="100.0" w:type="dxa"/>
              <w:right w:w="100.0" w:type="dxa"/>
            </w:tcMar>
          </w:tcPr>
          <w:p w:rsidR="00000000" w:rsidDel="00000000" w:rsidP="00000000" w:rsidRDefault="00000000" w:rsidRPr="00000000" w14:paraId="0000007F">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ENST00000301873.1</w:t>
            </w:r>
          </w:p>
        </w:tc>
      </w:tr>
    </w:tbl>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HGNC=HUGO gene nomenclature Committee</w:t>
      </w:r>
    </w:p>
    <w:p w:rsidR="00000000" w:rsidDel="00000000" w:rsidP="00000000" w:rsidRDefault="00000000" w:rsidRPr="00000000" w14:paraId="0000008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S3 B</w:t>
      </w:r>
      <w:r w:rsidDel="00000000" w:rsidR="00000000" w:rsidRPr="00000000">
        <w:rPr>
          <w:rFonts w:ascii="Times New Roman" w:cs="Times New Roman" w:eastAsia="Times New Roman" w:hAnsi="Times New Roman"/>
          <w:sz w:val="24"/>
          <w:szCs w:val="24"/>
          <w:rtl w:val="0"/>
        </w:rPr>
        <w:t xml:space="preserve">: Sequences of the primers used for </w:t>
      </w:r>
      <w:r w:rsidDel="00000000" w:rsidR="00000000" w:rsidRPr="00000000">
        <w:rPr>
          <w:rFonts w:ascii="Times New Roman" w:cs="Times New Roman" w:eastAsia="Times New Roman" w:hAnsi="Times New Roman"/>
          <w:i w:val="1"/>
          <w:sz w:val="24"/>
          <w:szCs w:val="24"/>
          <w:rtl w:val="0"/>
        </w:rPr>
        <w:t xml:space="preserve">RELT</w:t>
      </w:r>
      <w:r w:rsidDel="00000000" w:rsidR="00000000" w:rsidRPr="00000000">
        <w:rPr>
          <w:rFonts w:ascii="Times New Roman" w:cs="Times New Roman" w:eastAsia="Times New Roman" w:hAnsi="Times New Roman"/>
          <w:sz w:val="24"/>
          <w:szCs w:val="24"/>
          <w:rtl w:val="0"/>
        </w:rPr>
        <w:t xml:space="preserve"> gene amplification of Family 2:</w:t>
      </w:r>
    </w:p>
    <w:tbl>
      <w:tblPr>
        <w:tblStyle w:val="Table3"/>
        <w:tblW w:w="978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3969"/>
        <w:gridCol w:w="3260"/>
        <w:tblGridChange w:id="0">
          <w:tblGrid>
            <w:gridCol w:w="2552"/>
            <w:gridCol w:w="3969"/>
            <w:gridCol w:w="3260"/>
          </w:tblGrid>
        </w:tblGridChange>
      </w:tblGrid>
      <w:tr>
        <w:trPr>
          <w:cantSplit w:val="0"/>
          <w:trHeight w:val="454" w:hRule="atLeast"/>
          <w:tblHeader w:val="0"/>
        </w:trPr>
        <w:tc>
          <w:tcPr>
            <w:vAlign w:val="center"/>
          </w:tcPr>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RELT</w:t>
            </w:r>
            <w:r w:rsidDel="00000000" w:rsidR="00000000" w:rsidRPr="00000000">
              <w:rPr>
                <w:rtl w:val="0"/>
              </w:rPr>
            </w:r>
          </w:p>
        </w:tc>
        <w:tc>
          <w:tcPr>
            <w:vAlign w:val="center"/>
          </w:tcPr>
          <w:p w:rsidR="00000000" w:rsidDel="00000000" w:rsidP="00000000" w:rsidRDefault="00000000" w:rsidRPr="00000000" w14:paraId="000000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Primers </w:t>
            </w:r>
            <w:r w:rsidDel="00000000" w:rsidR="00000000" w:rsidRPr="00000000">
              <w:rPr>
                <w:rFonts w:ascii="Times New Roman" w:cs="Times New Roman" w:eastAsia="Times New Roman" w:hAnsi="Times New Roman"/>
                <w:b w:val="1"/>
                <w:sz w:val="24"/>
                <w:szCs w:val="24"/>
                <w:highlight w:val="white"/>
                <w:rtl w:val="0"/>
              </w:rPr>
              <w:t xml:space="preserve">(5’-&gt;3’)</w:t>
            </w:r>
            <w:r w:rsidDel="00000000" w:rsidR="00000000" w:rsidRPr="00000000">
              <w:rPr>
                <w:rtl w:val="0"/>
              </w:rPr>
            </w:r>
          </w:p>
        </w:tc>
        <w:tc>
          <w:tcPr>
            <w:vAlign w:val="center"/>
          </w:tcPr>
          <w:p w:rsidR="00000000" w:rsidDel="00000000" w:rsidP="00000000" w:rsidRDefault="00000000" w:rsidRPr="00000000" w14:paraId="0000008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Amplicon size (bp)</w:t>
            </w:r>
          </w:p>
        </w:tc>
      </w:tr>
      <w:tr>
        <w:trPr>
          <w:cantSplit w:val="0"/>
          <w:trHeight w:val="454" w:hRule="atLeast"/>
          <w:tblHeader w:val="0"/>
        </w:trPr>
        <w:tc>
          <w:tcPr>
            <w:vAlign w:val="center"/>
          </w:tcPr>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Exon 3-4F</w:t>
            </w:r>
          </w:p>
        </w:tc>
        <w:tc>
          <w:tcPr>
            <w:vAlign w:val="center"/>
          </w:tcPr>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CTACCACTGGGGTTTCAGGA </w:t>
            </w:r>
          </w:p>
        </w:tc>
        <w:tc>
          <w:tcPr>
            <w:vMerge w:val="restart"/>
            <w:vAlign w:val="center"/>
          </w:tcPr>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560</w:t>
            </w:r>
          </w:p>
        </w:tc>
      </w:tr>
      <w:tr>
        <w:trPr>
          <w:cantSplit w:val="0"/>
          <w:trHeight w:val="454" w:hRule="atLeast"/>
          <w:tblHeader w:val="0"/>
        </w:trPr>
        <w:tc>
          <w:tcPr>
            <w:vAlign w:val="center"/>
          </w:tcPr>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Exon 3-4R</w:t>
            </w:r>
          </w:p>
        </w:tc>
        <w:tc>
          <w:tcPr>
            <w:vAlign w:val="center"/>
          </w:tcPr>
          <w:p w:rsidR="00000000" w:rsidDel="00000000" w:rsidP="00000000" w:rsidRDefault="00000000" w:rsidRPr="00000000" w14:paraId="000000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GGCCTGCTCAGGGTACAATA </w:t>
            </w:r>
          </w:p>
        </w:tc>
        <w:tc>
          <w:tcPr>
            <w:vMerge w:val="continue"/>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Exon 10-11F</w:t>
            </w:r>
          </w:p>
        </w:tc>
        <w:tc>
          <w:tcPr>
            <w:vAlign w:val="center"/>
          </w:tcPr>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TCTGGTCCATGAACTTGCTG </w:t>
            </w:r>
          </w:p>
        </w:tc>
        <w:tc>
          <w:tcPr>
            <w:vMerge w:val="restart"/>
            <w:vAlign w:val="cente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640</w:t>
            </w:r>
          </w:p>
        </w:tc>
      </w:tr>
      <w:tr>
        <w:trPr>
          <w:cantSplit w:val="0"/>
          <w:trHeight w:val="454" w:hRule="atLeast"/>
          <w:tblHeader w:val="0"/>
        </w:trPr>
        <w:tc>
          <w:tcPr>
            <w:vAlign w:val="center"/>
          </w:tcPr>
          <w:p w:rsidR="00000000" w:rsidDel="00000000" w:rsidP="00000000" w:rsidRDefault="00000000" w:rsidRPr="00000000" w14:paraId="000000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Exon 10-11R</w:t>
            </w:r>
          </w:p>
        </w:tc>
        <w:tc>
          <w:tcPr>
            <w:vAlign w:val="center"/>
          </w:tcPr>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GCCTTGGTCTTTGCTGTCTC </w:t>
            </w:r>
          </w:p>
        </w:tc>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S4.</w:t>
      </w:r>
      <w:r w:rsidDel="00000000" w:rsidR="00000000" w:rsidRPr="00000000">
        <w:rPr>
          <w:rFonts w:ascii="Times New Roman" w:cs="Times New Roman" w:eastAsia="Times New Roman" w:hAnsi="Times New Roman"/>
          <w:sz w:val="24"/>
          <w:szCs w:val="24"/>
          <w:rtl w:val="0"/>
        </w:rPr>
        <w:t xml:space="preserve"> Description of the </w:t>
      </w:r>
      <w:r w:rsidDel="00000000" w:rsidR="00000000" w:rsidRPr="00000000">
        <w:rPr>
          <w:rFonts w:ascii="Times New Roman" w:cs="Times New Roman" w:eastAsia="Times New Roman" w:hAnsi="Times New Roman"/>
          <w:i w:val="1"/>
          <w:sz w:val="24"/>
          <w:szCs w:val="24"/>
          <w:rtl w:val="0"/>
        </w:rPr>
        <w:t xml:space="preserve">RELT</w:t>
      </w:r>
      <w:r w:rsidDel="00000000" w:rsidR="00000000" w:rsidRPr="00000000">
        <w:rPr>
          <w:rFonts w:ascii="Times New Roman" w:cs="Times New Roman" w:eastAsia="Times New Roman" w:hAnsi="Times New Roman"/>
          <w:sz w:val="24"/>
          <w:szCs w:val="24"/>
          <w:rtl w:val="0"/>
        </w:rPr>
        <w:t xml:space="preserve"> disease-causing variants according to coverage depth, zygosity, and protein computational prediction.</w:t>
      </w:r>
      <w:r w:rsidDel="00000000" w:rsidR="00000000" w:rsidRPr="00000000">
        <w:rPr>
          <w:rtl w:val="0"/>
        </w:rPr>
      </w:r>
    </w:p>
    <w:tbl>
      <w:tblPr>
        <w:tblStyle w:val="Table4"/>
        <w:tblW w:w="96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4"/>
        <w:gridCol w:w="1419"/>
        <w:gridCol w:w="1842"/>
        <w:gridCol w:w="3969"/>
        <w:tblGridChange w:id="0">
          <w:tblGrid>
            <w:gridCol w:w="2404"/>
            <w:gridCol w:w="1419"/>
            <w:gridCol w:w="1842"/>
            <w:gridCol w:w="3969"/>
          </w:tblGrid>
        </w:tblGridChange>
      </w:tblGrid>
      <w:tr>
        <w:trPr>
          <w:cantSplit w:val="0"/>
          <w:trHeight w:val="458" w:hRule="atLeast"/>
          <w:tblHeader w:val="0"/>
        </w:trPr>
        <w:tc>
          <w:tcPr>
            <w:vMerge w:val="restart"/>
          </w:tcPr>
          <w:p w:rsidR="00000000" w:rsidDel="00000000" w:rsidP="00000000" w:rsidRDefault="00000000" w:rsidRPr="00000000" w14:paraId="000000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Variant</w:t>
            </w:r>
          </w:p>
          <w:p w:rsidR="00000000" w:rsidDel="00000000" w:rsidP="00000000" w:rsidRDefault="00000000" w:rsidRPr="00000000" w14:paraId="0000009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c.DNA</w:t>
            </w:r>
          </w:p>
        </w:tc>
        <w:tc>
          <w:tcPr>
            <w:vMerge w:val="restart"/>
          </w:tcPr>
          <w:p w:rsidR="00000000" w:rsidDel="00000000" w:rsidP="00000000" w:rsidRDefault="00000000" w:rsidRPr="00000000" w14:paraId="0000009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Coverage Depth</w:t>
            </w:r>
          </w:p>
        </w:tc>
        <w:tc>
          <w:tcPr>
            <w:vMerge w:val="restart"/>
          </w:tcPr>
          <w:p w:rsidR="00000000" w:rsidDel="00000000" w:rsidP="00000000" w:rsidRDefault="00000000" w:rsidRPr="00000000" w14:paraId="0000009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Zygosity</w:t>
            </w:r>
          </w:p>
        </w:tc>
        <w:tc>
          <w:tcPr>
            <w:vMerge w:val="restart"/>
          </w:tcPr>
          <w:p w:rsidR="00000000" w:rsidDel="00000000" w:rsidP="00000000" w:rsidRDefault="00000000" w:rsidRPr="00000000" w14:paraId="0000009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Population Frequency</w:t>
            </w:r>
          </w:p>
          <w:p w:rsidR="00000000" w:rsidDel="00000000" w:rsidP="00000000" w:rsidRDefault="00000000" w:rsidRPr="00000000" w14:paraId="000000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gnomAD</w:t>
            </w:r>
          </w:p>
        </w:tc>
      </w:tr>
      <w:tr>
        <w:trPr>
          <w:cantSplit w:val="0"/>
          <w:trHeight w:val="469" w:hRule="atLeast"/>
          <w:tblHeader w:val="0"/>
        </w:trPr>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c.120+1G&gt;A</w:t>
            </w:r>
          </w:p>
        </w:tc>
        <w:tc>
          <w:tcPr/>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130X</w:t>
            </w:r>
          </w:p>
        </w:tc>
        <w:tc>
          <w:tcPr/>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w:t>
            </w:r>
          </w:p>
        </w:tc>
        <w:tc>
          <w:tcPr/>
          <w:p w:rsidR="00000000" w:rsidDel="00000000" w:rsidP="00000000" w:rsidRDefault="00000000" w:rsidRPr="00000000" w14:paraId="000000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0.016%</w:t>
            </w:r>
          </w:p>
        </w:tc>
      </w:tr>
      <w:tr>
        <w:trPr>
          <w:cantSplit w:val="0"/>
          <w:tblHeader w:val="0"/>
        </w:trPr>
        <w:tc>
          <w:tcPr/>
          <w:p w:rsidR="00000000" w:rsidDel="00000000" w:rsidP="00000000" w:rsidRDefault="00000000" w:rsidRPr="00000000" w14:paraId="000000A0">
            <w:pPr>
              <w:jc w:val="center"/>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sz w:val="24"/>
                <w:szCs w:val="24"/>
                <w:rtl w:val="0"/>
              </w:rPr>
              <w:t xml:space="preserve">c.120+1G&gt;T</w:t>
            </w:r>
            <w:r w:rsidDel="00000000" w:rsidR="00000000" w:rsidRPr="00000000">
              <w:rPr>
                <w:rtl w:val="0"/>
              </w:rPr>
            </w:r>
          </w:p>
        </w:tc>
        <w:tc>
          <w:tcPr/>
          <w:p w:rsidR="00000000" w:rsidDel="00000000" w:rsidP="00000000" w:rsidRDefault="00000000" w:rsidRPr="00000000" w14:paraId="000000A1">
            <w:pPr>
              <w:jc w:val="center"/>
              <w:rPr>
                <w:rFonts w:ascii="Times New Roman" w:cs="Times New Roman" w:eastAsia="Times New Roman" w:hAnsi="Times New Roman"/>
                <w:sz w:val="24"/>
                <w:szCs w:val="24"/>
                <w:highlight w:val="yellow"/>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154X</w:t>
            </w:r>
            <w:r w:rsidDel="00000000" w:rsidR="00000000" w:rsidRPr="00000000">
              <w:rPr>
                <w:rtl w:val="0"/>
              </w:rPr>
            </w:r>
          </w:p>
        </w:tc>
        <w:tc>
          <w:tcPr/>
          <w:p w:rsidR="00000000" w:rsidDel="00000000" w:rsidP="00000000" w:rsidRDefault="00000000" w:rsidRPr="00000000" w14:paraId="000000A2">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HOM</w:t>
            </w:r>
            <w:r w:rsidDel="00000000" w:rsidR="00000000" w:rsidRPr="00000000">
              <w:rPr>
                <w:rtl w:val="0"/>
              </w:rPr>
            </w:r>
          </w:p>
        </w:tc>
        <w:tc>
          <w:tcPr>
            <w:shd w:fill="auto" w:val="clear"/>
          </w:tcPr>
          <w:p w:rsidR="00000000" w:rsidDel="00000000" w:rsidP="00000000" w:rsidRDefault="00000000" w:rsidRPr="00000000" w14:paraId="000000A3">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0.020%</w:t>
            </w:r>
            <w:r w:rsidDel="00000000" w:rsidR="00000000" w:rsidRPr="00000000">
              <w:rPr>
                <w:rtl w:val="0"/>
              </w:rPr>
            </w:r>
          </w:p>
        </w:tc>
      </w:tr>
      <w:tr>
        <w:trPr>
          <w:cantSplit w:val="0"/>
          <w:tblHeader w:val="0"/>
        </w:trPr>
        <w:tc>
          <w:tcPr/>
          <w:p w:rsidR="00000000" w:rsidDel="00000000" w:rsidP="00000000" w:rsidRDefault="00000000" w:rsidRPr="00000000" w14:paraId="000000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c.193T&gt;C</w:t>
            </w:r>
          </w:p>
        </w:tc>
        <w:tc>
          <w:tcPr/>
          <w:p w:rsidR="00000000" w:rsidDel="00000000" w:rsidP="00000000" w:rsidRDefault="00000000" w:rsidRPr="00000000" w14:paraId="000000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932X</w:t>
            </w:r>
          </w:p>
        </w:tc>
        <w:tc>
          <w:tcPr/>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w:t>
            </w:r>
          </w:p>
        </w:tc>
        <w:tc>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p w:rsidR="00000000" w:rsidDel="00000000" w:rsidP="00000000" w:rsidRDefault="00000000" w:rsidRPr="00000000" w14:paraId="000000A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c.1260_1263dup</w:t>
            </w:r>
            <w:r w:rsidDel="00000000" w:rsidR="00000000" w:rsidRPr="00000000">
              <w:rPr>
                <w:rtl w:val="0"/>
              </w:rPr>
            </w:r>
          </w:p>
        </w:tc>
        <w:tc>
          <w:tcPr/>
          <w:p w:rsidR="00000000" w:rsidDel="00000000" w:rsidP="00000000" w:rsidRDefault="00000000" w:rsidRPr="00000000" w14:paraId="000000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548X</w:t>
            </w:r>
          </w:p>
        </w:tc>
        <w:tc>
          <w:tcPr/>
          <w:p w:rsidR="00000000" w:rsidDel="00000000" w:rsidP="00000000" w:rsidRDefault="00000000" w:rsidRPr="00000000" w14:paraId="000000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w:t>
            </w:r>
          </w:p>
        </w:tc>
        <w:tc>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0.006%</w:t>
            </w:r>
          </w:p>
        </w:tc>
      </w:tr>
    </w:tbl>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 Homozygous; HET:Heterozygous</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Appendix S5.</w:t>
      </w:r>
      <w:r w:rsidDel="00000000" w:rsidR="00000000" w:rsidRPr="00000000">
        <w:rPr>
          <w:rtl w:val="0"/>
        </w:rPr>
      </w:r>
    </w:p>
    <w:p w:rsidR="00000000" w:rsidDel="00000000" w:rsidP="00000000" w:rsidRDefault="00000000" w:rsidRPr="00000000" w14:paraId="000000AF">
      <w:pPr>
        <w:numPr>
          <w:ilvl w:val="0"/>
          <w:numId w:val="1"/>
        </w:numPr>
        <w:spacing w:after="0" w:line="24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Family 1</w:t>
      </w:r>
    </w:p>
    <w:p w:rsidR="00000000" w:rsidDel="00000000" w:rsidP="00000000" w:rsidRDefault="00000000" w:rsidRPr="00000000" w14:paraId="000000B0">
      <w:pPr>
        <w:rPr>
          <w:b w:val="1"/>
        </w:rPr>
      </w:pPr>
      <w:r w:rsidDel="00000000" w:rsidR="00000000" w:rsidRPr="00000000">
        <w:rPr>
          <w:rtl w:val="0"/>
        </w:rPr>
      </w:r>
    </w:p>
    <w:p w:rsidR="00000000" w:rsidDel="00000000" w:rsidP="00000000" w:rsidRDefault="00000000" w:rsidRPr="00000000" w14:paraId="000000B1">
      <w:pPr>
        <w:rPr>
          <w:b w:val="1"/>
        </w:rPr>
      </w:pPr>
      <w:r w:rsidDel="00000000" w:rsidR="00000000" w:rsidRPr="00000000">
        <w:rPr>
          <w:b w:val="1"/>
        </w:rPr>
        <w:drawing>
          <wp:inline distB="114300" distT="114300" distL="114300" distR="114300">
            <wp:extent cx="5399730" cy="1320800"/>
            <wp:effectExtent b="0" l="0" r="0" t="0"/>
            <wp:docPr id="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39973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rPr>
          <w:b w:val="1"/>
        </w:rPr>
      </w:pPr>
      <w:r w:rsidDel="00000000" w:rsidR="00000000" w:rsidRPr="00000000">
        <w:rPr>
          <w:rtl w:val="0"/>
        </w:rPr>
      </w:r>
    </w:p>
    <w:p w:rsidR="00000000" w:rsidDel="00000000" w:rsidP="00000000" w:rsidRDefault="00000000" w:rsidRPr="00000000" w14:paraId="000000B4">
      <w:pPr>
        <w:numPr>
          <w:ilvl w:val="0"/>
          <w:numId w:val="1"/>
        </w:numPr>
        <w:spacing w:after="0" w:lin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Family 3:</w:t>
      </w:r>
    </w:p>
    <w:p w:rsidR="00000000" w:rsidDel="00000000" w:rsidP="00000000" w:rsidRDefault="00000000" w:rsidRPr="00000000" w14:paraId="000000B5">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6">
      <w:pPr>
        <w:spacing w:after="0" w:line="276"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B7">
      <w:pPr>
        <w:spacing w:line="256"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       </w:t>
      </w:r>
      <w:r w:rsidDel="00000000" w:rsidR="00000000" w:rsidRPr="00000000">
        <w:rPr>
          <w:rFonts w:ascii="Times New Roman" w:cs="Times New Roman" w:eastAsia="Times New Roman" w:hAnsi="Times New Roman"/>
          <w:b w:val="1"/>
          <w:i w:val="1"/>
          <w:sz w:val="16"/>
          <w:szCs w:val="16"/>
          <w:rtl w:val="0"/>
        </w:rPr>
        <w:t xml:space="preserve"> RELT</w:t>
      </w:r>
      <w:r w:rsidDel="00000000" w:rsidR="00000000" w:rsidRPr="00000000">
        <w:rPr>
          <w:rFonts w:ascii="Times New Roman" w:cs="Times New Roman" w:eastAsia="Times New Roman" w:hAnsi="Times New Roman"/>
          <w:b w:val="1"/>
          <w:sz w:val="16"/>
          <w:szCs w:val="16"/>
          <w:rtl w:val="0"/>
        </w:rPr>
        <w:t xml:space="preserve">: c.193T&gt;C heterozygous variant (I:2, II:1, II:2)                        </w:t>
      </w:r>
      <w:r w:rsidDel="00000000" w:rsidR="00000000" w:rsidRPr="00000000">
        <w:rPr>
          <w:rFonts w:ascii="Times New Roman" w:cs="Times New Roman" w:eastAsia="Times New Roman" w:hAnsi="Times New Roman"/>
          <w:b w:val="1"/>
          <w:i w:val="1"/>
          <w:sz w:val="16"/>
          <w:szCs w:val="16"/>
          <w:rtl w:val="0"/>
        </w:rPr>
        <w:t xml:space="preserve">RELT</w:t>
      </w:r>
      <w:r w:rsidDel="00000000" w:rsidR="00000000" w:rsidRPr="00000000">
        <w:rPr>
          <w:rFonts w:ascii="Times New Roman" w:cs="Times New Roman" w:eastAsia="Times New Roman" w:hAnsi="Times New Roman"/>
          <w:b w:val="1"/>
          <w:sz w:val="16"/>
          <w:szCs w:val="16"/>
          <w:rtl w:val="0"/>
        </w:rPr>
        <w:t xml:space="preserve">:c.1260_1263dup heterozygous variant (I:1, II:2)</w:t>
      </w:r>
    </w:p>
    <w:p w:rsidR="00000000" w:rsidDel="00000000" w:rsidP="00000000" w:rsidRDefault="00000000" w:rsidRPr="00000000" w14:paraId="000000B8">
      <w:pPr>
        <w:spacing w:line="256" w:lineRule="auto"/>
        <w:rPr>
          <w:b w:val="1"/>
          <w:sz w:val="20"/>
          <w:szCs w:val="20"/>
        </w:rPr>
      </w:pPr>
      <w:r w:rsidDel="00000000" w:rsidR="00000000" w:rsidRPr="00000000">
        <w:rPr>
          <w:b w:val="1"/>
          <w:sz w:val="16"/>
          <w:szCs w:val="16"/>
        </w:rPr>
        <w:drawing>
          <wp:inline distB="114300" distT="114300" distL="114300" distR="114300">
            <wp:extent cx="5399730" cy="863600"/>
            <wp:effectExtent b="0" l="0" r="0" t="0"/>
            <wp:docPr id="9"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399730" cy="8636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B9">
      <w:pPr>
        <w:spacing w:line="25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A">
      <w:pPr>
        <w:spacing w:line="25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B">
      <w:pPr>
        <w:spacing w:line="25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C">
      <w:pPr>
        <w:spacing w:line="25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rPr>
          <w:sz w:val="20"/>
          <w:szCs w:val="20"/>
        </w:rPr>
      </w:pPr>
      <w:r w:rsidDel="00000000" w:rsidR="00000000" w:rsidRPr="00000000">
        <w:rPr>
          <w:rFonts w:ascii="Times New Roman" w:cs="Times New Roman" w:eastAsia="Times New Roman" w:hAnsi="Times New Roman"/>
          <w:b w:val="1"/>
          <w:sz w:val="24"/>
          <w:szCs w:val="24"/>
          <w:rtl w:val="0"/>
        </w:rPr>
        <w:t xml:space="preserve">Appendix S6.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BE">
      <w:pPr>
        <w:rPr>
          <w:sz w:val="20"/>
          <w:szCs w:val="20"/>
        </w:rPr>
      </w:pPr>
      <w:r w:rsidDel="00000000" w:rsidR="00000000" w:rsidRPr="00000000">
        <w:rPr>
          <w:sz w:val="20"/>
          <w:szCs w:val="20"/>
        </w:rPr>
        <w:drawing>
          <wp:inline distB="0" distT="0" distL="0" distR="0">
            <wp:extent cx="5908773" cy="1689114"/>
            <wp:effectExtent b="0" l="0" r="0" t="0"/>
            <wp:docPr id="8"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908773" cy="1689114"/>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spacing w:after="0"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Schematic representation of </w:t>
      </w:r>
      <w:r w:rsidDel="00000000" w:rsidR="00000000" w:rsidRPr="00000000">
        <w:rPr>
          <w:rFonts w:ascii="Times New Roman" w:cs="Times New Roman" w:eastAsia="Times New Roman" w:hAnsi="Times New Roman"/>
          <w:i w:val="1"/>
          <w:color w:val="000000"/>
          <w:sz w:val="24"/>
          <w:szCs w:val="24"/>
          <w:rtl w:val="0"/>
        </w:rPr>
        <w:t xml:space="preserve">RELT</w:t>
      </w:r>
      <w:r w:rsidDel="00000000" w:rsidR="00000000" w:rsidRPr="00000000">
        <w:rPr>
          <w:rFonts w:ascii="Times New Roman" w:cs="Times New Roman" w:eastAsia="Times New Roman" w:hAnsi="Times New Roman"/>
          <w:color w:val="000000"/>
          <w:sz w:val="24"/>
          <w:szCs w:val="24"/>
          <w:rtl w:val="0"/>
        </w:rPr>
        <w:t xml:space="preserve"> gene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Fonts w:ascii="Times New Roman" w:cs="Times New Roman" w:eastAsia="Times New Roman" w:hAnsi="Times New Roman"/>
          <w:color w:val="000000"/>
          <w:sz w:val="24"/>
          <w:szCs w:val="24"/>
          <w:rtl w:val="0"/>
        </w:rPr>
        <w:t xml:space="preserve">(NM_152222.2) and encoded protein </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Fonts w:ascii="Times New Roman" w:cs="Times New Roman" w:eastAsia="Times New Roman" w:hAnsi="Times New Roman"/>
          <w:color w:val="000000"/>
          <w:sz w:val="24"/>
          <w:szCs w:val="24"/>
          <w:rtl w:val="0"/>
        </w:rPr>
        <w:t xml:space="preserve">(NP_689408.1) illustrating the position of the 5 previously reported disease-causing </w:t>
      </w:r>
      <w:r w:rsidDel="00000000" w:rsidR="00000000" w:rsidRPr="00000000">
        <w:rPr>
          <w:rFonts w:ascii="Times New Roman" w:cs="Times New Roman" w:eastAsia="Times New Roman" w:hAnsi="Times New Roman"/>
          <w:i w:val="1"/>
          <w:color w:val="000000"/>
          <w:sz w:val="24"/>
          <w:szCs w:val="24"/>
          <w:rtl w:val="0"/>
        </w:rPr>
        <w:t xml:space="preserve">RELT</w:t>
      </w:r>
      <w:r w:rsidDel="00000000" w:rsidR="00000000" w:rsidRPr="00000000">
        <w:rPr>
          <w:rFonts w:ascii="Times New Roman" w:cs="Times New Roman" w:eastAsia="Times New Roman" w:hAnsi="Times New Roman"/>
          <w:color w:val="000000"/>
          <w:sz w:val="24"/>
          <w:szCs w:val="24"/>
          <w:rtl w:val="0"/>
        </w:rPr>
        <w:t xml:space="preserve"> variants, and the 4 novel variants reported in this study (in bold). The new compound heterozygous variants of family III (proband II:2) were marked with *. Two possible hotspot localizations appeared to be restricted to two different regions: (1) between intron 3 and exon 4 at the extracellular domain, and (2) between exons 10 and 11 in the cytoplasmic region of the carboxy-terminal end. Ikeda et al (2019) demonstrated that </w:t>
      </w:r>
      <w:r w:rsidDel="00000000" w:rsidR="00000000" w:rsidRPr="00000000">
        <w:rPr>
          <w:rFonts w:ascii="Times New Roman" w:cs="Times New Roman" w:eastAsia="Times New Roman" w:hAnsi="Times New Roman"/>
          <w:color w:val="000000"/>
          <w:sz w:val="24"/>
          <w:szCs w:val="24"/>
          <w:highlight w:val="white"/>
          <w:rtl w:val="0"/>
        </w:rPr>
        <w:t xml:space="preserve">ADAM10 can cleave the RELT at the extracellular domain (represented by the scissors). </w:t>
      </w:r>
      <w:r w:rsidDel="00000000" w:rsidR="00000000" w:rsidRPr="00000000">
        <w:rPr>
          <w:rFonts w:ascii="Times New Roman" w:cs="Times New Roman" w:eastAsia="Times New Roman" w:hAnsi="Times New Roman"/>
          <w:color w:val="000000"/>
          <w:sz w:val="24"/>
          <w:szCs w:val="24"/>
          <w:rtl w:val="0"/>
        </w:rPr>
        <w:t xml:space="preserve">Between positions 349-352, a SPAK binding motif (RFRV) is proposed to play a role in mediating</w:t>
      </w:r>
      <w:r w:rsidDel="00000000" w:rsidR="00000000" w:rsidRPr="00000000">
        <w:rPr>
          <w:rFonts w:ascii="Times New Roman" w:cs="Times New Roman" w:eastAsia="Times New Roman" w:hAnsi="Times New Roman"/>
          <w:color w:val="000000"/>
          <w:sz w:val="24"/>
          <w:szCs w:val="24"/>
          <w:highlight w:val="white"/>
          <w:rtl w:val="0"/>
        </w:rPr>
        <w:t xml:space="preserve"> p38 </w:t>
      </w:r>
      <w:r w:rsidDel="00000000" w:rsidR="00000000" w:rsidRPr="00000000">
        <w:rPr>
          <w:rFonts w:ascii="Times New Roman" w:cs="Times New Roman" w:eastAsia="Times New Roman" w:hAnsi="Times New Roman"/>
          <w:color w:val="212121"/>
          <w:sz w:val="24"/>
          <w:szCs w:val="24"/>
          <w:highlight w:val="white"/>
          <w:rtl w:val="0"/>
        </w:rPr>
        <w:t xml:space="preserve">activation. </w:t>
      </w:r>
      <w:r w:rsidDel="00000000" w:rsidR="00000000" w:rsidRPr="00000000">
        <w:rPr>
          <w:rFonts w:ascii="Times New Roman" w:cs="Times New Roman" w:eastAsia="Times New Roman" w:hAnsi="Times New Roman"/>
          <w:color w:val="000000"/>
          <w:sz w:val="24"/>
          <w:szCs w:val="24"/>
          <w:rtl w:val="0"/>
        </w:rPr>
        <w:t xml:space="preserve">TNFRSF19L= tumor necrosis factor receptor superfamily member 19-like.</w:t>
      </w:r>
    </w:p>
    <w:p w:rsidR="00000000" w:rsidDel="00000000" w:rsidP="00000000" w:rsidRDefault="00000000" w:rsidRPr="00000000" w14:paraId="000000C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sz w:val="20"/>
          <w:szCs w:val="20"/>
        </w:rPr>
      </w:pPr>
      <w:r w:rsidDel="00000000" w:rsidR="00000000" w:rsidRPr="00000000">
        <w:rPr>
          <w:rtl w:val="0"/>
        </w:rPr>
      </w:r>
    </w:p>
    <w:p w:rsidR="00000000" w:rsidDel="00000000" w:rsidP="00000000" w:rsidRDefault="00000000" w:rsidRPr="00000000" w14:paraId="000000C2">
      <w:pPr>
        <w:jc w:val="center"/>
        <w:rPr>
          <w:sz w:val="20"/>
          <w:szCs w:val="20"/>
        </w:rPr>
      </w:pPr>
      <w:r w:rsidDel="00000000" w:rsidR="00000000" w:rsidRPr="00000000">
        <w:rPr>
          <w:rtl w:val="0"/>
        </w:rPr>
      </w:r>
    </w:p>
    <w:p w:rsidR="00000000" w:rsidDel="00000000" w:rsidP="00000000" w:rsidRDefault="00000000" w:rsidRPr="00000000" w14:paraId="000000C3">
      <w:pPr>
        <w:jc w:val="center"/>
        <w:rPr>
          <w:sz w:val="20"/>
          <w:szCs w:val="20"/>
        </w:rPr>
      </w:pPr>
      <w:r w:rsidDel="00000000" w:rsidR="00000000" w:rsidRPr="00000000">
        <w:rPr>
          <w:rtl w:val="0"/>
        </w:rPr>
      </w:r>
    </w:p>
    <w:p w:rsidR="00000000" w:rsidDel="00000000" w:rsidP="00000000" w:rsidRDefault="00000000" w:rsidRPr="00000000" w14:paraId="000000C4">
      <w:pPr>
        <w:jc w:val="cente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jc w:val="cente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spacing w:after="240" w:before="240" w:line="480" w:lineRule="auto"/>
        <w:jc w:val="both"/>
        <w:rPr>
          <w:rFonts w:ascii="Times New Roman" w:cs="Times New Roman" w:eastAsia="Times New Roman" w:hAnsi="Times New Roman"/>
          <w:color w:val="ff0000"/>
          <w:sz w:val="24"/>
          <w:szCs w:val="24"/>
        </w:rPr>
      </w:pPr>
      <w:r w:rsidDel="00000000" w:rsidR="00000000" w:rsidRPr="00000000">
        <w:rPr>
          <w:rtl w:val="0"/>
        </w:rPr>
      </w:r>
    </w:p>
    <w:sectPr>
      <w:headerReference r:id="rId13"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C014D"/>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En-tte">
    <w:name w:val="header"/>
    <w:basedOn w:val="Normal"/>
    <w:link w:val="En-tteCar"/>
    <w:uiPriority w:val="99"/>
    <w:unhideWhenUsed w:val="1"/>
    <w:rsid w:val="008A65DF"/>
    <w:pPr>
      <w:tabs>
        <w:tab w:val="center" w:pos="4252"/>
        <w:tab w:val="right" w:pos="8504"/>
      </w:tabs>
      <w:spacing w:after="0" w:line="240" w:lineRule="auto"/>
    </w:pPr>
  </w:style>
  <w:style w:type="character" w:styleId="En-tteCar" w:customStyle="1">
    <w:name w:val="En-tête Car"/>
    <w:basedOn w:val="Policepardfaut"/>
    <w:link w:val="En-tte"/>
    <w:uiPriority w:val="99"/>
    <w:rsid w:val="008A65DF"/>
  </w:style>
  <w:style w:type="paragraph" w:styleId="Pieddepage">
    <w:name w:val="footer"/>
    <w:basedOn w:val="Normal"/>
    <w:link w:val="PieddepageCar"/>
    <w:uiPriority w:val="99"/>
    <w:unhideWhenUsed w:val="1"/>
    <w:rsid w:val="008A65DF"/>
    <w:pPr>
      <w:tabs>
        <w:tab w:val="center" w:pos="4252"/>
        <w:tab w:val="right" w:pos="8504"/>
      </w:tabs>
      <w:spacing w:after="0" w:line="240" w:lineRule="auto"/>
    </w:pPr>
  </w:style>
  <w:style w:type="character" w:styleId="PieddepageCar" w:customStyle="1">
    <w:name w:val="Pied de page Car"/>
    <w:basedOn w:val="Policepardfaut"/>
    <w:link w:val="Pieddepage"/>
    <w:uiPriority w:val="99"/>
    <w:rsid w:val="008A65DF"/>
  </w:style>
  <w:style w:type="character" w:styleId="Lienhypertexte">
    <w:name w:val="Hyperlink"/>
    <w:basedOn w:val="Policepardfaut"/>
    <w:uiPriority w:val="99"/>
    <w:unhideWhenUsed w:val="1"/>
    <w:rsid w:val="00770C92"/>
    <w:rPr>
      <w:color w:val="0000ff" w:themeColor="hyperlink"/>
      <w:u w:val="single"/>
    </w:rPr>
  </w:style>
  <w:style w:type="character" w:styleId="Mentionnonrsolue1" w:customStyle="1">
    <w:name w:val="Mention non résolue1"/>
    <w:basedOn w:val="Policepardfaut"/>
    <w:uiPriority w:val="99"/>
    <w:semiHidden w:val="1"/>
    <w:unhideWhenUsed w:val="1"/>
    <w:rsid w:val="00770C92"/>
    <w:rPr>
      <w:color w:val="605e5c"/>
      <w:shd w:color="auto" w:fill="e1dfdd" w:val="clear"/>
    </w:rPr>
  </w:style>
  <w:style w:type="paragraph" w:styleId="Rvision">
    <w:name w:val="Revision"/>
    <w:hidden w:val="1"/>
    <w:uiPriority w:val="99"/>
    <w:semiHidden w:val="1"/>
    <w:rsid w:val="00650A70"/>
    <w:pPr>
      <w:spacing w:after="0" w:line="240" w:lineRule="auto"/>
    </w:pPr>
  </w:style>
  <w:style w:type="character" w:styleId="Marquedecommentaire">
    <w:name w:val="annotation reference"/>
    <w:basedOn w:val="Policepardfaut"/>
    <w:uiPriority w:val="99"/>
    <w:semiHidden w:val="1"/>
    <w:unhideWhenUsed w:val="1"/>
    <w:rsid w:val="00650A70"/>
    <w:rPr>
      <w:sz w:val="16"/>
      <w:szCs w:val="16"/>
    </w:rPr>
  </w:style>
  <w:style w:type="paragraph" w:styleId="Commentaire">
    <w:name w:val="annotation text"/>
    <w:basedOn w:val="Normal"/>
    <w:link w:val="CommentaireCar"/>
    <w:uiPriority w:val="99"/>
    <w:unhideWhenUsed w:val="1"/>
    <w:rsid w:val="00650A70"/>
    <w:pPr>
      <w:spacing w:line="240" w:lineRule="auto"/>
    </w:pPr>
    <w:rPr>
      <w:sz w:val="20"/>
      <w:szCs w:val="20"/>
    </w:rPr>
  </w:style>
  <w:style w:type="character" w:styleId="CommentaireCar" w:customStyle="1">
    <w:name w:val="Commentaire Car"/>
    <w:basedOn w:val="Policepardfaut"/>
    <w:link w:val="Commentaire"/>
    <w:uiPriority w:val="99"/>
    <w:rsid w:val="00650A70"/>
    <w:rPr>
      <w:sz w:val="20"/>
      <w:szCs w:val="20"/>
    </w:rPr>
  </w:style>
  <w:style w:type="paragraph" w:styleId="Objetducommentaire">
    <w:name w:val="annotation subject"/>
    <w:basedOn w:val="Commentaire"/>
    <w:next w:val="Commentaire"/>
    <w:link w:val="ObjetducommentaireCar"/>
    <w:uiPriority w:val="99"/>
    <w:semiHidden w:val="1"/>
    <w:unhideWhenUsed w:val="1"/>
    <w:rsid w:val="00650A70"/>
    <w:rPr>
      <w:b w:val="1"/>
      <w:bCs w:val="1"/>
    </w:rPr>
  </w:style>
  <w:style w:type="character" w:styleId="ObjetducommentaireCar" w:customStyle="1">
    <w:name w:val="Objet du commentaire Car"/>
    <w:basedOn w:val="CommentaireCar"/>
    <w:link w:val="Objetducommentaire"/>
    <w:uiPriority w:val="99"/>
    <w:semiHidden w:val="1"/>
    <w:rsid w:val="00650A70"/>
    <w:rPr>
      <w:b w:val="1"/>
      <w:bCs w:val="1"/>
      <w:sz w:val="20"/>
      <w:szCs w:val="20"/>
    </w:rPr>
  </w:style>
  <w:style w:type="paragraph" w:styleId="NormalWeb">
    <w:name w:val="Normal (Web)"/>
    <w:basedOn w:val="Normal"/>
    <w:uiPriority w:val="99"/>
    <w:unhideWhenUsed w:val="1"/>
    <w:rsid w:val="00DA6862"/>
    <w:pPr>
      <w:spacing w:after="100" w:afterAutospacing="1" w:before="100" w:beforeAutospacing="1" w:line="240" w:lineRule="auto"/>
    </w:pPr>
    <w:rPr>
      <w:rFonts w:ascii="Times New Roman" w:cs="Times New Roman" w:eastAsia="Times New Roman" w:hAnsi="Times New Roman"/>
      <w:sz w:val="24"/>
      <w:szCs w:val="24"/>
      <w:lang w:val="fr-FR"/>
    </w:rPr>
  </w:style>
  <w:style w:type="character" w:styleId="apple-converted-space" w:customStyle="1">
    <w:name w:val="apple-converted-space"/>
    <w:basedOn w:val="Policepardfaut"/>
    <w:rsid w:val="004B2105"/>
  </w:style>
  <w:style w:type="paragraph" w:styleId="Paragraphedeliste">
    <w:name w:val="List Paragraph"/>
    <w:basedOn w:val="Normal"/>
    <w:uiPriority w:val="34"/>
    <w:qFormat w:val="1"/>
    <w:rsid w:val="001B66B8"/>
    <w:pPr>
      <w:ind w:left="720"/>
      <w:contextualSpacing w:val="1"/>
    </w:pPr>
  </w:style>
  <w:style w:type="character" w:styleId="Numrodeligne">
    <w:name w:val="line number"/>
    <w:basedOn w:val="Policepardfaut"/>
    <w:uiPriority w:val="99"/>
    <w:semiHidden w:val="1"/>
    <w:unhideWhenUsed w:val="1"/>
    <w:rsid w:val="005B4D29"/>
  </w:style>
  <w:style w:type="character" w:styleId="lev">
    <w:name w:val="Strong"/>
    <w:basedOn w:val="Policepardfaut"/>
    <w:uiPriority w:val="22"/>
    <w:qFormat w:val="1"/>
    <w:rsid w:val="00544C04"/>
    <w:rPr>
      <w:b w:val="1"/>
      <w:bCs w:val="1"/>
    </w:rPr>
  </w:style>
  <w:style w:type="paragraph" w:styleId="Textedebulles">
    <w:name w:val="Balloon Text"/>
    <w:basedOn w:val="Normal"/>
    <w:link w:val="TextedebullesCar"/>
    <w:uiPriority w:val="99"/>
    <w:semiHidden w:val="1"/>
    <w:unhideWhenUsed w:val="1"/>
    <w:rsid w:val="002E195D"/>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2E195D"/>
    <w:rPr>
      <w:rFonts w:ascii="Segoe UI" w:cs="Segoe UI" w:hAnsi="Segoe UI"/>
      <w:sz w:val="18"/>
      <w:szCs w:val="18"/>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nsembl.org/Homo_sapiens/Transcript/Summary?db=core;g=ENSG00000108950;r=17:68535113-68601367;t=ENST0000059255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e.ac.uk/ge/collagen)" TargetMode="External"/><Relationship Id="rId8" Type="http://schemas.openxmlformats.org/officeDocument/2006/relationships/hyperlink" Target="https://mutalyze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HCLfHzSogasMdUQ1mtoHdpyx+Q==">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2023-02-01T11:56:00Z</dcterms:created>
  <dc:creator>Muriel de La Dure</dc:creator>
</cp:coreProperties>
</file>