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3484E" w14:textId="77777777" w:rsidR="0092433C" w:rsidRPr="00EA7466" w:rsidRDefault="0076115C" w:rsidP="0092433C">
      <w:pPr>
        <w:wordWrap/>
        <w:spacing w:after="0" w:line="360" w:lineRule="auto"/>
        <w:rPr>
          <w:rFonts w:ascii="Times New Roman" w:hAnsi="Times New Roman" w:cs="Times New Roman"/>
          <w:b/>
          <w:sz w:val="28"/>
          <w:szCs w:val="28"/>
          <w:u w:val="single"/>
        </w:rPr>
      </w:pPr>
      <w:r w:rsidRPr="00EA7466">
        <w:rPr>
          <w:rFonts w:ascii="Times New Roman" w:hAnsi="Times New Roman" w:cs="Times New Roman"/>
          <w:b/>
          <w:sz w:val="28"/>
          <w:szCs w:val="28"/>
          <w:u w:val="single"/>
        </w:rPr>
        <w:t>Supplementary Information</w:t>
      </w:r>
    </w:p>
    <w:p w14:paraId="093F4A3A" w14:textId="214461BB" w:rsidR="0092433C" w:rsidRDefault="0092433C" w:rsidP="0092433C">
      <w:pPr>
        <w:wordWrap/>
        <w:spacing w:after="0" w:line="360" w:lineRule="auto"/>
        <w:rPr>
          <w:rFonts w:ascii="Times New Roman" w:hAnsi="Times New Roman" w:cs="Times New Roman"/>
          <w:b/>
          <w:sz w:val="24"/>
          <w:szCs w:val="24"/>
        </w:rPr>
      </w:pPr>
    </w:p>
    <w:p w14:paraId="798E1FF2" w14:textId="77777777" w:rsidR="00EA7466" w:rsidRDefault="00EA7466" w:rsidP="00EA7466">
      <w:pPr>
        <w:widowControl/>
        <w:wordWrap/>
        <w:autoSpaceDE/>
        <w:autoSpaceDN/>
        <w:jc w:val="left"/>
        <w:rPr>
          <w:rFonts w:ascii="Times New Roman" w:hAnsi="Times New Roman" w:cs="Times New Roman"/>
          <w:b/>
          <w:sz w:val="24"/>
          <w:szCs w:val="24"/>
          <w:lang w:val="en"/>
        </w:rPr>
      </w:pPr>
      <w:r w:rsidRPr="0000458D">
        <w:rPr>
          <w:rFonts w:ascii="Times New Roman" w:hAnsi="Times New Roman" w:cs="Times New Roman"/>
          <w:b/>
          <w:sz w:val="24"/>
          <w:szCs w:val="24"/>
          <w:lang w:val="en"/>
        </w:rPr>
        <w:t>Human delta like 1-expressing human mesenchymal stem cells promote human T cell development</w:t>
      </w:r>
      <w:r>
        <w:rPr>
          <w:rFonts w:ascii="Times New Roman" w:hAnsi="Times New Roman" w:cs="Times New Roman"/>
          <w:b/>
          <w:sz w:val="24"/>
          <w:szCs w:val="24"/>
          <w:lang w:val="en"/>
        </w:rPr>
        <w:t xml:space="preserve"> and antigen-specific response</w:t>
      </w:r>
      <w:r w:rsidRPr="0000458D">
        <w:rPr>
          <w:rFonts w:ascii="Times New Roman" w:hAnsi="Times New Roman" w:cs="Times New Roman"/>
          <w:b/>
          <w:sz w:val="24"/>
          <w:szCs w:val="24"/>
          <w:lang w:val="en"/>
        </w:rPr>
        <w:t xml:space="preserve"> in humanized NOD/SCID/IL-2R</w:t>
      </w:r>
      <w:r w:rsidRPr="0000458D">
        <w:rPr>
          <w:rFonts w:ascii="Symbol" w:hAnsi="Symbol" w:cs="Times New Roman"/>
          <w:b/>
          <w:sz w:val="24"/>
          <w:szCs w:val="24"/>
          <w:lang w:val="en"/>
        </w:rPr>
        <w:t></w:t>
      </w:r>
      <w:r w:rsidRPr="0000458D">
        <w:rPr>
          <w:rFonts w:ascii="Times New Roman" w:hAnsi="Times New Roman" w:cs="Times New Roman"/>
          <w:b/>
          <w:sz w:val="24"/>
          <w:szCs w:val="24"/>
          <w:vertAlign w:val="superscript"/>
          <w:lang w:val="en"/>
        </w:rPr>
        <w:t>null</w:t>
      </w:r>
      <w:r w:rsidRPr="0000458D">
        <w:rPr>
          <w:rFonts w:ascii="Times New Roman" w:hAnsi="Times New Roman" w:cs="Times New Roman"/>
          <w:b/>
          <w:sz w:val="24"/>
          <w:szCs w:val="24"/>
          <w:lang w:val="en"/>
        </w:rPr>
        <w:t xml:space="preserve"> (NSG) mice</w:t>
      </w:r>
    </w:p>
    <w:p w14:paraId="5C6C7D39" w14:textId="77777777" w:rsidR="00EA7466" w:rsidRPr="008811B2" w:rsidRDefault="00EA7466" w:rsidP="00EA7466">
      <w:pPr>
        <w:widowControl/>
        <w:wordWrap/>
        <w:autoSpaceDE/>
        <w:autoSpaceDN/>
        <w:jc w:val="left"/>
        <w:rPr>
          <w:rFonts w:ascii="Times New Roman" w:hAnsi="Times New Roman" w:cs="Times New Roman"/>
          <w:b/>
          <w:sz w:val="24"/>
          <w:szCs w:val="24"/>
        </w:rPr>
      </w:pPr>
    </w:p>
    <w:p w14:paraId="490CECB7" w14:textId="77777777" w:rsidR="00EA7466" w:rsidRDefault="00EA7466" w:rsidP="00EA7466">
      <w:pPr>
        <w:widowControl/>
        <w:wordWrap/>
        <w:autoSpaceDE/>
        <w:autoSpaceDN/>
        <w:jc w:val="left"/>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 xml:space="preserve">o </w:t>
      </w:r>
      <w:r>
        <w:rPr>
          <w:rFonts w:ascii="Times New Roman" w:hAnsi="Times New Roman" w:cs="Times New Roman" w:hint="eastAsia"/>
          <w:sz w:val="24"/>
          <w:szCs w:val="24"/>
        </w:rPr>
        <w:t>Hee</w:t>
      </w:r>
      <w:r>
        <w:rPr>
          <w:rFonts w:ascii="Times New Roman" w:hAnsi="Times New Roman" w:cs="Times New Roman"/>
          <w:sz w:val="24"/>
          <w:szCs w:val="24"/>
        </w:rPr>
        <w:t xml:space="preserve"> Kwon</w:t>
      </w:r>
      <w:r w:rsidRPr="00B1701B">
        <w:rPr>
          <w:rFonts w:ascii="Times New Roman" w:hAnsi="Times New Roman" w:cs="Times New Roman"/>
          <w:sz w:val="24"/>
          <w:szCs w:val="24"/>
          <w:vertAlign w:val="superscript"/>
        </w:rPr>
        <w:t>1</w:t>
      </w:r>
      <w:r>
        <w:rPr>
          <w:rFonts w:ascii="Times New Roman" w:hAnsi="Times New Roman" w:cs="Times New Roman"/>
          <w:sz w:val="24"/>
          <w:szCs w:val="24"/>
          <w:lang w:val="en"/>
        </w:rPr>
        <w:t xml:space="preserve">, </w:t>
      </w:r>
      <w:r w:rsidRPr="0000458D">
        <w:rPr>
          <w:rFonts w:ascii="Times New Roman" w:hAnsi="Times New Roman" w:cs="Times New Roman"/>
          <w:sz w:val="24"/>
          <w:szCs w:val="24"/>
          <w:lang w:val="en"/>
        </w:rPr>
        <w:t>Jae Berm Park</w:t>
      </w:r>
      <w:r w:rsidRPr="00B1701B">
        <w:rPr>
          <w:rFonts w:ascii="Times New Roman" w:hAnsi="Times New Roman" w:cs="Times New Roman"/>
          <w:sz w:val="24"/>
          <w:szCs w:val="24"/>
          <w:vertAlign w:val="superscript"/>
          <w:lang w:val="en"/>
        </w:rPr>
        <w:t>2,3</w:t>
      </w:r>
      <w:r>
        <w:rPr>
          <w:rFonts w:ascii="Times New Roman" w:hAnsi="Times New Roman" w:cs="Times New Roman"/>
          <w:sz w:val="24"/>
          <w:szCs w:val="24"/>
          <w:lang w:val="en"/>
        </w:rPr>
        <w:t xml:space="preserve">, </w:t>
      </w:r>
      <w:r w:rsidRPr="0000458D">
        <w:rPr>
          <w:rFonts w:ascii="Times New Roman" w:hAnsi="Times New Roman" w:cs="Times New Roman"/>
          <w:sz w:val="24"/>
          <w:szCs w:val="24"/>
          <w:lang w:val="en"/>
        </w:rPr>
        <w:t>Joo Sang Lee</w:t>
      </w:r>
      <w:r>
        <w:rPr>
          <w:rFonts w:ascii="Times New Roman" w:hAnsi="Times New Roman" w:cs="Times New Roman"/>
          <w:sz w:val="24"/>
          <w:szCs w:val="24"/>
          <w:vertAlign w:val="superscript"/>
          <w:lang w:val="en"/>
        </w:rPr>
        <w:t>4,5</w:t>
      </w:r>
      <w:r>
        <w:rPr>
          <w:rFonts w:ascii="Times New Roman" w:hAnsi="Times New Roman" w:cs="Times New Roman"/>
          <w:sz w:val="24"/>
          <w:szCs w:val="24"/>
          <w:lang w:val="en"/>
        </w:rPr>
        <w:t>,</w:t>
      </w:r>
      <w:r w:rsidRPr="0000458D">
        <w:rPr>
          <w:rFonts w:ascii="Times New Roman" w:hAnsi="Times New Roman" w:cs="Times New Roman"/>
          <w:sz w:val="24"/>
          <w:szCs w:val="24"/>
        </w:rPr>
        <w:t xml:space="preserve"> </w:t>
      </w:r>
      <w:r w:rsidRPr="0000458D">
        <w:rPr>
          <w:rFonts w:ascii="Times New Roman" w:hAnsi="Times New Roman" w:cs="Times New Roman"/>
          <w:sz w:val="24"/>
          <w:szCs w:val="24"/>
          <w:lang w:val="en"/>
        </w:rPr>
        <w:t>Sung Joo Kim</w:t>
      </w:r>
      <w:r>
        <w:rPr>
          <w:rFonts w:ascii="Times New Roman" w:hAnsi="Times New Roman" w:cs="Times New Roman"/>
          <w:sz w:val="24"/>
          <w:szCs w:val="24"/>
          <w:vertAlign w:val="superscript"/>
        </w:rPr>
        <w:t>2,6</w:t>
      </w:r>
      <w:r>
        <w:rPr>
          <w:rFonts w:ascii="Times New Roman" w:hAnsi="Times New Roman" w:cs="Times New Roman"/>
          <w:sz w:val="24"/>
          <w:szCs w:val="24"/>
        </w:rPr>
        <w:t>,</w:t>
      </w:r>
      <w:r w:rsidRPr="00694D8A">
        <w:rPr>
          <w:rFonts w:ascii="Times New Roman" w:hAnsi="Times New Roman" w:cs="Times New Roman"/>
          <w:sz w:val="24"/>
          <w:szCs w:val="24"/>
        </w:rPr>
        <w:t xml:space="preserve"> </w:t>
      </w:r>
      <w:r w:rsidRPr="0000458D">
        <w:rPr>
          <w:rFonts w:ascii="Times New Roman" w:hAnsi="Times New Roman" w:cs="Times New Roman"/>
          <w:sz w:val="24"/>
          <w:szCs w:val="24"/>
        </w:rPr>
        <w:t>Bongkum Choi</w:t>
      </w:r>
      <w:r>
        <w:rPr>
          <w:rFonts w:ascii="Times New Roman" w:hAnsi="Times New Roman" w:cs="Times New Roman"/>
          <w:sz w:val="24"/>
          <w:szCs w:val="24"/>
          <w:vertAlign w:val="superscript"/>
        </w:rPr>
        <w:t>6,7,8</w:t>
      </w:r>
      <w:r w:rsidRPr="0057230B">
        <w:rPr>
          <w:rFonts w:ascii="Times New Roman" w:hAnsi="Times New Roman" w:cs="Times New Roman"/>
          <w:sz w:val="24"/>
          <w:szCs w:val="24"/>
        </w:rPr>
        <w:t>,</w:t>
      </w:r>
      <w:r>
        <w:rPr>
          <w:rFonts w:ascii="Times New Roman" w:hAnsi="Times New Roman" w:cs="Times New Roman"/>
          <w:sz w:val="24"/>
          <w:szCs w:val="24"/>
        </w:rPr>
        <w:t xml:space="preserve"> </w:t>
      </w:r>
      <w:r w:rsidRPr="00694D8A">
        <w:rPr>
          <w:rFonts w:ascii="Times New Roman" w:hAnsi="Times New Roman" w:cs="Times New Roman"/>
          <w:sz w:val="24"/>
          <w:szCs w:val="24"/>
        </w:rPr>
        <w:t>Ki-Young</w:t>
      </w:r>
      <w:r>
        <w:rPr>
          <w:rFonts w:ascii="Times New Roman" w:hAnsi="Times New Roman" w:cs="Times New Roman"/>
          <w:sz w:val="24"/>
          <w:szCs w:val="24"/>
        </w:rPr>
        <w:t xml:space="preserve"> Lee</w:t>
      </w:r>
      <w:r w:rsidRPr="00694D8A">
        <w:rPr>
          <w:rFonts w:ascii="Times New Roman" w:hAnsi="Times New Roman" w:cs="Times New Roman"/>
          <w:sz w:val="24"/>
          <w:szCs w:val="24"/>
          <w:vertAlign w:val="superscript"/>
        </w:rPr>
        <w:t>1</w:t>
      </w:r>
      <w:r>
        <w:rPr>
          <w:rFonts w:ascii="Times New Roman" w:hAnsi="Times New Roman" w:cs="Times New Roman"/>
          <w:sz w:val="24"/>
          <w:szCs w:val="24"/>
          <w:vertAlign w:val="superscript"/>
        </w:rPr>
        <w:t>,3,5,8</w:t>
      </w:r>
      <w:r w:rsidRPr="00694D8A">
        <w:rPr>
          <w:rFonts w:ascii="Times New Roman" w:hAnsi="Times New Roman" w:cs="Times New Roman"/>
          <w:sz w:val="24"/>
          <w:szCs w:val="24"/>
        </w:rPr>
        <w:t xml:space="preserve"> </w:t>
      </w:r>
    </w:p>
    <w:p w14:paraId="0FE20FBC" w14:textId="77777777" w:rsidR="00EA7466" w:rsidRPr="002C51A4" w:rsidRDefault="00EA7466" w:rsidP="00EA7466">
      <w:pPr>
        <w:widowControl/>
        <w:wordWrap/>
        <w:autoSpaceDE/>
        <w:autoSpaceDN/>
        <w:jc w:val="left"/>
        <w:rPr>
          <w:rFonts w:ascii="Times New Roman" w:hAnsi="Times New Roman" w:cs="Times New Roman"/>
          <w:sz w:val="24"/>
          <w:szCs w:val="24"/>
        </w:rPr>
      </w:pPr>
    </w:p>
    <w:p w14:paraId="6E825E4F"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sidRPr="00694D8A">
        <w:rPr>
          <w:rFonts w:ascii="Times New Roman" w:hAnsi="Times New Roman" w:cs="Times New Roman"/>
          <w:sz w:val="24"/>
          <w:szCs w:val="24"/>
          <w:vertAlign w:val="superscript"/>
        </w:rPr>
        <w:t>1</w:t>
      </w:r>
      <w:r>
        <w:rPr>
          <w:rFonts w:ascii="Times New Roman" w:hAnsi="Times New Roman" w:cs="Times New Roman"/>
          <w:sz w:val="24"/>
          <w:szCs w:val="24"/>
        </w:rPr>
        <w:t xml:space="preserve">Department of Immunology </w:t>
      </w:r>
      <w:r w:rsidRPr="00694D8A">
        <w:rPr>
          <w:rFonts w:ascii="Times New Roman" w:hAnsi="Times New Roman" w:cs="Times New Roman"/>
          <w:sz w:val="24"/>
          <w:szCs w:val="24"/>
          <w:lang w:val="en"/>
        </w:rPr>
        <w:t>and Samsung Biomedical Research Institute</w:t>
      </w:r>
      <w:r>
        <w:rPr>
          <w:rFonts w:ascii="Times New Roman" w:hAnsi="Times New Roman" w:cs="Times New Roman"/>
          <w:sz w:val="24"/>
          <w:szCs w:val="24"/>
          <w:lang w:val="en"/>
        </w:rPr>
        <w:t>,</w:t>
      </w:r>
      <w:r w:rsidRPr="00694D8A">
        <w:rPr>
          <w:rFonts w:ascii="Times New Roman" w:hAnsi="Times New Roman" w:cs="Times New Roman"/>
          <w:sz w:val="24"/>
          <w:szCs w:val="24"/>
          <w:lang w:val="en"/>
        </w:rPr>
        <w:t xml:space="preserve"> Sungkyunkwan University School of Medicine, Suwon-Si, Kyonggi-Do 440-746, Korea</w:t>
      </w:r>
      <w:r>
        <w:rPr>
          <w:rFonts w:ascii="Times New Roman" w:hAnsi="Times New Roman" w:cs="Times New Roman"/>
          <w:sz w:val="24"/>
          <w:szCs w:val="24"/>
          <w:lang w:val="en"/>
        </w:rPr>
        <w:t>.</w:t>
      </w:r>
    </w:p>
    <w:p w14:paraId="1A68F3B0"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sidRPr="002C51A4">
        <w:rPr>
          <w:rFonts w:ascii="Times New Roman" w:hAnsi="Times New Roman" w:cs="Times New Roman"/>
          <w:sz w:val="24"/>
          <w:szCs w:val="24"/>
          <w:vertAlign w:val="superscript"/>
          <w:lang w:val="en"/>
        </w:rPr>
        <w:t>2</w:t>
      </w:r>
      <w:r w:rsidRPr="00B1701B">
        <w:rPr>
          <w:rFonts w:ascii="Times New Roman" w:hAnsi="Times New Roman" w:cs="Times New Roman"/>
          <w:sz w:val="24"/>
          <w:szCs w:val="24"/>
          <w:lang w:val="en"/>
        </w:rPr>
        <w:t>Department of Surgery, Samsung Medical Center, Sungkyunkwan University School of Medicine, Seoul, Republic of Korea</w:t>
      </w:r>
      <w:r>
        <w:rPr>
          <w:rFonts w:ascii="Times New Roman" w:hAnsi="Times New Roman" w:cs="Times New Roman"/>
          <w:sz w:val="24"/>
          <w:szCs w:val="24"/>
          <w:lang w:val="en"/>
        </w:rPr>
        <w:t xml:space="preserve">. </w:t>
      </w:r>
    </w:p>
    <w:p w14:paraId="47596B7F"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sidRPr="002C51A4">
        <w:rPr>
          <w:rFonts w:ascii="Times New Roman" w:hAnsi="Times New Roman" w:cs="Times New Roman"/>
          <w:sz w:val="24"/>
          <w:szCs w:val="24"/>
          <w:vertAlign w:val="superscript"/>
          <w:lang w:val="en"/>
        </w:rPr>
        <w:t>3</w:t>
      </w:r>
      <w:r w:rsidRPr="00B1701B">
        <w:rPr>
          <w:rFonts w:ascii="Times New Roman" w:hAnsi="Times New Roman" w:cs="Times New Roman"/>
          <w:sz w:val="24"/>
          <w:szCs w:val="24"/>
          <w:lang w:val="en"/>
        </w:rPr>
        <w:t>Department of Health Sciences and Technology, Samsung Advanced Institute for Health Sciences &amp; Technology, Samsung Medical Center, Sungkyunkwan University, Seoul, Republic of Korea</w:t>
      </w:r>
      <w:r>
        <w:rPr>
          <w:rFonts w:ascii="Times New Roman" w:hAnsi="Times New Roman" w:cs="Times New Roman"/>
          <w:sz w:val="24"/>
          <w:szCs w:val="24"/>
          <w:lang w:val="en"/>
        </w:rPr>
        <w:t xml:space="preserve">. </w:t>
      </w:r>
    </w:p>
    <w:p w14:paraId="4C7DC8B1"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Pr>
          <w:rFonts w:ascii="Times New Roman" w:hAnsi="Times New Roman" w:cs="Times New Roman"/>
          <w:sz w:val="24"/>
          <w:szCs w:val="24"/>
          <w:vertAlign w:val="superscript"/>
          <w:lang w:val="en"/>
        </w:rPr>
        <w:t>4</w:t>
      </w:r>
      <w:r>
        <w:rPr>
          <w:rFonts w:ascii="Times New Roman" w:hAnsi="Times New Roman" w:cs="Times New Roman"/>
          <w:sz w:val="24"/>
          <w:szCs w:val="24"/>
        </w:rPr>
        <w:t>Department of Precision medicine</w:t>
      </w:r>
      <w:r>
        <w:rPr>
          <w:rFonts w:ascii="Times New Roman" w:hAnsi="Times New Roman" w:cs="Times New Roman"/>
          <w:sz w:val="24"/>
          <w:szCs w:val="24"/>
          <w:lang w:val="en"/>
        </w:rPr>
        <w:t>,</w:t>
      </w:r>
      <w:r w:rsidRPr="00694D8A">
        <w:rPr>
          <w:rFonts w:ascii="Times New Roman" w:hAnsi="Times New Roman" w:cs="Times New Roman"/>
          <w:sz w:val="24"/>
          <w:szCs w:val="24"/>
          <w:lang w:val="en"/>
        </w:rPr>
        <w:t xml:space="preserve"> Sungkyunkwan University School of Medicine, Suwon-Si, Kyonggi-Do 440-746, Korea</w:t>
      </w:r>
      <w:r>
        <w:rPr>
          <w:rFonts w:ascii="Times New Roman" w:hAnsi="Times New Roman" w:cs="Times New Roman"/>
          <w:sz w:val="24"/>
          <w:szCs w:val="24"/>
          <w:lang w:val="en"/>
        </w:rPr>
        <w:t>.</w:t>
      </w:r>
    </w:p>
    <w:p w14:paraId="10891B2D"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Pr>
          <w:rFonts w:ascii="Times New Roman" w:hAnsi="Times New Roman" w:cs="Times New Roman"/>
          <w:sz w:val="24"/>
          <w:szCs w:val="24"/>
          <w:vertAlign w:val="superscript"/>
          <w:lang w:val="en"/>
        </w:rPr>
        <w:t>5</w:t>
      </w:r>
      <w:r w:rsidRPr="00B1701B">
        <w:rPr>
          <w:rFonts w:ascii="Times New Roman" w:hAnsi="Times New Roman" w:cs="Times New Roman"/>
          <w:sz w:val="24"/>
          <w:szCs w:val="24"/>
          <w:lang w:val="en"/>
        </w:rPr>
        <w:t>Single Cell Network Research Center, Sungkyunkwan University School of Medicine, Suwon 16419, Republic of Korea</w:t>
      </w:r>
    </w:p>
    <w:p w14:paraId="76E43DE6"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Pr>
          <w:rFonts w:ascii="Times New Roman" w:hAnsi="Times New Roman" w:cs="Times New Roman"/>
          <w:sz w:val="24"/>
          <w:szCs w:val="24"/>
          <w:vertAlign w:val="superscript"/>
          <w:lang w:val="en"/>
        </w:rPr>
        <w:t>6</w:t>
      </w:r>
      <w:r w:rsidRPr="00B1701B">
        <w:rPr>
          <w:rFonts w:ascii="Times New Roman" w:hAnsi="Times New Roman" w:cs="Times New Roman"/>
          <w:sz w:val="24"/>
          <w:szCs w:val="24"/>
          <w:lang w:val="en"/>
        </w:rPr>
        <w:t>GenNBio, Inc., Seoul, Republic of Korea</w:t>
      </w:r>
      <w:r>
        <w:rPr>
          <w:rFonts w:ascii="Times New Roman" w:hAnsi="Times New Roman" w:cs="Times New Roman"/>
          <w:sz w:val="24"/>
          <w:szCs w:val="24"/>
          <w:lang w:val="en"/>
        </w:rPr>
        <w:t xml:space="preserve">. </w:t>
      </w:r>
    </w:p>
    <w:p w14:paraId="2D27955F" w14:textId="77777777" w:rsidR="00EA7466" w:rsidRDefault="00EA7466" w:rsidP="00EA7466">
      <w:pPr>
        <w:widowControl/>
        <w:wordWrap/>
        <w:autoSpaceDE/>
        <w:autoSpaceDN/>
        <w:spacing w:line="360" w:lineRule="auto"/>
        <w:jc w:val="left"/>
        <w:rPr>
          <w:rFonts w:ascii="Times New Roman" w:hAnsi="Times New Roman" w:cs="Times New Roman"/>
          <w:sz w:val="24"/>
          <w:szCs w:val="24"/>
          <w:lang w:val="en"/>
        </w:rPr>
      </w:pPr>
      <w:r>
        <w:rPr>
          <w:rFonts w:ascii="Times New Roman" w:hAnsi="Times New Roman" w:cs="Times New Roman"/>
          <w:sz w:val="24"/>
          <w:szCs w:val="24"/>
          <w:vertAlign w:val="superscript"/>
          <w:lang w:val="en"/>
        </w:rPr>
        <w:t>7</w:t>
      </w:r>
      <w:r>
        <w:rPr>
          <w:rFonts w:ascii="Times New Roman" w:hAnsi="Times New Roman" w:cs="Times New Roman"/>
          <w:sz w:val="24"/>
          <w:szCs w:val="24"/>
        </w:rPr>
        <w:t>Department of Medicine</w:t>
      </w:r>
      <w:r>
        <w:rPr>
          <w:rFonts w:ascii="Times New Roman" w:hAnsi="Times New Roman" w:cs="Times New Roman"/>
          <w:sz w:val="24"/>
          <w:szCs w:val="24"/>
          <w:lang w:val="en"/>
        </w:rPr>
        <w:t>,</w:t>
      </w:r>
      <w:r w:rsidRPr="00694D8A">
        <w:rPr>
          <w:rFonts w:ascii="Times New Roman" w:hAnsi="Times New Roman" w:cs="Times New Roman"/>
          <w:sz w:val="24"/>
          <w:szCs w:val="24"/>
          <w:lang w:val="en"/>
        </w:rPr>
        <w:t xml:space="preserve"> Sungkyunkwan University School of Medicine, Suwon-Si, Kyonggi-Do 440-746, Korea</w:t>
      </w:r>
    </w:p>
    <w:p w14:paraId="5765F4FC" w14:textId="7D744E45" w:rsidR="00EA7466" w:rsidRPr="00EA7466" w:rsidRDefault="00EA7466" w:rsidP="0092433C">
      <w:pPr>
        <w:wordWrap/>
        <w:spacing w:after="0" w:line="360" w:lineRule="auto"/>
        <w:rPr>
          <w:rFonts w:ascii="Times New Roman" w:hAnsi="Times New Roman" w:cs="Times New Roman"/>
          <w:b/>
          <w:sz w:val="24"/>
          <w:szCs w:val="24"/>
          <w:lang w:val="en"/>
        </w:rPr>
      </w:pPr>
    </w:p>
    <w:p w14:paraId="71EBAE64" w14:textId="368D4DE4" w:rsidR="00EA7466" w:rsidRDefault="00E20E2B" w:rsidP="00E20E2B">
      <w:pPr>
        <w:tabs>
          <w:tab w:val="left" w:pos="5489"/>
        </w:tabs>
        <w:wordWrap/>
        <w:spacing w:after="0" w:line="360" w:lineRule="auto"/>
        <w:rPr>
          <w:rFonts w:ascii="Times New Roman" w:hAnsi="Times New Roman" w:cs="Times New Roman" w:hint="eastAsia"/>
          <w:b/>
          <w:sz w:val="24"/>
          <w:szCs w:val="24"/>
        </w:rPr>
      </w:pPr>
      <w:r>
        <w:rPr>
          <w:rFonts w:ascii="Times New Roman" w:hAnsi="Times New Roman" w:cs="Times New Roman"/>
          <w:b/>
          <w:sz w:val="24"/>
          <w:szCs w:val="24"/>
        </w:rPr>
        <w:tab/>
      </w:r>
    </w:p>
    <w:p w14:paraId="00DDE099" w14:textId="77777777" w:rsidR="00EA7466" w:rsidRDefault="00EA7466">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14:paraId="4070B102" w14:textId="3C4B1CF3" w:rsidR="0092433C" w:rsidRPr="00EA7466" w:rsidRDefault="00EA7466" w:rsidP="0092433C">
      <w:pPr>
        <w:wordWrap/>
        <w:spacing w:after="0" w:line="360" w:lineRule="auto"/>
        <w:rPr>
          <w:rFonts w:ascii="Times New Roman" w:hAnsi="Times New Roman" w:cs="Times New Roman"/>
          <w:b/>
          <w:sz w:val="28"/>
          <w:szCs w:val="28"/>
          <w:u w:val="single"/>
        </w:rPr>
      </w:pPr>
      <w:r w:rsidRPr="00EA7466">
        <w:rPr>
          <w:rFonts w:ascii="Times New Roman" w:hAnsi="Times New Roman" w:cs="Times New Roman"/>
          <w:b/>
          <w:sz w:val="28"/>
          <w:szCs w:val="28"/>
          <w:u w:val="single"/>
        </w:rPr>
        <w:lastRenderedPageBreak/>
        <w:t>Supplementary Methods</w:t>
      </w:r>
    </w:p>
    <w:p w14:paraId="396DF91D" w14:textId="77777777" w:rsidR="0092433C" w:rsidRPr="0092433C" w:rsidRDefault="0092433C" w:rsidP="0092433C">
      <w:pPr>
        <w:wordWrap/>
        <w:spacing w:after="0" w:line="360" w:lineRule="auto"/>
        <w:rPr>
          <w:rFonts w:ascii="Times New Roman" w:hAnsi="Times New Roman" w:cs="Times New Roman"/>
          <w:b/>
          <w:sz w:val="24"/>
          <w:szCs w:val="24"/>
        </w:rPr>
      </w:pPr>
    </w:p>
    <w:p w14:paraId="52D7F7DE" w14:textId="3E435DB0" w:rsidR="0092433C" w:rsidRPr="0092433C" w:rsidRDefault="0076115C" w:rsidP="0092433C">
      <w:pPr>
        <w:wordWrap/>
        <w:spacing w:after="0" w:line="360" w:lineRule="auto"/>
        <w:rPr>
          <w:rFonts w:ascii="Times New Roman" w:hAnsi="Times New Roman" w:cs="Times New Roman"/>
          <w:b/>
          <w:sz w:val="28"/>
          <w:szCs w:val="28"/>
        </w:rPr>
      </w:pPr>
      <w:r w:rsidRPr="0076115C">
        <w:rPr>
          <w:rFonts w:ascii="Times New Roman" w:hAnsi="Times New Roman" w:cs="Times New Roman" w:hint="eastAsia"/>
          <w:b/>
          <w:sz w:val="24"/>
          <w:szCs w:val="24"/>
        </w:rPr>
        <w:t>Flow cytometic analysis</w:t>
      </w:r>
    </w:p>
    <w:p w14:paraId="609A016E" w14:textId="0BC46ABB" w:rsidR="0076115C" w:rsidRPr="0042065C" w:rsidRDefault="0076115C" w:rsidP="0092433C">
      <w:pPr>
        <w:wordWrap/>
        <w:spacing w:after="0" w:line="360" w:lineRule="auto"/>
        <w:rPr>
          <w:rFonts w:ascii="Times New Roman" w:hAnsi="Times New Roman" w:cs="Times New Roman"/>
          <w:b/>
          <w:sz w:val="24"/>
          <w:szCs w:val="24"/>
        </w:rPr>
      </w:pPr>
      <w:r w:rsidRPr="0084503F">
        <w:rPr>
          <w:rFonts w:ascii="Times New Roman" w:hAnsi="Times New Roman" w:cs="Times New Roman"/>
          <w:sz w:val="24"/>
          <w:szCs w:val="24"/>
        </w:rPr>
        <w:t xml:space="preserve">Peripheral blood mononuclear cells (PBMCs) were collected from tail veins of humanized NSG mice at 8, 12, 16, and 20 weeks after transplant. To remove red blood cells (RBCs), cells were treated with 1X RBC Lysis Buffer (eBioscience) according to the manufacturer's instructions. </w:t>
      </w:r>
      <w:r w:rsidR="003C6F46">
        <w:rPr>
          <w:rFonts w:ascii="Times New Roman" w:hAnsi="Times New Roman" w:cs="Times New Roman"/>
          <w:sz w:val="24"/>
          <w:szCs w:val="24"/>
        </w:rPr>
        <w:t xml:space="preserve">Single-cell suspensions were prepared from spleen tissues by standard procedures. </w:t>
      </w:r>
      <w:r w:rsidRPr="0042065C">
        <w:rPr>
          <w:rFonts w:ascii="Times New Roman" w:hAnsi="Times New Roman" w:cs="Times New Roman"/>
          <w:sz w:val="24"/>
          <w:szCs w:val="24"/>
        </w:rPr>
        <w:t xml:space="preserve">Cells were collected and washed with </w:t>
      </w:r>
      <w:r w:rsidR="003C6F46" w:rsidRPr="0042065C">
        <w:rPr>
          <w:rFonts w:ascii="Times New Roman" w:hAnsi="Times New Roman" w:cs="Times New Roman"/>
          <w:sz w:val="24"/>
          <w:szCs w:val="24"/>
        </w:rPr>
        <w:t>1X PBS.</w:t>
      </w:r>
      <w:r w:rsidRPr="0042065C">
        <w:rPr>
          <w:rFonts w:ascii="Times New Roman" w:hAnsi="Times New Roman" w:cs="Times New Roman"/>
          <w:sz w:val="24"/>
          <w:szCs w:val="24"/>
        </w:rPr>
        <w:t xml:space="preserve"> Isolated MNCs were stained with hCD45- allophycocyanin (APC) conjugated</w:t>
      </w:r>
      <w:r w:rsidR="007809B6" w:rsidRPr="0042065C">
        <w:rPr>
          <w:rFonts w:ascii="Times New Roman" w:hAnsi="Times New Roman" w:cs="Times New Roman"/>
          <w:sz w:val="24"/>
          <w:szCs w:val="24"/>
        </w:rPr>
        <w:t>, hCD3- peridinin chlorophyll protein</w:t>
      </w:r>
      <w:r w:rsidR="00290DDA" w:rsidRPr="0042065C">
        <w:rPr>
          <w:rFonts w:ascii="Times New Roman" w:hAnsi="Times New Roman" w:cs="Times New Roman"/>
          <w:sz w:val="24"/>
          <w:szCs w:val="24"/>
        </w:rPr>
        <w:t>-Cyanine5.5</w:t>
      </w:r>
      <w:r w:rsidR="007809B6" w:rsidRPr="0042065C">
        <w:rPr>
          <w:rFonts w:ascii="Times New Roman" w:hAnsi="Times New Roman" w:cs="Times New Roman"/>
          <w:sz w:val="24"/>
          <w:szCs w:val="24"/>
        </w:rPr>
        <w:t xml:space="preserve"> (PerCP-Cy5.5</w:t>
      </w:r>
      <w:r w:rsidR="00290DDA" w:rsidRPr="0042065C">
        <w:rPr>
          <w:rFonts w:ascii="Times New Roman" w:hAnsi="Times New Roman" w:cs="Times New Roman"/>
          <w:sz w:val="24"/>
          <w:szCs w:val="24"/>
        </w:rPr>
        <w:t>)</w:t>
      </w:r>
      <w:r w:rsidR="007809B6" w:rsidRPr="0042065C">
        <w:rPr>
          <w:rFonts w:ascii="Times New Roman" w:hAnsi="Times New Roman" w:cs="Times New Roman"/>
          <w:sz w:val="24"/>
          <w:szCs w:val="24"/>
        </w:rPr>
        <w:t xml:space="preserve"> conjugated,</w:t>
      </w:r>
      <w:r w:rsidRPr="0042065C">
        <w:rPr>
          <w:rFonts w:ascii="Times New Roman" w:hAnsi="Times New Roman" w:cs="Times New Roman"/>
          <w:sz w:val="24"/>
          <w:szCs w:val="24"/>
        </w:rPr>
        <w:t xml:space="preserve"> or hCD19-fluorescein isothiocyanate (FITC) conjugated antibody. Flow cytometry analysis was performed using a FACSAria (BD Biosciences). Ten thousand to 1,000,000 events were acquired per sample and analyzed using FACSDiva (BD Biosciences) or FlowJo (</w:t>
      </w:r>
      <w:r w:rsidR="00290DDA" w:rsidRPr="0042065C">
        <w:rPr>
          <w:rFonts w:ascii="Times New Roman" w:hAnsi="Times New Roman" w:cs="Times New Roman"/>
          <w:sz w:val="24"/>
          <w:szCs w:val="24"/>
        </w:rPr>
        <w:t>BD Biosciences</w:t>
      </w:r>
      <w:r w:rsidRPr="0042065C">
        <w:rPr>
          <w:rFonts w:ascii="Times New Roman" w:hAnsi="Times New Roman" w:cs="Times New Roman"/>
          <w:sz w:val="24"/>
          <w:szCs w:val="24"/>
        </w:rPr>
        <w:t xml:space="preserve">) software. Percentages </w:t>
      </w:r>
      <w:r w:rsidRPr="0084503F">
        <w:rPr>
          <w:rFonts w:ascii="Times New Roman" w:hAnsi="Times New Roman" w:cs="Times New Roman"/>
          <w:sz w:val="24"/>
          <w:szCs w:val="24"/>
        </w:rPr>
        <w:t>of cells were obtained by manual flow cytometric gating method. Data are shown as the average of five different mice in each group (± S.D).</w:t>
      </w:r>
      <w:r w:rsidR="00D31B85">
        <w:rPr>
          <w:rFonts w:ascii="Times New Roman" w:hAnsi="Times New Roman" w:cs="Times New Roman"/>
          <w:sz w:val="24"/>
          <w:szCs w:val="24"/>
        </w:rPr>
        <w:t xml:space="preserve"> Thymus, liver, bone marrow, and spleen tissues were isolated from the humanized NSG mice generated with </w:t>
      </w:r>
      <w:r w:rsidR="00D31B85" w:rsidRPr="00E010DE">
        <w:rPr>
          <w:rFonts w:ascii="Times New Roman" w:hAnsi="Times New Roman" w:cs="Times New Roman"/>
          <w:sz w:val="24"/>
          <w:szCs w:val="24"/>
        </w:rPr>
        <w:t>FL-MSCs-Dlk1 plus hCD34</w:t>
      </w:r>
      <w:r w:rsidR="00D31B85" w:rsidRPr="00D31B85">
        <w:rPr>
          <w:rFonts w:ascii="Times New Roman" w:hAnsi="Times New Roman" w:cs="Times New Roman"/>
          <w:sz w:val="24"/>
          <w:szCs w:val="24"/>
          <w:vertAlign w:val="superscript"/>
        </w:rPr>
        <w:t>+</w:t>
      </w:r>
      <w:r w:rsidR="00D31B85" w:rsidRPr="00E010DE">
        <w:rPr>
          <w:rFonts w:ascii="Times New Roman" w:hAnsi="Times New Roman" w:cs="Times New Roman"/>
          <w:sz w:val="24"/>
          <w:szCs w:val="24"/>
        </w:rPr>
        <w:t xml:space="preserve"> CB cells</w:t>
      </w:r>
      <w:r w:rsidR="00D31B85">
        <w:rPr>
          <w:rFonts w:ascii="Times New Roman" w:hAnsi="Times New Roman" w:cs="Times New Roman"/>
          <w:sz w:val="24"/>
          <w:szCs w:val="24"/>
        </w:rPr>
        <w:t xml:space="preserve">. </w:t>
      </w:r>
      <w:r w:rsidR="00D31B85" w:rsidRPr="0084503F">
        <w:rPr>
          <w:rFonts w:ascii="Times New Roman" w:hAnsi="Times New Roman" w:cs="Times New Roman"/>
          <w:sz w:val="24"/>
          <w:szCs w:val="24"/>
        </w:rPr>
        <w:t xml:space="preserve">Single-cell suspensions were prepared </w:t>
      </w:r>
      <w:r w:rsidR="00D31B85">
        <w:rPr>
          <w:rFonts w:ascii="Times New Roman" w:hAnsi="Times New Roman" w:cs="Times New Roman"/>
          <w:sz w:val="24"/>
          <w:szCs w:val="24"/>
        </w:rPr>
        <w:t xml:space="preserve">as following </w:t>
      </w:r>
      <w:r w:rsidR="00D31B85" w:rsidRPr="0084503F">
        <w:rPr>
          <w:rFonts w:ascii="Times New Roman" w:hAnsi="Times New Roman" w:cs="Times New Roman"/>
          <w:sz w:val="24"/>
          <w:szCs w:val="24"/>
        </w:rPr>
        <w:t xml:space="preserve">standard procedures. </w:t>
      </w:r>
      <w:r w:rsidR="00D31B85">
        <w:rPr>
          <w:rFonts w:ascii="Times New Roman" w:hAnsi="Times New Roman" w:cs="Times New Roman"/>
          <w:sz w:val="24"/>
          <w:szCs w:val="24"/>
        </w:rPr>
        <w:t xml:space="preserve">Cells were collected, washed with PBS buffer, and </w:t>
      </w:r>
      <w:r w:rsidR="00D31B85" w:rsidRPr="0084503F">
        <w:rPr>
          <w:rFonts w:ascii="Times New Roman" w:hAnsi="Times New Roman" w:cs="Times New Roman"/>
          <w:sz w:val="24"/>
          <w:szCs w:val="24"/>
        </w:rPr>
        <w:t>were stained</w:t>
      </w:r>
      <w:r w:rsidR="00D31B85">
        <w:rPr>
          <w:rFonts w:ascii="Times New Roman" w:hAnsi="Times New Roman" w:cs="Times New Roman"/>
          <w:sz w:val="24"/>
          <w:szCs w:val="24"/>
        </w:rPr>
        <w:t xml:space="preserve"> with</w:t>
      </w:r>
      <w:r w:rsidR="00631574">
        <w:rPr>
          <w:rFonts w:ascii="Times New Roman" w:hAnsi="Times New Roman" w:cs="Times New Roman"/>
          <w:sz w:val="24"/>
          <w:szCs w:val="24"/>
        </w:rPr>
        <w:t xml:space="preserve"> isotype control or</w:t>
      </w:r>
      <w:r w:rsidR="00D31B85">
        <w:rPr>
          <w:rFonts w:ascii="Times New Roman" w:hAnsi="Times New Roman" w:cs="Times New Roman"/>
          <w:sz w:val="24"/>
          <w:szCs w:val="24"/>
        </w:rPr>
        <w:t xml:space="preserve"> anti-human Dlk1-FITC conjugated antibody.</w:t>
      </w:r>
      <w:r w:rsidR="00631574" w:rsidRPr="00631574">
        <w:rPr>
          <w:rFonts w:ascii="Times New Roman" w:hAnsi="Times New Roman" w:cs="Times New Roman"/>
          <w:sz w:val="24"/>
          <w:szCs w:val="24"/>
        </w:rPr>
        <w:t xml:space="preserve"> </w:t>
      </w:r>
      <w:r w:rsidR="00631574" w:rsidRPr="0084503F">
        <w:rPr>
          <w:rFonts w:ascii="Times New Roman" w:hAnsi="Times New Roman" w:cs="Times New Roman"/>
          <w:sz w:val="24"/>
          <w:szCs w:val="24"/>
        </w:rPr>
        <w:t>Percentages of cells were obtained by manual flow cytometric gating method. Data are shown as the average of five different mice in each group (± S.D)</w:t>
      </w:r>
      <w:r w:rsidR="00631574">
        <w:rPr>
          <w:rFonts w:ascii="Times New Roman" w:hAnsi="Times New Roman" w:cs="Times New Roman"/>
          <w:sz w:val="24"/>
          <w:szCs w:val="24"/>
        </w:rPr>
        <w:t xml:space="preserve">. Liver tissues were isolated from the humanized NSG mice. </w:t>
      </w:r>
      <w:r w:rsidR="00631574" w:rsidRPr="0084503F">
        <w:rPr>
          <w:rFonts w:ascii="Times New Roman" w:hAnsi="Times New Roman" w:cs="Times New Roman"/>
          <w:sz w:val="24"/>
          <w:szCs w:val="24"/>
        </w:rPr>
        <w:t xml:space="preserve">Single-cell suspensions were prepared </w:t>
      </w:r>
      <w:r w:rsidR="00631574">
        <w:rPr>
          <w:rFonts w:ascii="Times New Roman" w:hAnsi="Times New Roman" w:cs="Times New Roman"/>
          <w:sz w:val="24"/>
          <w:szCs w:val="24"/>
        </w:rPr>
        <w:t xml:space="preserve">as following </w:t>
      </w:r>
      <w:r w:rsidR="00631574" w:rsidRPr="0084503F">
        <w:rPr>
          <w:rFonts w:ascii="Times New Roman" w:hAnsi="Times New Roman" w:cs="Times New Roman"/>
          <w:sz w:val="24"/>
          <w:szCs w:val="24"/>
        </w:rPr>
        <w:t xml:space="preserve">standard procedures. </w:t>
      </w:r>
      <w:r w:rsidR="00631574">
        <w:rPr>
          <w:rFonts w:ascii="Times New Roman" w:hAnsi="Times New Roman" w:cs="Times New Roman"/>
          <w:sz w:val="24"/>
          <w:szCs w:val="24"/>
        </w:rPr>
        <w:t xml:space="preserve">Cells were collected and washed with PBS buffer. </w:t>
      </w:r>
      <w:r w:rsidR="00631574" w:rsidRPr="0084503F">
        <w:rPr>
          <w:rFonts w:ascii="Times New Roman" w:hAnsi="Times New Roman" w:cs="Times New Roman"/>
          <w:sz w:val="24"/>
          <w:szCs w:val="24"/>
        </w:rPr>
        <w:t>Mononuclear cells (</w:t>
      </w:r>
      <w:r w:rsidR="00631574" w:rsidRPr="0042065C">
        <w:rPr>
          <w:rFonts w:ascii="Times New Roman" w:hAnsi="Times New Roman" w:cs="Times New Roman"/>
          <w:sz w:val="24"/>
          <w:szCs w:val="24"/>
        </w:rPr>
        <w:t xml:space="preserve">MNCs) were then isolated by Ficoll-Hypaque density gradient centrifugation. Isolated MNCs were stained with anti-human </w:t>
      </w:r>
      <w:r w:rsidR="00631574" w:rsidRPr="0042065C">
        <w:rPr>
          <w:rFonts w:ascii="Symbol" w:hAnsi="Symbol" w:cs="Times New Roman"/>
          <w:sz w:val="24"/>
          <w:szCs w:val="24"/>
        </w:rPr>
        <w:t></w:t>
      </w:r>
      <w:r w:rsidR="00631574" w:rsidRPr="0042065C">
        <w:rPr>
          <w:rFonts w:ascii="Symbol" w:hAnsi="Symbol" w:cs="Times New Roman"/>
          <w:sz w:val="24"/>
          <w:szCs w:val="24"/>
        </w:rPr>
        <w:t></w:t>
      </w:r>
      <w:r w:rsidR="00631574" w:rsidRPr="0042065C">
        <w:rPr>
          <w:rFonts w:ascii="Times New Roman" w:hAnsi="Times New Roman" w:cs="Times New Roman"/>
          <w:sz w:val="24"/>
          <w:szCs w:val="24"/>
        </w:rPr>
        <w:t xml:space="preserve"> TCR-</w:t>
      </w:r>
      <w:r w:rsidR="00290DDA" w:rsidRPr="0042065C">
        <w:rPr>
          <w:rFonts w:ascii="Times New Roman" w:hAnsi="Times New Roman" w:cs="Times New Roman"/>
          <w:sz w:val="24"/>
          <w:szCs w:val="24"/>
        </w:rPr>
        <w:t>FITC</w:t>
      </w:r>
      <w:r w:rsidR="00631574" w:rsidRPr="0042065C">
        <w:rPr>
          <w:rFonts w:ascii="Times New Roman" w:hAnsi="Times New Roman" w:cs="Times New Roman"/>
          <w:sz w:val="24"/>
          <w:szCs w:val="24"/>
        </w:rPr>
        <w:t xml:space="preserve"> or anti-hum</w:t>
      </w:r>
      <w:r w:rsidR="00290DDA" w:rsidRPr="0042065C">
        <w:rPr>
          <w:rFonts w:ascii="Times New Roman" w:hAnsi="Times New Roman" w:cs="Times New Roman"/>
          <w:sz w:val="24"/>
          <w:szCs w:val="24"/>
        </w:rPr>
        <w:t>an</w:t>
      </w:r>
      <w:r w:rsidR="00631574" w:rsidRPr="0042065C">
        <w:rPr>
          <w:rFonts w:ascii="Times New Roman" w:hAnsi="Times New Roman" w:cs="Times New Roman"/>
          <w:sz w:val="24"/>
          <w:szCs w:val="24"/>
        </w:rPr>
        <w:t xml:space="preserve"> </w:t>
      </w:r>
      <w:r w:rsidR="00631574" w:rsidRPr="0042065C">
        <w:rPr>
          <w:rFonts w:ascii="Symbol" w:hAnsi="Symbol" w:cs="Times New Roman"/>
          <w:sz w:val="24"/>
          <w:szCs w:val="24"/>
        </w:rPr>
        <w:t></w:t>
      </w:r>
      <w:r w:rsidR="00631574" w:rsidRPr="0042065C">
        <w:rPr>
          <w:rFonts w:ascii="Symbol" w:hAnsi="Symbol" w:cs="Times New Roman"/>
          <w:sz w:val="24"/>
          <w:szCs w:val="24"/>
        </w:rPr>
        <w:t></w:t>
      </w:r>
      <w:r w:rsidR="00631574" w:rsidRPr="0042065C">
        <w:rPr>
          <w:rFonts w:ascii="Times New Roman" w:hAnsi="Times New Roman" w:cs="Times New Roman"/>
          <w:sz w:val="24"/>
          <w:szCs w:val="24"/>
        </w:rPr>
        <w:t xml:space="preserve"> TCR-</w:t>
      </w:r>
      <w:r w:rsidR="0092433C" w:rsidRPr="0042065C">
        <w:rPr>
          <w:rFonts w:ascii="Times New Roman" w:hAnsi="Times New Roman" w:cs="Times New Roman"/>
          <w:sz w:val="24"/>
          <w:szCs w:val="24"/>
        </w:rPr>
        <w:t>phycoerythrin (</w:t>
      </w:r>
      <w:r w:rsidR="00290DDA" w:rsidRPr="0042065C">
        <w:rPr>
          <w:rFonts w:ascii="Times New Roman" w:hAnsi="Times New Roman" w:cs="Times New Roman"/>
          <w:sz w:val="24"/>
          <w:szCs w:val="24"/>
        </w:rPr>
        <w:t>PE</w:t>
      </w:r>
      <w:r w:rsidR="0092433C" w:rsidRPr="0042065C">
        <w:rPr>
          <w:rFonts w:ascii="Times New Roman" w:hAnsi="Times New Roman" w:cs="Times New Roman"/>
          <w:sz w:val="24"/>
          <w:szCs w:val="24"/>
        </w:rPr>
        <w:t>)</w:t>
      </w:r>
      <w:r w:rsidR="00631574" w:rsidRPr="0042065C">
        <w:rPr>
          <w:rFonts w:ascii="Times New Roman" w:hAnsi="Times New Roman" w:cs="Times New Roman"/>
          <w:sz w:val="24"/>
          <w:szCs w:val="24"/>
        </w:rPr>
        <w:t xml:space="preserve"> conjugated antibody. Percentages of cells were obtained by manual flow cytometric gating method. Data are shown as the average of five different mice in each group (± S.D).</w:t>
      </w:r>
    </w:p>
    <w:p w14:paraId="0F35C35D" w14:textId="77777777" w:rsidR="00631574" w:rsidRPr="00D31B85" w:rsidRDefault="00631574" w:rsidP="0092433C">
      <w:pPr>
        <w:wordWrap/>
        <w:spacing w:after="0" w:line="360" w:lineRule="auto"/>
        <w:rPr>
          <w:rFonts w:ascii="Times New Roman" w:hAnsi="Times New Roman" w:cs="Times New Roman"/>
          <w:sz w:val="24"/>
          <w:szCs w:val="24"/>
        </w:rPr>
      </w:pPr>
    </w:p>
    <w:p w14:paraId="3A663745" w14:textId="77777777" w:rsidR="0092433C" w:rsidRDefault="00D31B85" w:rsidP="0092433C">
      <w:pPr>
        <w:widowControl/>
        <w:wordWrap/>
        <w:autoSpaceDE/>
        <w:autoSpaceDN/>
        <w:spacing w:after="0" w:line="360" w:lineRule="auto"/>
        <w:rPr>
          <w:rFonts w:ascii="Times New Roman" w:hAnsi="Times New Roman" w:cs="Times New Roman"/>
          <w:b/>
          <w:sz w:val="24"/>
          <w:szCs w:val="24"/>
        </w:rPr>
      </w:pPr>
      <w:r w:rsidRPr="0084503F">
        <w:rPr>
          <w:rFonts w:ascii="Times New Roman" w:hAnsi="Times New Roman" w:cs="Times New Roman"/>
          <w:b/>
          <w:sz w:val="24"/>
          <w:szCs w:val="24"/>
        </w:rPr>
        <w:t>Construction of human delta-like 1 (Dlk1) retroviral vector</w:t>
      </w:r>
    </w:p>
    <w:p w14:paraId="08C6DB22" w14:textId="39A80762" w:rsidR="00D31B85" w:rsidRPr="0042065C" w:rsidRDefault="00D31B85" w:rsidP="0092433C">
      <w:pPr>
        <w:widowControl/>
        <w:wordWrap/>
        <w:autoSpaceDE/>
        <w:autoSpaceDN/>
        <w:spacing w:after="0" w:line="360" w:lineRule="auto"/>
        <w:rPr>
          <w:rFonts w:ascii="Times New Roman" w:hAnsi="Times New Roman" w:cs="Times New Roman"/>
          <w:b/>
          <w:sz w:val="24"/>
          <w:szCs w:val="24"/>
        </w:rPr>
      </w:pPr>
      <w:r w:rsidRPr="0084503F">
        <w:rPr>
          <w:rFonts w:ascii="Times New Roman" w:hAnsi="Times New Roman" w:cs="Times New Roman"/>
          <w:sz w:val="24"/>
          <w:szCs w:val="24"/>
        </w:rPr>
        <w:t>Human Dlk1 cDNA was synthesized from total RNA extracted from AFT024 cells expressing human Dlk1. cDNA synthesized was performed using 1 μg of purified total RNA in a reaction volume of 20 μl containing 250 mM Tri-HCl, pH 8.3, 375 mM KCl, 15 mM MgCl</w:t>
      </w:r>
      <w:r w:rsidRPr="0084503F">
        <w:rPr>
          <w:rFonts w:ascii="Times New Roman" w:hAnsi="Times New Roman" w:cs="Times New Roman"/>
          <w:sz w:val="24"/>
          <w:szCs w:val="24"/>
          <w:vertAlign w:val="subscript"/>
        </w:rPr>
        <w:t>2</w:t>
      </w:r>
      <w:r w:rsidRPr="0084503F">
        <w:rPr>
          <w:rFonts w:ascii="Times New Roman" w:hAnsi="Times New Roman" w:cs="Times New Roman"/>
          <w:sz w:val="24"/>
          <w:szCs w:val="24"/>
        </w:rPr>
        <w:t xml:space="preserve">, 0.1 M </w:t>
      </w:r>
      <w:r w:rsidRPr="0042065C">
        <w:rPr>
          <w:rFonts w:ascii="Times New Roman" w:hAnsi="Times New Roman" w:cs="Times New Roman"/>
          <w:sz w:val="24"/>
          <w:szCs w:val="24"/>
        </w:rPr>
        <w:lastRenderedPageBreak/>
        <w:t>DTT, 10 mM each dNTP, 20 units of RNase inhibitor, 0.5 μg/μl oligo(dT)12-18 primer, and 200 units of SuperScript reverse transcriptase (Invitrogen). RT reaction was performed at 37°C for 1 hr. Synthesized cDNA samples were purified using a QIAquick PCR Purification Kit (Qiagen GmbH) and used as a template for PCR. PCR primers for hDlk1 (accession number: MN003836) were specifically designed as follows: forward, 5’-GGGTCCATGACCGCGACCGAAGCC-3’; reverse, 5’-CCTAGGTTAGATCTCCTCGTCGCC-3’. All amplicons were cloned into BamHI and AvrII sites of a pLXRN retroviral vector (Clontech Laboratories). The pLXRN vector and the purified hDlk1 DNA were linearized with BamHI and AvrII to prepare compatible ends for ligation using T4 DNA ligase (New England Biolabs)</w:t>
      </w:r>
      <w:r w:rsidR="00631574" w:rsidRPr="0042065C">
        <w:rPr>
          <w:rFonts w:ascii="Times New Roman" w:hAnsi="Times New Roman" w:cs="Times New Roman"/>
          <w:sz w:val="24"/>
          <w:szCs w:val="24"/>
        </w:rPr>
        <w:t>.</w:t>
      </w:r>
    </w:p>
    <w:p w14:paraId="4FD16684" w14:textId="77777777" w:rsidR="00631574" w:rsidRDefault="00631574" w:rsidP="0092433C">
      <w:pPr>
        <w:wordWrap/>
        <w:spacing w:after="0" w:line="360" w:lineRule="auto"/>
        <w:rPr>
          <w:rFonts w:ascii="Times New Roman" w:hAnsi="Times New Roman" w:cs="Times New Roman"/>
          <w:sz w:val="24"/>
          <w:szCs w:val="24"/>
        </w:rPr>
      </w:pPr>
    </w:p>
    <w:p w14:paraId="2F56B484" w14:textId="77777777" w:rsidR="00631574" w:rsidRPr="0084503F" w:rsidRDefault="00631574" w:rsidP="0092433C">
      <w:pPr>
        <w:widowControl/>
        <w:wordWrap/>
        <w:autoSpaceDE/>
        <w:autoSpaceDN/>
        <w:spacing w:after="0" w:line="360" w:lineRule="auto"/>
        <w:rPr>
          <w:rFonts w:ascii="Times New Roman" w:hAnsi="Times New Roman" w:cs="Times New Roman"/>
          <w:b/>
          <w:sz w:val="24"/>
          <w:szCs w:val="24"/>
        </w:rPr>
      </w:pPr>
      <w:r w:rsidRPr="0084503F">
        <w:rPr>
          <w:rFonts w:ascii="Times New Roman" w:hAnsi="Times New Roman" w:cs="Times New Roman"/>
          <w:b/>
          <w:sz w:val="24"/>
          <w:szCs w:val="24"/>
        </w:rPr>
        <w:t>BrdU-labeling assay</w:t>
      </w:r>
    </w:p>
    <w:p w14:paraId="2C57E846" w14:textId="551F769A" w:rsidR="00631574" w:rsidRPr="0042065C" w:rsidRDefault="00631574" w:rsidP="0092433C">
      <w:pPr>
        <w:widowControl/>
        <w:wordWrap/>
        <w:autoSpaceDE/>
        <w:autoSpaceDN/>
        <w:spacing w:after="0" w:line="360" w:lineRule="auto"/>
        <w:rPr>
          <w:rFonts w:ascii="Times New Roman" w:hAnsi="Times New Roman" w:cs="Times New Roman"/>
          <w:sz w:val="24"/>
          <w:szCs w:val="24"/>
        </w:rPr>
      </w:pPr>
      <w:r w:rsidRPr="0084503F">
        <w:rPr>
          <w:rFonts w:ascii="Times New Roman" w:hAnsi="Times New Roman" w:cs="Times New Roman"/>
          <w:sz w:val="24"/>
          <w:szCs w:val="24"/>
        </w:rPr>
        <w:t>Spleen was isolated from humanized mice generated using hCD34</w:t>
      </w:r>
      <w:r w:rsidRPr="0084503F">
        <w:rPr>
          <w:rFonts w:ascii="Times New Roman" w:hAnsi="Times New Roman" w:cs="Times New Roman"/>
          <w:sz w:val="24"/>
          <w:szCs w:val="24"/>
          <w:vertAlign w:val="superscript"/>
        </w:rPr>
        <w:t>+</w:t>
      </w:r>
      <w:r w:rsidRPr="0084503F">
        <w:rPr>
          <w:rFonts w:ascii="Times New Roman" w:hAnsi="Times New Roman" w:cs="Times New Roman"/>
          <w:sz w:val="24"/>
          <w:szCs w:val="24"/>
        </w:rPr>
        <w:t xml:space="preserve"> CB cells together with hDlk1-expressing MSCs. To remove red blood cells (RBCs), cells were treated with 1X RBC Lysis Buffer (eBioscience) according to the manufacturer's instructions. Single-cell suspensions were prepared. MNCs were then isolated by Ficoll-Hypaque density gradient centrifugation. hCD3</w:t>
      </w:r>
      <w:r w:rsidRPr="0084503F">
        <w:rPr>
          <w:rFonts w:ascii="Times New Roman" w:hAnsi="Times New Roman" w:cs="Times New Roman"/>
          <w:sz w:val="24"/>
          <w:szCs w:val="24"/>
          <w:vertAlign w:val="superscript"/>
        </w:rPr>
        <w:t>+</w:t>
      </w:r>
      <w:r w:rsidRPr="0084503F">
        <w:rPr>
          <w:rFonts w:ascii="Times New Roman" w:hAnsi="Times New Roman" w:cs="Times New Roman"/>
          <w:sz w:val="24"/>
          <w:szCs w:val="24"/>
        </w:rPr>
        <w:t xml:space="preserve"> T cells were sorted using either a MACS human CD3 MicroBead Kit (Miltenyi Biotec, GlodBach, Germany) or an autoMACS™ Cell Separator (Miltenyi Biotec) according to the manufacturer's instructions. For BrdU-labeling assay, we used Bromo-2'-deoxy-uridine Labeling and Detection Kit (Roche) according to the manufacturer's instructions. Briefly, 2 × 10</w:t>
      </w:r>
      <w:r w:rsidRPr="0084503F">
        <w:rPr>
          <w:rFonts w:ascii="Times New Roman" w:hAnsi="Times New Roman" w:cs="Times New Roman"/>
          <w:sz w:val="24"/>
          <w:szCs w:val="24"/>
          <w:vertAlign w:val="superscript"/>
        </w:rPr>
        <w:t>5</w:t>
      </w:r>
      <w:r w:rsidRPr="0084503F">
        <w:rPr>
          <w:rFonts w:ascii="Times New Roman" w:hAnsi="Times New Roman" w:cs="Times New Roman"/>
          <w:sz w:val="24"/>
          <w:szCs w:val="24"/>
        </w:rPr>
        <w:t xml:space="preserve"> hCD3</w:t>
      </w:r>
      <w:r w:rsidRPr="0084503F">
        <w:rPr>
          <w:rFonts w:ascii="Times New Roman" w:hAnsi="Times New Roman" w:cs="Times New Roman"/>
          <w:sz w:val="24"/>
          <w:szCs w:val="24"/>
          <w:vertAlign w:val="superscript"/>
        </w:rPr>
        <w:t xml:space="preserve">+ </w:t>
      </w:r>
      <w:r w:rsidRPr="0084503F">
        <w:rPr>
          <w:rFonts w:ascii="Times New Roman" w:hAnsi="Times New Roman" w:cs="Times New Roman"/>
          <w:sz w:val="24"/>
          <w:szCs w:val="24"/>
        </w:rPr>
        <w:t>cells were cultured with 1 × 10</w:t>
      </w:r>
      <w:r w:rsidRPr="0084503F">
        <w:rPr>
          <w:rFonts w:ascii="Times New Roman" w:hAnsi="Times New Roman" w:cs="Times New Roman"/>
          <w:sz w:val="24"/>
          <w:szCs w:val="24"/>
          <w:vertAlign w:val="superscript"/>
        </w:rPr>
        <w:t>5</w:t>
      </w:r>
      <w:r w:rsidRPr="0084503F">
        <w:rPr>
          <w:rFonts w:ascii="Times New Roman" w:hAnsi="Times New Roman" w:cs="Times New Roman"/>
          <w:sz w:val="24"/>
          <w:szCs w:val="24"/>
        </w:rPr>
        <w:t xml:space="preserve"> MSCs or Dlk1-expressing MSCs irradiated at 30 Gy in the presence of hIL-2 (20 Unit /ml). At 3 days after culture, cells were stained with BrdU according to the manufacturer's instructions.</w:t>
      </w:r>
      <w:r>
        <w:rPr>
          <w:rFonts w:ascii="Times New Roman" w:hAnsi="Times New Roman" w:cs="Times New Roman"/>
          <w:sz w:val="24"/>
          <w:szCs w:val="24"/>
        </w:rPr>
        <w:t xml:space="preserve"> Cells were stained with anti-</w:t>
      </w:r>
      <w:r w:rsidRPr="0042065C">
        <w:rPr>
          <w:rFonts w:ascii="Times New Roman" w:hAnsi="Times New Roman" w:cs="Times New Roman"/>
          <w:sz w:val="24"/>
          <w:szCs w:val="24"/>
        </w:rPr>
        <w:t>hCD3</w:t>
      </w:r>
      <w:r w:rsidR="00320665" w:rsidRPr="0042065C">
        <w:rPr>
          <w:rFonts w:ascii="Times New Roman" w:hAnsi="Times New Roman" w:cs="Times New Roman"/>
          <w:sz w:val="24"/>
          <w:szCs w:val="24"/>
        </w:rPr>
        <w:t>-</w:t>
      </w:r>
      <w:r w:rsidR="0092433C" w:rsidRPr="0042065C">
        <w:rPr>
          <w:rFonts w:ascii="Times New Roman" w:hAnsi="Times New Roman" w:cs="Times New Roman"/>
          <w:sz w:val="24"/>
          <w:szCs w:val="24"/>
        </w:rPr>
        <w:t xml:space="preserve"> </w:t>
      </w:r>
      <w:r w:rsidR="00320665" w:rsidRPr="0042065C">
        <w:rPr>
          <w:rFonts w:ascii="Times New Roman" w:hAnsi="Times New Roman" w:cs="Times New Roman"/>
          <w:sz w:val="24"/>
          <w:szCs w:val="24"/>
        </w:rPr>
        <w:t xml:space="preserve">PerCP-Cy5.5 or anti-BrdU-FITC conjugated antibody. </w:t>
      </w:r>
      <w:r w:rsidRPr="0042065C">
        <w:rPr>
          <w:rFonts w:ascii="Times New Roman" w:hAnsi="Times New Roman" w:cs="Times New Roman"/>
          <w:sz w:val="24"/>
          <w:szCs w:val="24"/>
        </w:rPr>
        <w:t>Flow cytometry analysis was performed on a FACSAria (BD Biosciences). Ten thousand to 1,000,000 events were acquired per sample and analyzed using FACSDiva (BD Biosciences) or FlowJo (</w:t>
      </w:r>
      <w:r w:rsidR="0092433C" w:rsidRPr="0042065C">
        <w:rPr>
          <w:rFonts w:ascii="Times New Roman" w:hAnsi="Times New Roman" w:cs="Times New Roman"/>
          <w:sz w:val="24"/>
          <w:szCs w:val="24"/>
        </w:rPr>
        <w:t>BD Biosciences</w:t>
      </w:r>
      <w:r w:rsidRPr="0042065C">
        <w:rPr>
          <w:rFonts w:ascii="Times New Roman" w:hAnsi="Times New Roman" w:cs="Times New Roman"/>
          <w:sz w:val="24"/>
          <w:szCs w:val="24"/>
        </w:rPr>
        <w:t>) software.</w:t>
      </w:r>
      <w:r w:rsidR="00320665" w:rsidRPr="0042065C">
        <w:rPr>
          <w:rFonts w:ascii="Times New Roman" w:hAnsi="Times New Roman" w:cs="Times New Roman"/>
          <w:sz w:val="24"/>
          <w:szCs w:val="24"/>
        </w:rPr>
        <w:t xml:space="preserve"> Percentages of cells were obtained by manual flow cytometric gating method. Data are shown as the average of </w:t>
      </w:r>
      <w:r w:rsidR="0092433C" w:rsidRPr="0042065C">
        <w:rPr>
          <w:rFonts w:ascii="Times New Roman" w:hAnsi="Times New Roman" w:cs="Times New Roman"/>
          <w:sz w:val="24"/>
          <w:szCs w:val="24"/>
        </w:rPr>
        <w:t xml:space="preserve">three </w:t>
      </w:r>
      <w:r w:rsidR="00320665" w:rsidRPr="0042065C">
        <w:rPr>
          <w:rFonts w:ascii="Times New Roman" w:hAnsi="Times New Roman" w:cs="Times New Roman"/>
          <w:sz w:val="24"/>
          <w:szCs w:val="24"/>
        </w:rPr>
        <w:t>different experimental samples (± S.D).</w:t>
      </w:r>
    </w:p>
    <w:p w14:paraId="3315DA9F" w14:textId="6870D615" w:rsidR="0092433C" w:rsidRPr="0042065C" w:rsidRDefault="0092433C" w:rsidP="0092433C">
      <w:pPr>
        <w:widowControl/>
        <w:wordWrap/>
        <w:autoSpaceDE/>
        <w:autoSpaceDN/>
        <w:spacing w:after="0" w:line="360" w:lineRule="auto"/>
        <w:rPr>
          <w:rFonts w:ascii="Times New Roman" w:hAnsi="Times New Roman" w:cs="Times New Roman"/>
          <w:sz w:val="24"/>
          <w:szCs w:val="24"/>
        </w:rPr>
      </w:pPr>
    </w:p>
    <w:p w14:paraId="4BD1D90B" w14:textId="4C8046AC" w:rsidR="0092433C" w:rsidRPr="0042065C" w:rsidRDefault="0092433C" w:rsidP="0092433C">
      <w:pPr>
        <w:widowControl/>
        <w:wordWrap/>
        <w:autoSpaceDE/>
        <w:autoSpaceDN/>
        <w:spacing w:after="0" w:line="360" w:lineRule="auto"/>
        <w:rPr>
          <w:rFonts w:ascii="Times New Roman" w:hAnsi="Times New Roman" w:cs="Times New Roman"/>
          <w:sz w:val="24"/>
          <w:szCs w:val="24"/>
        </w:rPr>
      </w:pPr>
    </w:p>
    <w:p w14:paraId="70241FDB" w14:textId="34E6F990" w:rsidR="0092433C" w:rsidRDefault="0092433C" w:rsidP="0092433C">
      <w:pPr>
        <w:widowControl/>
        <w:wordWrap/>
        <w:autoSpaceDE/>
        <w:autoSpaceDN/>
        <w:spacing w:after="0" w:line="360" w:lineRule="auto"/>
        <w:rPr>
          <w:rFonts w:ascii="Times New Roman" w:hAnsi="Times New Roman" w:cs="Times New Roman"/>
          <w:sz w:val="24"/>
          <w:szCs w:val="24"/>
        </w:rPr>
      </w:pPr>
    </w:p>
    <w:p w14:paraId="1C00DD76" w14:textId="77777777" w:rsidR="0092433C" w:rsidRPr="0084503F" w:rsidRDefault="0092433C" w:rsidP="0092433C">
      <w:pPr>
        <w:widowControl/>
        <w:wordWrap/>
        <w:autoSpaceDE/>
        <w:autoSpaceDN/>
        <w:spacing w:after="0" w:line="360" w:lineRule="auto"/>
        <w:rPr>
          <w:rFonts w:ascii="Times New Roman" w:hAnsi="Times New Roman" w:cs="Times New Roman"/>
          <w:sz w:val="24"/>
          <w:szCs w:val="24"/>
        </w:rPr>
      </w:pPr>
    </w:p>
    <w:p w14:paraId="4376815F" w14:textId="39B6BEF4" w:rsidR="00631574" w:rsidRDefault="00EA7466" w:rsidP="0092433C">
      <w:pPr>
        <w:wordWrap/>
        <w:spacing w:after="0" w:line="360" w:lineRule="auto"/>
        <w:rPr>
          <w:rFonts w:ascii="Times New Roman" w:hAnsi="Times New Roman" w:cs="Times New Roman"/>
          <w:b/>
          <w:sz w:val="28"/>
          <w:szCs w:val="28"/>
          <w:u w:val="single"/>
        </w:rPr>
      </w:pPr>
      <w:r w:rsidRPr="00EA7466">
        <w:rPr>
          <w:rFonts w:ascii="Times New Roman" w:hAnsi="Times New Roman" w:cs="Times New Roman"/>
          <w:b/>
          <w:sz w:val="28"/>
          <w:szCs w:val="28"/>
          <w:u w:val="single"/>
        </w:rPr>
        <w:t>Supplementary Results</w:t>
      </w:r>
    </w:p>
    <w:p w14:paraId="3462BEA1" w14:textId="77777777" w:rsidR="00EA7466" w:rsidRPr="00EA7466" w:rsidRDefault="00EA7466" w:rsidP="0092433C">
      <w:pPr>
        <w:wordWrap/>
        <w:spacing w:after="0" w:line="360" w:lineRule="auto"/>
        <w:rPr>
          <w:rFonts w:ascii="Times New Roman" w:hAnsi="Times New Roman" w:cs="Times New Roman"/>
          <w:b/>
          <w:sz w:val="28"/>
          <w:szCs w:val="28"/>
          <w:u w:val="single"/>
        </w:rPr>
      </w:pPr>
    </w:p>
    <w:p w14:paraId="344DFF57" w14:textId="1DA374B3" w:rsidR="007809B6" w:rsidRDefault="00EA7466" w:rsidP="0092433C">
      <w:pPr>
        <w:wordWrap/>
        <w:spacing w:after="0" w:line="360" w:lineRule="auto"/>
        <w:rPr>
          <w:rFonts w:ascii="Times New Roman" w:hAnsi="Times New Roman" w:cs="Times New Roman"/>
          <w:b/>
          <w:sz w:val="24"/>
          <w:szCs w:val="24"/>
        </w:rPr>
      </w:pPr>
      <w:r w:rsidRPr="00EA7466">
        <w:rPr>
          <w:rFonts w:ascii="Times New Roman" w:hAnsi="Times New Roman" w:cs="Times New Roman"/>
          <w:b/>
          <w:noProof/>
          <w:sz w:val="24"/>
          <w:szCs w:val="24"/>
        </w:rPr>
        <w:drawing>
          <wp:inline distT="0" distB="0" distL="0" distR="0" wp14:anchorId="0357ECCA" wp14:editId="69F3C4B0">
            <wp:extent cx="5731510" cy="4060934"/>
            <wp:effectExtent l="0" t="0" r="254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4060934"/>
                    </a:xfrm>
                    <a:prstGeom prst="rect">
                      <a:avLst/>
                    </a:prstGeom>
                    <a:noFill/>
                    <a:ln>
                      <a:noFill/>
                    </a:ln>
                  </pic:spPr>
                </pic:pic>
              </a:graphicData>
            </a:graphic>
          </wp:inline>
        </w:drawing>
      </w:r>
      <w:bookmarkStart w:id="0" w:name="_GoBack"/>
      <w:bookmarkEnd w:id="0"/>
    </w:p>
    <w:p w14:paraId="2F4980AD" w14:textId="256B7F05" w:rsidR="00320665" w:rsidRDefault="007809B6" w:rsidP="0092433C">
      <w:pPr>
        <w:wordWrap/>
        <w:spacing w:after="0" w:line="360" w:lineRule="auto"/>
        <w:rPr>
          <w:rFonts w:ascii="Times New Roman" w:hAnsi="Times New Roman" w:cs="Times New Roman"/>
          <w:sz w:val="24"/>
          <w:szCs w:val="24"/>
        </w:rPr>
      </w:pPr>
      <w:r>
        <w:rPr>
          <w:rFonts w:ascii="Times New Roman" w:hAnsi="Times New Roman" w:cs="Times New Roman" w:hint="eastAsia"/>
          <w:b/>
          <w:sz w:val="24"/>
          <w:szCs w:val="24"/>
        </w:rPr>
        <w:t>Fig</w:t>
      </w:r>
      <w:r w:rsidR="00EA7466">
        <w:rPr>
          <w:rFonts w:ascii="Times New Roman" w:hAnsi="Times New Roman" w:cs="Times New Roman" w:hint="eastAsia"/>
          <w:b/>
          <w:sz w:val="24"/>
          <w:szCs w:val="24"/>
        </w:rPr>
        <w:t>ure</w:t>
      </w:r>
      <w:r>
        <w:rPr>
          <w:rFonts w:ascii="Times New Roman" w:hAnsi="Times New Roman" w:cs="Times New Roman" w:hint="eastAsia"/>
          <w:b/>
          <w:sz w:val="24"/>
          <w:szCs w:val="24"/>
        </w:rPr>
        <w:t xml:space="preserve"> S1 </w:t>
      </w:r>
      <w:r>
        <w:rPr>
          <w:rFonts w:ascii="Times New Roman" w:hAnsi="Times New Roman" w:cs="Times New Roman"/>
          <w:b/>
          <w:sz w:val="24"/>
          <w:szCs w:val="24"/>
        </w:rPr>
        <w:t>Reconstitution of hCD45</w:t>
      </w:r>
      <w:r w:rsidRPr="00320665">
        <w:rPr>
          <w:rFonts w:ascii="Times New Roman" w:hAnsi="Times New Roman" w:cs="Times New Roman"/>
          <w:b/>
          <w:sz w:val="24"/>
          <w:szCs w:val="24"/>
          <w:vertAlign w:val="superscript"/>
        </w:rPr>
        <w:t>+</w:t>
      </w:r>
      <w:r>
        <w:rPr>
          <w:rFonts w:ascii="Times New Roman" w:hAnsi="Times New Roman" w:cs="Times New Roman"/>
          <w:b/>
          <w:sz w:val="24"/>
          <w:szCs w:val="24"/>
        </w:rPr>
        <w:t xml:space="preserve"> cells in the humanized mice. </w:t>
      </w:r>
      <w:r w:rsidRPr="007809B6">
        <w:rPr>
          <w:rFonts w:ascii="Times New Roman" w:hAnsi="Times New Roman" w:cs="Times New Roman"/>
          <w:sz w:val="24"/>
          <w:szCs w:val="24"/>
        </w:rPr>
        <w:t>(</w:t>
      </w:r>
      <w:r w:rsidRPr="007809B6">
        <w:rPr>
          <w:rFonts w:ascii="Times New Roman" w:hAnsi="Times New Roman" w:cs="Times New Roman"/>
          <w:b/>
          <w:sz w:val="24"/>
          <w:szCs w:val="24"/>
        </w:rPr>
        <w:t>a</w:t>
      </w:r>
      <w:r w:rsidRPr="007809B6">
        <w:rPr>
          <w:rFonts w:ascii="Times New Roman" w:hAnsi="Times New Roman" w:cs="Times New Roman"/>
          <w:sz w:val="24"/>
          <w:szCs w:val="24"/>
        </w:rPr>
        <w:t xml:space="preserve"> and </w:t>
      </w:r>
      <w:r w:rsidRPr="007809B6">
        <w:rPr>
          <w:rFonts w:ascii="Times New Roman" w:hAnsi="Times New Roman" w:cs="Times New Roman"/>
          <w:b/>
          <w:sz w:val="24"/>
          <w:szCs w:val="24"/>
        </w:rPr>
        <w:t>b</w:t>
      </w:r>
      <w:r w:rsidRPr="007809B6">
        <w:rPr>
          <w:rFonts w:ascii="Times New Roman" w:hAnsi="Times New Roman" w:cs="Times New Roman"/>
          <w:sz w:val="24"/>
          <w:szCs w:val="24"/>
        </w:rPr>
        <w:t>)</w:t>
      </w:r>
      <w:r>
        <w:rPr>
          <w:rFonts w:ascii="Times New Roman" w:hAnsi="Times New Roman" w:cs="Times New Roman"/>
          <w:b/>
          <w:sz w:val="24"/>
          <w:szCs w:val="24"/>
        </w:rPr>
        <w:t xml:space="preserve"> </w:t>
      </w:r>
      <w:r w:rsidRPr="0084503F">
        <w:rPr>
          <w:rFonts w:ascii="Times New Roman" w:hAnsi="Times New Roman" w:cs="Times New Roman"/>
          <w:sz w:val="24"/>
          <w:szCs w:val="24"/>
        </w:rPr>
        <w:t>Peripheral blood mononuclear cells (PBMCs) were collected from tail veins of humanized NSG mice</w:t>
      </w:r>
      <w:r>
        <w:rPr>
          <w:rFonts w:ascii="Times New Roman" w:hAnsi="Times New Roman" w:cs="Times New Roman"/>
          <w:sz w:val="24"/>
          <w:szCs w:val="24"/>
        </w:rPr>
        <w:t xml:space="preserve"> (</w:t>
      </w:r>
      <w:r w:rsidRPr="007809B6">
        <w:rPr>
          <w:rFonts w:ascii="Times New Roman" w:hAnsi="Times New Roman" w:cs="Times New Roman"/>
          <w:b/>
          <w:sz w:val="24"/>
          <w:szCs w:val="24"/>
        </w:rPr>
        <w:t>a</w:t>
      </w:r>
      <w:r>
        <w:rPr>
          <w:rFonts w:ascii="Times New Roman" w:hAnsi="Times New Roman" w:cs="Times New Roman"/>
          <w:sz w:val="24"/>
          <w:szCs w:val="24"/>
        </w:rPr>
        <w:t>, hCD34</w:t>
      </w:r>
      <w:r w:rsidRPr="007809B6">
        <w:rPr>
          <w:rFonts w:ascii="Times New Roman" w:hAnsi="Times New Roman" w:cs="Times New Roman"/>
          <w:sz w:val="24"/>
          <w:szCs w:val="24"/>
          <w:vertAlign w:val="superscript"/>
        </w:rPr>
        <w:t>+</w:t>
      </w:r>
      <w:r>
        <w:rPr>
          <w:rFonts w:ascii="Times New Roman" w:hAnsi="Times New Roman" w:cs="Times New Roman"/>
          <w:sz w:val="24"/>
          <w:szCs w:val="24"/>
        </w:rPr>
        <w:t xml:space="preserve"> CB cell alone; </w:t>
      </w:r>
      <w:r w:rsidRPr="007809B6">
        <w:rPr>
          <w:rFonts w:ascii="Times New Roman" w:hAnsi="Times New Roman" w:cs="Times New Roman"/>
          <w:b/>
          <w:sz w:val="24"/>
          <w:szCs w:val="24"/>
        </w:rPr>
        <w:t>b</w:t>
      </w:r>
      <w:r>
        <w:rPr>
          <w:rFonts w:ascii="Times New Roman" w:hAnsi="Times New Roman" w:cs="Times New Roman"/>
          <w:sz w:val="24"/>
          <w:szCs w:val="24"/>
        </w:rPr>
        <w:t>, FL-MSCs plus hCD34</w:t>
      </w:r>
      <w:r w:rsidRPr="007809B6">
        <w:rPr>
          <w:rFonts w:ascii="Times New Roman" w:hAnsi="Times New Roman" w:cs="Times New Roman"/>
          <w:sz w:val="24"/>
          <w:szCs w:val="24"/>
          <w:vertAlign w:val="superscript"/>
        </w:rPr>
        <w:t>+</w:t>
      </w:r>
      <w:r>
        <w:rPr>
          <w:rFonts w:ascii="Times New Roman" w:hAnsi="Times New Roman" w:cs="Times New Roman"/>
          <w:sz w:val="24"/>
          <w:szCs w:val="24"/>
        </w:rPr>
        <w:t xml:space="preserve"> CB cells)</w:t>
      </w:r>
      <w:r w:rsidRPr="0084503F">
        <w:rPr>
          <w:rFonts w:ascii="Times New Roman" w:hAnsi="Times New Roman" w:cs="Times New Roman"/>
          <w:sz w:val="24"/>
          <w:szCs w:val="24"/>
        </w:rPr>
        <w:t xml:space="preserve"> </w:t>
      </w:r>
      <w:r w:rsidRPr="0042065C">
        <w:rPr>
          <w:rFonts w:ascii="Times New Roman" w:hAnsi="Times New Roman" w:cs="Times New Roman"/>
          <w:sz w:val="24"/>
          <w:szCs w:val="24"/>
        </w:rPr>
        <w:t xml:space="preserve">at 8, 12, </w:t>
      </w:r>
      <w:r w:rsidR="00250112" w:rsidRPr="0042065C">
        <w:rPr>
          <w:rFonts w:ascii="Times New Roman" w:hAnsi="Times New Roman" w:cs="Times New Roman"/>
          <w:sz w:val="24"/>
          <w:szCs w:val="24"/>
        </w:rPr>
        <w:t xml:space="preserve">and </w:t>
      </w:r>
      <w:r w:rsidR="0042065C" w:rsidRPr="0042065C">
        <w:rPr>
          <w:rFonts w:ascii="Times New Roman" w:hAnsi="Times New Roman" w:cs="Times New Roman"/>
          <w:sz w:val="24"/>
          <w:szCs w:val="24"/>
        </w:rPr>
        <w:t xml:space="preserve">16 </w:t>
      </w:r>
      <w:r w:rsidRPr="0042065C">
        <w:rPr>
          <w:rFonts w:ascii="Times New Roman" w:hAnsi="Times New Roman" w:cs="Times New Roman"/>
          <w:sz w:val="24"/>
          <w:szCs w:val="24"/>
        </w:rPr>
        <w:t xml:space="preserve">weeks </w:t>
      </w:r>
      <w:r w:rsidRPr="0084503F">
        <w:rPr>
          <w:rFonts w:ascii="Times New Roman" w:hAnsi="Times New Roman" w:cs="Times New Roman"/>
          <w:sz w:val="24"/>
          <w:szCs w:val="24"/>
        </w:rPr>
        <w:t>after transplant</w:t>
      </w:r>
      <w:r>
        <w:rPr>
          <w:rFonts w:ascii="Times New Roman" w:hAnsi="Times New Roman" w:cs="Times New Roman"/>
          <w:sz w:val="24"/>
          <w:szCs w:val="24"/>
        </w:rPr>
        <w:t xml:space="preserve">, and stained with anti-hCD45 antibody, as described in </w:t>
      </w:r>
      <w:r w:rsidRPr="00320665">
        <w:rPr>
          <w:rFonts w:ascii="Times New Roman" w:hAnsi="Times New Roman" w:cs="Times New Roman"/>
          <w:sz w:val="24"/>
          <w:szCs w:val="24"/>
        </w:rPr>
        <w:t>the Supplementary Materials and Methods.</w:t>
      </w:r>
      <w:r>
        <w:rPr>
          <w:rFonts w:ascii="Times New Roman" w:hAnsi="Times New Roman" w:cs="Times New Roman"/>
          <w:sz w:val="24"/>
          <w:szCs w:val="24"/>
        </w:rPr>
        <w:t xml:space="preserve"> </w:t>
      </w:r>
      <w:r w:rsidRPr="0084503F">
        <w:rPr>
          <w:rFonts w:ascii="Times New Roman" w:hAnsi="Times New Roman" w:cs="Times New Roman"/>
          <w:sz w:val="24"/>
          <w:szCs w:val="24"/>
        </w:rPr>
        <w:t xml:space="preserve">Percentages of </w:t>
      </w:r>
      <w:r>
        <w:rPr>
          <w:rFonts w:ascii="Times New Roman" w:hAnsi="Times New Roman" w:cs="Times New Roman"/>
          <w:sz w:val="24"/>
          <w:szCs w:val="24"/>
        </w:rPr>
        <w:t>hCD45</w:t>
      </w:r>
      <w:r w:rsidRPr="00320665">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Pr="0084503F">
        <w:rPr>
          <w:rFonts w:ascii="Times New Roman" w:hAnsi="Times New Roman" w:cs="Times New Roman"/>
          <w:sz w:val="24"/>
          <w:szCs w:val="24"/>
        </w:rPr>
        <w:t>cells were obtained by manual flow cytometric gating method. Data are shown as the average of five different mice in each group (± S.D)</w:t>
      </w:r>
      <w:r>
        <w:rPr>
          <w:rFonts w:ascii="Times New Roman" w:hAnsi="Times New Roman" w:cs="Times New Roman"/>
          <w:sz w:val="24"/>
          <w:szCs w:val="24"/>
        </w:rPr>
        <w:t>.</w:t>
      </w:r>
    </w:p>
    <w:p w14:paraId="27F4B324" w14:textId="71893B20" w:rsidR="00EA7466" w:rsidRDefault="00EA7466">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8AE2CAB" w14:textId="3CE5F479" w:rsidR="00EA7466" w:rsidRDefault="00EA7466" w:rsidP="0092433C">
      <w:pPr>
        <w:wordWrap/>
        <w:spacing w:after="0" w:line="360" w:lineRule="auto"/>
        <w:rPr>
          <w:rFonts w:ascii="Times New Roman" w:hAnsi="Times New Roman" w:cs="Times New Roman"/>
          <w:sz w:val="24"/>
          <w:szCs w:val="24"/>
        </w:rPr>
      </w:pPr>
      <w:r w:rsidRPr="00EA7466">
        <w:rPr>
          <w:rFonts w:ascii="Times New Roman" w:hAnsi="Times New Roman" w:cs="Times New Roman"/>
          <w:noProof/>
          <w:sz w:val="24"/>
          <w:szCs w:val="24"/>
        </w:rPr>
        <w:lastRenderedPageBreak/>
        <w:drawing>
          <wp:inline distT="0" distB="0" distL="0" distR="0" wp14:anchorId="46974171" wp14:editId="07D16D8E">
            <wp:extent cx="5731510" cy="4308659"/>
            <wp:effectExtent l="0" t="0" r="254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308659"/>
                    </a:xfrm>
                    <a:prstGeom prst="rect">
                      <a:avLst/>
                    </a:prstGeom>
                    <a:noFill/>
                    <a:ln>
                      <a:noFill/>
                    </a:ln>
                  </pic:spPr>
                </pic:pic>
              </a:graphicData>
            </a:graphic>
          </wp:inline>
        </w:drawing>
      </w:r>
    </w:p>
    <w:p w14:paraId="31DA3F0C" w14:textId="77777777" w:rsidR="007809B6" w:rsidRDefault="007809B6" w:rsidP="0092433C">
      <w:pPr>
        <w:wordWrap/>
        <w:spacing w:after="0" w:line="360" w:lineRule="auto"/>
        <w:rPr>
          <w:rFonts w:ascii="Times New Roman" w:hAnsi="Times New Roman" w:cs="Times New Roman"/>
          <w:b/>
          <w:sz w:val="24"/>
          <w:szCs w:val="24"/>
        </w:rPr>
      </w:pPr>
    </w:p>
    <w:p w14:paraId="1CB16CCE" w14:textId="5BEB7707" w:rsidR="007809B6" w:rsidRPr="0042065C" w:rsidRDefault="00EA7466" w:rsidP="0092433C">
      <w:pPr>
        <w:wordWrap/>
        <w:spacing w:after="0" w:line="360" w:lineRule="auto"/>
        <w:rPr>
          <w:rFonts w:ascii="Times New Roman" w:hAnsi="Times New Roman" w:cs="Times New Roman"/>
          <w:sz w:val="24"/>
          <w:szCs w:val="24"/>
        </w:rPr>
      </w:pPr>
      <w:r>
        <w:rPr>
          <w:rFonts w:ascii="Times New Roman" w:hAnsi="Times New Roman" w:cs="Times New Roman" w:hint="eastAsia"/>
          <w:b/>
          <w:sz w:val="24"/>
          <w:szCs w:val="24"/>
        </w:rPr>
        <w:t>Figure</w:t>
      </w:r>
      <w:r w:rsidR="007809B6">
        <w:rPr>
          <w:rFonts w:ascii="Times New Roman" w:hAnsi="Times New Roman" w:cs="Times New Roman" w:hint="eastAsia"/>
          <w:b/>
          <w:sz w:val="24"/>
          <w:szCs w:val="24"/>
        </w:rPr>
        <w:t xml:space="preserve"> S2 </w:t>
      </w:r>
      <w:r w:rsidR="007809B6">
        <w:rPr>
          <w:rFonts w:ascii="Times New Roman" w:hAnsi="Times New Roman" w:cs="Times New Roman"/>
          <w:b/>
          <w:sz w:val="24"/>
          <w:szCs w:val="24"/>
        </w:rPr>
        <w:t>Reconstitution of hCD45</w:t>
      </w:r>
      <w:r w:rsidR="007809B6" w:rsidRPr="00320665">
        <w:rPr>
          <w:rFonts w:ascii="Times New Roman" w:hAnsi="Times New Roman" w:cs="Times New Roman"/>
          <w:b/>
          <w:sz w:val="24"/>
          <w:szCs w:val="24"/>
          <w:vertAlign w:val="superscript"/>
        </w:rPr>
        <w:t>+</w:t>
      </w:r>
      <w:r w:rsidR="007809B6">
        <w:rPr>
          <w:rFonts w:ascii="Times New Roman" w:hAnsi="Times New Roman" w:cs="Times New Roman"/>
          <w:b/>
          <w:sz w:val="24"/>
          <w:szCs w:val="24"/>
        </w:rPr>
        <w:t>hCD3</w:t>
      </w:r>
      <w:r w:rsidR="007809B6" w:rsidRPr="007809B6">
        <w:rPr>
          <w:rFonts w:ascii="Times New Roman" w:hAnsi="Times New Roman" w:cs="Times New Roman"/>
          <w:b/>
          <w:sz w:val="24"/>
          <w:szCs w:val="24"/>
          <w:vertAlign w:val="superscript"/>
        </w:rPr>
        <w:t>+</w:t>
      </w:r>
      <w:r w:rsidR="007809B6">
        <w:rPr>
          <w:rFonts w:ascii="Times New Roman" w:hAnsi="Times New Roman" w:cs="Times New Roman"/>
          <w:b/>
          <w:sz w:val="24"/>
          <w:szCs w:val="24"/>
        </w:rPr>
        <w:t xml:space="preserve"> cells in the humanized mice. </w:t>
      </w:r>
      <w:r w:rsidR="007809B6" w:rsidRPr="007809B6">
        <w:rPr>
          <w:rFonts w:ascii="Times New Roman" w:hAnsi="Times New Roman" w:cs="Times New Roman"/>
          <w:sz w:val="24"/>
          <w:szCs w:val="24"/>
        </w:rPr>
        <w:t>(</w:t>
      </w:r>
      <w:r w:rsidR="007809B6" w:rsidRPr="007809B6">
        <w:rPr>
          <w:rFonts w:ascii="Times New Roman" w:hAnsi="Times New Roman" w:cs="Times New Roman"/>
          <w:b/>
          <w:sz w:val="24"/>
          <w:szCs w:val="24"/>
        </w:rPr>
        <w:t>a</w:t>
      </w:r>
      <w:r w:rsidR="007809B6" w:rsidRPr="007809B6">
        <w:rPr>
          <w:rFonts w:ascii="Times New Roman" w:hAnsi="Times New Roman" w:cs="Times New Roman"/>
          <w:sz w:val="24"/>
          <w:szCs w:val="24"/>
        </w:rPr>
        <w:t xml:space="preserve"> and </w:t>
      </w:r>
      <w:r w:rsidR="007809B6" w:rsidRPr="007809B6">
        <w:rPr>
          <w:rFonts w:ascii="Times New Roman" w:hAnsi="Times New Roman" w:cs="Times New Roman"/>
          <w:b/>
          <w:sz w:val="24"/>
          <w:szCs w:val="24"/>
        </w:rPr>
        <w:t>b</w:t>
      </w:r>
      <w:r w:rsidR="007809B6" w:rsidRPr="007809B6">
        <w:rPr>
          <w:rFonts w:ascii="Times New Roman" w:hAnsi="Times New Roman" w:cs="Times New Roman"/>
          <w:sz w:val="24"/>
          <w:szCs w:val="24"/>
        </w:rPr>
        <w:t>)</w:t>
      </w:r>
      <w:r w:rsidR="007809B6">
        <w:rPr>
          <w:rFonts w:ascii="Times New Roman" w:hAnsi="Times New Roman" w:cs="Times New Roman"/>
          <w:b/>
          <w:sz w:val="24"/>
          <w:szCs w:val="24"/>
        </w:rPr>
        <w:t xml:space="preserve"> </w:t>
      </w:r>
      <w:r w:rsidR="007809B6" w:rsidRPr="0084503F">
        <w:rPr>
          <w:rFonts w:ascii="Times New Roman" w:hAnsi="Times New Roman" w:cs="Times New Roman"/>
          <w:sz w:val="24"/>
          <w:szCs w:val="24"/>
        </w:rPr>
        <w:t>Peripheral blood mononuclear cells (PBMCs) were collected from tail veins of humanized NSG mice</w:t>
      </w:r>
      <w:r w:rsidR="007809B6">
        <w:rPr>
          <w:rFonts w:ascii="Times New Roman" w:hAnsi="Times New Roman" w:cs="Times New Roman"/>
          <w:sz w:val="24"/>
          <w:szCs w:val="24"/>
        </w:rPr>
        <w:t xml:space="preserve"> (</w:t>
      </w:r>
      <w:r w:rsidR="007809B6" w:rsidRPr="007809B6">
        <w:rPr>
          <w:rFonts w:ascii="Times New Roman" w:hAnsi="Times New Roman" w:cs="Times New Roman"/>
          <w:b/>
          <w:sz w:val="24"/>
          <w:szCs w:val="24"/>
        </w:rPr>
        <w:t>a</w:t>
      </w:r>
      <w:r w:rsidR="007809B6">
        <w:rPr>
          <w:rFonts w:ascii="Times New Roman" w:hAnsi="Times New Roman" w:cs="Times New Roman"/>
          <w:sz w:val="24"/>
          <w:szCs w:val="24"/>
        </w:rPr>
        <w:t>, hCD34</w:t>
      </w:r>
      <w:r w:rsidR="007809B6" w:rsidRPr="007809B6">
        <w:rPr>
          <w:rFonts w:ascii="Times New Roman" w:hAnsi="Times New Roman" w:cs="Times New Roman"/>
          <w:sz w:val="24"/>
          <w:szCs w:val="24"/>
          <w:vertAlign w:val="superscript"/>
        </w:rPr>
        <w:t>+</w:t>
      </w:r>
      <w:r w:rsidR="007809B6">
        <w:rPr>
          <w:rFonts w:ascii="Times New Roman" w:hAnsi="Times New Roman" w:cs="Times New Roman"/>
          <w:sz w:val="24"/>
          <w:szCs w:val="24"/>
        </w:rPr>
        <w:t xml:space="preserve"> CB cell alone; </w:t>
      </w:r>
      <w:r w:rsidR="007809B6" w:rsidRPr="007809B6">
        <w:rPr>
          <w:rFonts w:ascii="Times New Roman" w:hAnsi="Times New Roman" w:cs="Times New Roman"/>
          <w:b/>
          <w:sz w:val="24"/>
          <w:szCs w:val="24"/>
        </w:rPr>
        <w:t>b</w:t>
      </w:r>
      <w:r w:rsidR="007809B6">
        <w:rPr>
          <w:rFonts w:ascii="Times New Roman" w:hAnsi="Times New Roman" w:cs="Times New Roman"/>
          <w:sz w:val="24"/>
          <w:szCs w:val="24"/>
        </w:rPr>
        <w:t>, FL-MSCs plus hCD34</w:t>
      </w:r>
      <w:r w:rsidR="007809B6" w:rsidRPr="007809B6">
        <w:rPr>
          <w:rFonts w:ascii="Times New Roman" w:hAnsi="Times New Roman" w:cs="Times New Roman"/>
          <w:sz w:val="24"/>
          <w:szCs w:val="24"/>
          <w:vertAlign w:val="superscript"/>
        </w:rPr>
        <w:t>+</w:t>
      </w:r>
      <w:r w:rsidR="007809B6">
        <w:rPr>
          <w:rFonts w:ascii="Times New Roman" w:hAnsi="Times New Roman" w:cs="Times New Roman"/>
          <w:sz w:val="24"/>
          <w:szCs w:val="24"/>
        </w:rPr>
        <w:t xml:space="preserve"> CB cells)</w:t>
      </w:r>
      <w:r w:rsidR="007809B6" w:rsidRPr="0084503F">
        <w:rPr>
          <w:rFonts w:ascii="Times New Roman" w:hAnsi="Times New Roman" w:cs="Times New Roman"/>
          <w:sz w:val="24"/>
          <w:szCs w:val="24"/>
        </w:rPr>
        <w:t xml:space="preserve"> </w:t>
      </w:r>
      <w:r w:rsidR="007809B6" w:rsidRPr="0042065C">
        <w:rPr>
          <w:rFonts w:ascii="Times New Roman" w:hAnsi="Times New Roman" w:cs="Times New Roman"/>
          <w:sz w:val="24"/>
          <w:szCs w:val="24"/>
        </w:rPr>
        <w:t xml:space="preserve">at 8, 12, </w:t>
      </w:r>
      <w:r w:rsidR="00250112" w:rsidRPr="0042065C">
        <w:rPr>
          <w:rFonts w:ascii="Times New Roman" w:hAnsi="Times New Roman" w:cs="Times New Roman"/>
          <w:sz w:val="24"/>
          <w:szCs w:val="24"/>
        </w:rPr>
        <w:t xml:space="preserve">and </w:t>
      </w:r>
      <w:r w:rsidR="0042065C" w:rsidRPr="0042065C">
        <w:rPr>
          <w:rFonts w:ascii="Times New Roman" w:hAnsi="Times New Roman" w:cs="Times New Roman"/>
          <w:sz w:val="24"/>
          <w:szCs w:val="24"/>
        </w:rPr>
        <w:t>16</w:t>
      </w:r>
      <w:r w:rsidR="00250112" w:rsidRPr="0042065C">
        <w:rPr>
          <w:rFonts w:ascii="Times New Roman" w:hAnsi="Times New Roman" w:cs="Times New Roman"/>
          <w:sz w:val="24"/>
          <w:szCs w:val="24"/>
        </w:rPr>
        <w:t xml:space="preserve"> weeks </w:t>
      </w:r>
      <w:r w:rsidR="007809B6" w:rsidRPr="0042065C">
        <w:rPr>
          <w:rFonts w:ascii="Times New Roman" w:hAnsi="Times New Roman" w:cs="Times New Roman"/>
          <w:sz w:val="24"/>
          <w:szCs w:val="24"/>
        </w:rPr>
        <w:t>after transplant, and stained with anti-hCD45 and anti-hCD3 antibodies, as described in the Supplementary Materials and Methods. Percentages of hCD45</w:t>
      </w:r>
      <w:r w:rsidR="007809B6" w:rsidRPr="0042065C">
        <w:rPr>
          <w:rFonts w:ascii="Times New Roman" w:hAnsi="Times New Roman" w:cs="Times New Roman"/>
          <w:sz w:val="24"/>
          <w:szCs w:val="24"/>
          <w:vertAlign w:val="superscript"/>
        </w:rPr>
        <w:t>+</w:t>
      </w:r>
      <w:r w:rsidR="007809B6" w:rsidRPr="0042065C">
        <w:rPr>
          <w:rFonts w:ascii="Times New Roman" w:hAnsi="Times New Roman" w:cs="Times New Roman"/>
          <w:sz w:val="24"/>
          <w:szCs w:val="24"/>
        </w:rPr>
        <w:t>hCD3</w:t>
      </w:r>
      <w:r w:rsidR="007809B6" w:rsidRPr="0042065C">
        <w:rPr>
          <w:rFonts w:ascii="Times New Roman" w:hAnsi="Times New Roman" w:cs="Times New Roman"/>
          <w:sz w:val="24"/>
          <w:szCs w:val="24"/>
          <w:vertAlign w:val="superscript"/>
        </w:rPr>
        <w:t>+</w:t>
      </w:r>
      <w:r w:rsidR="007809B6" w:rsidRPr="0042065C">
        <w:rPr>
          <w:rFonts w:ascii="Times New Roman" w:hAnsi="Times New Roman" w:cs="Times New Roman"/>
          <w:sz w:val="24"/>
          <w:szCs w:val="24"/>
        </w:rPr>
        <w:t xml:space="preserve"> cells were obtained by manual flow cytometric gating method. Data are shown as the average of five different mice in each group (± S.D).</w:t>
      </w:r>
    </w:p>
    <w:p w14:paraId="5DA7CC36" w14:textId="5A54EA09" w:rsidR="007809B6" w:rsidRDefault="007809B6" w:rsidP="0092433C">
      <w:pPr>
        <w:wordWrap/>
        <w:spacing w:after="0" w:line="360" w:lineRule="auto"/>
        <w:rPr>
          <w:rFonts w:ascii="Times New Roman" w:hAnsi="Times New Roman" w:cs="Times New Roman"/>
          <w:b/>
          <w:sz w:val="24"/>
          <w:szCs w:val="24"/>
        </w:rPr>
      </w:pPr>
    </w:p>
    <w:p w14:paraId="06A34D77" w14:textId="41DF7AD0" w:rsidR="006154FE" w:rsidRDefault="006154FE">
      <w:pPr>
        <w:widowControl/>
        <w:wordWrap/>
        <w:autoSpaceDE/>
        <w:autoSpaceDN/>
        <w:rPr>
          <w:rFonts w:ascii="Times New Roman" w:hAnsi="Times New Roman" w:cs="Times New Roman"/>
          <w:b/>
          <w:sz w:val="24"/>
          <w:szCs w:val="24"/>
        </w:rPr>
      </w:pPr>
      <w:r>
        <w:rPr>
          <w:rFonts w:ascii="Times New Roman" w:hAnsi="Times New Roman" w:cs="Times New Roman"/>
          <w:b/>
          <w:sz w:val="24"/>
          <w:szCs w:val="24"/>
        </w:rPr>
        <w:br w:type="page"/>
      </w:r>
    </w:p>
    <w:p w14:paraId="35775A53" w14:textId="55027B62" w:rsidR="006154FE" w:rsidRPr="0042065C" w:rsidRDefault="006154FE" w:rsidP="006154FE">
      <w:pPr>
        <w:wordWrap/>
        <w:spacing w:after="0" w:line="360" w:lineRule="auto"/>
        <w:jc w:val="center"/>
        <w:rPr>
          <w:rFonts w:ascii="Times New Roman" w:hAnsi="Times New Roman" w:cs="Times New Roman" w:hint="eastAsia"/>
          <w:b/>
          <w:sz w:val="24"/>
          <w:szCs w:val="24"/>
        </w:rPr>
      </w:pPr>
      <w:r w:rsidRPr="006154FE">
        <w:rPr>
          <w:rFonts w:ascii="Times New Roman" w:hAnsi="Times New Roman" w:cs="Times New Roman" w:hint="eastAsia"/>
          <w:b/>
          <w:noProof/>
          <w:sz w:val="24"/>
          <w:szCs w:val="24"/>
        </w:rPr>
        <w:lastRenderedPageBreak/>
        <w:drawing>
          <wp:inline distT="0" distB="0" distL="0" distR="0" wp14:anchorId="15CDEA42" wp14:editId="1FAD8501">
            <wp:extent cx="4432151" cy="4432151"/>
            <wp:effectExtent l="0" t="0" r="6985" b="698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6309" cy="4436309"/>
                    </a:xfrm>
                    <a:prstGeom prst="rect">
                      <a:avLst/>
                    </a:prstGeom>
                    <a:noFill/>
                    <a:ln>
                      <a:noFill/>
                    </a:ln>
                  </pic:spPr>
                </pic:pic>
              </a:graphicData>
            </a:graphic>
          </wp:inline>
        </w:drawing>
      </w:r>
    </w:p>
    <w:p w14:paraId="0952285C" w14:textId="0A72B65A" w:rsidR="00320665" w:rsidRPr="0042065C" w:rsidRDefault="00EA7466" w:rsidP="0092433C">
      <w:pPr>
        <w:wordWrap/>
        <w:spacing w:after="0" w:line="360" w:lineRule="auto"/>
        <w:rPr>
          <w:rFonts w:ascii="Times New Roman" w:hAnsi="Times New Roman" w:cs="Times New Roman"/>
          <w:sz w:val="24"/>
          <w:szCs w:val="24"/>
        </w:rPr>
      </w:pPr>
      <w:r>
        <w:rPr>
          <w:rFonts w:ascii="Times New Roman" w:hAnsi="Times New Roman" w:cs="Times New Roman"/>
          <w:b/>
          <w:sz w:val="24"/>
          <w:szCs w:val="24"/>
        </w:rPr>
        <w:t>Figure</w:t>
      </w:r>
      <w:r w:rsidR="007809B6" w:rsidRPr="0042065C">
        <w:rPr>
          <w:rFonts w:ascii="Times New Roman" w:hAnsi="Times New Roman" w:cs="Times New Roman"/>
          <w:b/>
          <w:sz w:val="24"/>
          <w:szCs w:val="24"/>
        </w:rPr>
        <w:t xml:space="preserve"> S3</w:t>
      </w:r>
      <w:r w:rsidR="00320665" w:rsidRPr="0042065C">
        <w:rPr>
          <w:rFonts w:ascii="Times New Roman" w:hAnsi="Times New Roman" w:cs="Times New Roman"/>
          <w:b/>
          <w:sz w:val="24"/>
          <w:szCs w:val="24"/>
        </w:rPr>
        <w:t xml:space="preserve"> Reconstitution of hCD45</w:t>
      </w:r>
      <w:r w:rsidR="00320665" w:rsidRPr="0042065C">
        <w:rPr>
          <w:rFonts w:ascii="Times New Roman" w:hAnsi="Times New Roman" w:cs="Times New Roman"/>
          <w:b/>
          <w:sz w:val="24"/>
          <w:szCs w:val="24"/>
          <w:vertAlign w:val="superscript"/>
        </w:rPr>
        <w:t>+</w:t>
      </w:r>
      <w:r w:rsidR="0068476B" w:rsidRPr="0042065C">
        <w:rPr>
          <w:rFonts w:ascii="Times New Roman" w:hAnsi="Times New Roman" w:cs="Times New Roman"/>
          <w:b/>
          <w:sz w:val="24"/>
          <w:szCs w:val="24"/>
        </w:rPr>
        <w:t>hCD19</w:t>
      </w:r>
      <w:r w:rsidR="0068476B" w:rsidRPr="0042065C">
        <w:rPr>
          <w:rFonts w:ascii="Times New Roman" w:hAnsi="Times New Roman" w:cs="Times New Roman"/>
          <w:b/>
          <w:sz w:val="24"/>
          <w:szCs w:val="24"/>
          <w:vertAlign w:val="superscript"/>
        </w:rPr>
        <w:t>+</w:t>
      </w:r>
      <w:r w:rsidR="00320665" w:rsidRPr="0042065C">
        <w:rPr>
          <w:rFonts w:ascii="Times New Roman" w:hAnsi="Times New Roman" w:cs="Times New Roman"/>
          <w:b/>
          <w:sz w:val="24"/>
          <w:szCs w:val="24"/>
        </w:rPr>
        <w:t xml:space="preserve"> cells in the </w:t>
      </w:r>
      <w:r w:rsidR="00320665">
        <w:rPr>
          <w:rFonts w:ascii="Times New Roman" w:hAnsi="Times New Roman" w:cs="Times New Roman"/>
          <w:b/>
          <w:sz w:val="24"/>
          <w:szCs w:val="24"/>
        </w:rPr>
        <w:t xml:space="preserve">humanized mice. </w:t>
      </w:r>
      <w:r w:rsidR="00320665" w:rsidRPr="0084503F">
        <w:rPr>
          <w:rFonts w:ascii="Times New Roman" w:hAnsi="Times New Roman" w:cs="Times New Roman"/>
          <w:sz w:val="24"/>
          <w:szCs w:val="24"/>
        </w:rPr>
        <w:t xml:space="preserve">Peripheral blood mononuclear cells (PBMCs) were collected from tail veins of humanized NSG mice </w:t>
      </w:r>
      <w:r w:rsidR="00320665" w:rsidRPr="0042065C">
        <w:rPr>
          <w:rFonts w:ascii="Times New Roman" w:hAnsi="Times New Roman" w:cs="Times New Roman"/>
          <w:sz w:val="24"/>
          <w:szCs w:val="24"/>
        </w:rPr>
        <w:t>at 8, 12,</w:t>
      </w:r>
      <w:r w:rsidR="0068476B" w:rsidRPr="0042065C">
        <w:rPr>
          <w:rFonts w:ascii="Times New Roman" w:hAnsi="Times New Roman" w:cs="Times New Roman"/>
          <w:sz w:val="24"/>
          <w:szCs w:val="24"/>
        </w:rPr>
        <w:t xml:space="preserve"> and 16 weeks</w:t>
      </w:r>
      <w:r w:rsidR="00320665" w:rsidRPr="0042065C">
        <w:rPr>
          <w:rFonts w:ascii="Times New Roman" w:hAnsi="Times New Roman" w:cs="Times New Roman"/>
          <w:sz w:val="24"/>
          <w:szCs w:val="24"/>
        </w:rPr>
        <w:t xml:space="preserve"> after transplant, and stained with </w:t>
      </w:r>
      <w:r w:rsidR="007809B6" w:rsidRPr="0042065C">
        <w:rPr>
          <w:rFonts w:ascii="Times New Roman" w:hAnsi="Times New Roman" w:cs="Times New Roman"/>
          <w:sz w:val="24"/>
          <w:szCs w:val="24"/>
        </w:rPr>
        <w:t>anti-</w:t>
      </w:r>
      <w:r w:rsidR="00320665" w:rsidRPr="0042065C">
        <w:rPr>
          <w:rFonts w:ascii="Times New Roman" w:hAnsi="Times New Roman" w:cs="Times New Roman"/>
          <w:sz w:val="24"/>
          <w:szCs w:val="24"/>
        </w:rPr>
        <w:t xml:space="preserve">hCD45 and </w:t>
      </w:r>
      <w:r w:rsidR="007809B6" w:rsidRPr="0042065C">
        <w:rPr>
          <w:rFonts w:ascii="Times New Roman" w:hAnsi="Times New Roman" w:cs="Times New Roman"/>
          <w:sz w:val="24"/>
          <w:szCs w:val="24"/>
        </w:rPr>
        <w:t>anti-</w:t>
      </w:r>
      <w:r w:rsidR="00320665" w:rsidRPr="0042065C">
        <w:rPr>
          <w:rFonts w:ascii="Times New Roman" w:hAnsi="Times New Roman" w:cs="Times New Roman"/>
          <w:sz w:val="24"/>
          <w:szCs w:val="24"/>
        </w:rPr>
        <w:t>hCD19 antibodi</w:t>
      </w:r>
      <w:r w:rsidR="00320665">
        <w:rPr>
          <w:rFonts w:ascii="Times New Roman" w:hAnsi="Times New Roman" w:cs="Times New Roman"/>
          <w:sz w:val="24"/>
          <w:szCs w:val="24"/>
        </w:rPr>
        <w:t xml:space="preserve">es, as described in </w:t>
      </w:r>
      <w:r w:rsidR="00320665" w:rsidRPr="00320665">
        <w:rPr>
          <w:rFonts w:ascii="Times New Roman" w:hAnsi="Times New Roman" w:cs="Times New Roman"/>
          <w:sz w:val="24"/>
          <w:szCs w:val="24"/>
        </w:rPr>
        <w:t>the Supplementary Materials and Methods.</w:t>
      </w:r>
      <w:r w:rsidR="00320665">
        <w:rPr>
          <w:rFonts w:ascii="Times New Roman" w:hAnsi="Times New Roman" w:cs="Times New Roman"/>
          <w:sz w:val="24"/>
          <w:szCs w:val="24"/>
        </w:rPr>
        <w:t xml:space="preserve"> </w:t>
      </w:r>
      <w:r w:rsidR="00320665" w:rsidRPr="0084503F">
        <w:rPr>
          <w:rFonts w:ascii="Times New Roman" w:hAnsi="Times New Roman" w:cs="Times New Roman"/>
          <w:sz w:val="24"/>
          <w:szCs w:val="24"/>
        </w:rPr>
        <w:t xml:space="preserve">Percentages of </w:t>
      </w:r>
      <w:r w:rsidR="00320665">
        <w:rPr>
          <w:rFonts w:ascii="Times New Roman" w:hAnsi="Times New Roman" w:cs="Times New Roman"/>
          <w:sz w:val="24"/>
          <w:szCs w:val="24"/>
        </w:rPr>
        <w:t>hCD45</w:t>
      </w:r>
      <w:r w:rsidR="00320665" w:rsidRPr="00320665">
        <w:rPr>
          <w:rFonts w:ascii="Times New Roman" w:hAnsi="Times New Roman" w:cs="Times New Roman"/>
          <w:sz w:val="24"/>
          <w:szCs w:val="24"/>
          <w:vertAlign w:val="superscript"/>
        </w:rPr>
        <w:t>+</w:t>
      </w:r>
      <w:r w:rsidR="00320665">
        <w:rPr>
          <w:rFonts w:ascii="Times New Roman" w:hAnsi="Times New Roman" w:cs="Times New Roman"/>
          <w:sz w:val="24"/>
          <w:szCs w:val="24"/>
        </w:rPr>
        <w:t>hCD19</w:t>
      </w:r>
      <w:r w:rsidR="00320665" w:rsidRPr="00320665">
        <w:rPr>
          <w:rFonts w:ascii="Times New Roman" w:hAnsi="Times New Roman" w:cs="Times New Roman"/>
          <w:sz w:val="24"/>
          <w:szCs w:val="24"/>
          <w:vertAlign w:val="superscript"/>
        </w:rPr>
        <w:t>+</w:t>
      </w:r>
      <w:r w:rsidR="00320665" w:rsidRPr="0084503F">
        <w:rPr>
          <w:rFonts w:ascii="Times New Roman" w:hAnsi="Times New Roman" w:cs="Times New Roman"/>
          <w:sz w:val="24"/>
          <w:szCs w:val="24"/>
        </w:rPr>
        <w:t xml:space="preserve">cells were obtained by manual flow cytometric gating method. Data are shown as the average of five different mice in each group </w:t>
      </w:r>
      <w:r w:rsidR="00320665" w:rsidRPr="0042065C">
        <w:rPr>
          <w:rFonts w:ascii="Times New Roman" w:hAnsi="Times New Roman" w:cs="Times New Roman"/>
          <w:sz w:val="24"/>
          <w:szCs w:val="24"/>
        </w:rPr>
        <w:t>(± S.D).</w:t>
      </w:r>
      <w:r w:rsidR="0068476B" w:rsidRPr="0042065C">
        <w:rPr>
          <w:rFonts w:ascii="Times New Roman" w:hAnsi="Times New Roman" w:cs="Times New Roman"/>
          <w:sz w:val="24"/>
          <w:szCs w:val="24"/>
        </w:rPr>
        <w:t xml:space="preserve"> *, </w:t>
      </w:r>
      <w:r w:rsidR="0068476B" w:rsidRPr="0042065C">
        <w:rPr>
          <w:rFonts w:ascii="Times New Roman" w:hAnsi="Times New Roman" w:cs="Times New Roman"/>
          <w:i/>
          <w:iCs/>
          <w:sz w:val="24"/>
          <w:szCs w:val="24"/>
        </w:rPr>
        <w:t>p</w:t>
      </w:r>
      <w:r w:rsidR="0068476B" w:rsidRPr="0042065C">
        <w:rPr>
          <w:rFonts w:ascii="Times New Roman" w:hAnsi="Times New Roman" w:cs="Times New Roman"/>
          <w:sz w:val="24"/>
          <w:szCs w:val="24"/>
        </w:rPr>
        <w:t xml:space="preserve"> &lt; 0.05; **, </w:t>
      </w:r>
      <w:r w:rsidR="0068476B" w:rsidRPr="0042065C">
        <w:rPr>
          <w:rFonts w:ascii="Times New Roman" w:hAnsi="Times New Roman" w:cs="Times New Roman"/>
          <w:i/>
          <w:iCs/>
          <w:sz w:val="24"/>
          <w:szCs w:val="24"/>
        </w:rPr>
        <w:t>p</w:t>
      </w:r>
      <w:r w:rsidR="0068476B" w:rsidRPr="0042065C">
        <w:rPr>
          <w:rFonts w:ascii="Times New Roman" w:hAnsi="Times New Roman" w:cs="Times New Roman"/>
          <w:sz w:val="24"/>
          <w:szCs w:val="24"/>
        </w:rPr>
        <w:t xml:space="preserve"> &lt; 0.01.</w:t>
      </w:r>
    </w:p>
    <w:p w14:paraId="2FE304C0" w14:textId="5ED44C41" w:rsidR="00320665" w:rsidRDefault="00320665" w:rsidP="0092433C">
      <w:pPr>
        <w:wordWrap/>
        <w:spacing w:after="0" w:line="360" w:lineRule="auto"/>
        <w:rPr>
          <w:rFonts w:ascii="Times New Roman" w:hAnsi="Times New Roman" w:cs="Times New Roman"/>
          <w:sz w:val="24"/>
          <w:szCs w:val="24"/>
        </w:rPr>
      </w:pPr>
    </w:p>
    <w:p w14:paraId="117E521A" w14:textId="362065EB" w:rsidR="006154FE" w:rsidRDefault="006154FE">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13F2C43C" w14:textId="0608983B" w:rsidR="006154FE" w:rsidRDefault="006154FE" w:rsidP="006154FE">
      <w:pPr>
        <w:wordWrap/>
        <w:spacing w:after="0" w:line="360" w:lineRule="auto"/>
        <w:jc w:val="center"/>
        <w:rPr>
          <w:rFonts w:ascii="Times New Roman" w:hAnsi="Times New Roman" w:cs="Times New Roman" w:hint="eastAsia"/>
          <w:sz w:val="24"/>
          <w:szCs w:val="24"/>
        </w:rPr>
      </w:pPr>
      <w:r w:rsidRPr="006154FE">
        <w:rPr>
          <w:rFonts w:ascii="Times New Roman" w:hAnsi="Times New Roman" w:cs="Times New Roman" w:hint="eastAsia"/>
          <w:noProof/>
          <w:sz w:val="24"/>
          <w:szCs w:val="24"/>
        </w:rPr>
        <w:lastRenderedPageBreak/>
        <w:drawing>
          <wp:inline distT="0" distB="0" distL="0" distR="0" wp14:anchorId="3A5F4DBF" wp14:editId="526F90E5">
            <wp:extent cx="3560781" cy="3292002"/>
            <wp:effectExtent l="0" t="0" r="1905" b="3810"/>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5343" cy="3296220"/>
                    </a:xfrm>
                    <a:prstGeom prst="rect">
                      <a:avLst/>
                    </a:prstGeom>
                    <a:noFill/>
                    <a:ln>
                      <a:noFill/>
                    </a:ln>
                  </pic:spPr>
                </pic:pic>
              </a:graphicData>
            </a:graphic>
          </wp:inline>
        </w:drawing>
      </w:r>
    </w:p>
    <w:p w14:paraId="3339FD7C" w14:textId="0652A964" w:rsidR="00320665" w:rsidRPr="0042065C" w:rsidRDefault="00EA7466" w:rsidP="0092433C">
      <w:pPr>
        <w:wordWrap/>
        <w:spacing w:after="0" w:line="360" w:lineRule="auto"/>
        <w:rPr>
          <w:rFonts w:ascii="Times New Roman" w:hAnsi="Times New Roman" w:cs="Times New Roman"/>
          <w:b/>
          <w:sz w:val="24"/>
          <w:szCs w:val="24"/>
        </w:rPr>
      </w:pPr>
      <w:r>
        <w:rPr>
          <w:rFonts w:ascii="Times New Roman" w:hAnsi="Times New Roman" w:cs="Times New Roman"/>
          <w:b/>
          <w:sz w:val="24"/>
          <w:szCs w:val="24"/>
        </w:rPr>
        <w:t>Figure</w:t>
      </w:r>
      <w:r w:rsidR="007809B6" w:rsidRPr="0042065C">
        <w:rPr>
          <w:rFonts w:ascii="Times New Roman" w:hAnsi="Times New Roman" w:cs="Times New Roman"/>
          <w:b/>
          <w:sz w:val="24"/>
          <w:szCs w:val="24"/>
        </w:rPr>
        <w:t xml:space="preserve"> S4</w:t>
      </w:r>
      <w:r w:rsidR="00320665" w:rsidRPr="0042065C">
        <w:rPr>
          <w:rFonts w:ascii="Times New Roman" w:hAnsi="Times New Roman" w:cs="Times New Roman"/>
          <w:b/>
          <w:sz w:val="24"/>
          <w:szCs w:val="24"/>
        </w:rPr>
        <w:t xml:space="preserve"> Construction of retroviral vector containing human delta-like 1 (Dlk1) gene</w:t>
      </w:r>
      <w:r w:rsidR="00320665" w:rsidRPr="0042065C">
        <w:rPr>
          <w:rFonts w:ascii="Times New Roman" w:hAnsi="Times New Roman" w:cs="Times New Roman"/>
          <w:sz w:val="24"/>
          <w:szCs w:val="24"/>
        </w:rPr>
        <w:t>. A</w:t>
      </w:r>
      <w:r w:rsidR="00320665" w:rsidRPr="0042065C">
        <w:rPr>
          <w:rFonts w:ascii="Times New Roman" w:hAnsi="Times New Roman" w:cs="Times New Roman"/>
          <w:b/>
          <w:sz w:val="24"/>
          <w:szCs w:val="24"/>
        </w:rPr>
        <w:t xml:space="preserve"> </w:t>
      </w:r>
    </w:p>
    <w:p w14:paraId="68C67B96" w14:textId="2C73E54C" w:rsidR="0047195F" w:rsidRPr="0042065C" w:rsidRDefault="008D17F5" w:rsidP="009F5CA9">
      <w:pPr>
        <w:wordWrap/>
        <w:spacing w:after="0" w:line="360" w:lineRule="auto"/>
        <w:rPr>
          <w:rFonts w:ascii="Times New Roman" w:hAnsi="Times New Roman" w:cs="Times New Roman"/>
          <w:bCs/>
          <w:sz w:val="24"/>
          <w:szCs w:val="24"/>
        </w:rPr>
      </w:pPr>
      <w:r w:rsidRPr="0042065C">
        <w:rPr>
          <w:rFonts w:ascii="Times New Roman" w:hAnsi="Times New Roman" w:cs="Times New Roman"/>
          <w:bCs/>
          <w:sz w:val="24"/>
          <w:szCs w:val="24"/>
        </w:rPr>
        <w:t>Prepared the pLXRN retroviral vector and insert gene, hDlk1, and clones were performed restriction enzyme analysis and run on 1% agarose gel.</w:t>
      </w:r>
      <w:r w:rsidR="008A22D0" w:rsidRPr="0042065C">
        <w:rPr>
          <w:rFonts w:ascii="Times New Roman" w:hAnsi="Times New Roman" w:cs="Times New Roman"/>
          <w:bCs/>
          <w:sz w:val="24"/>
          <w:szCs w:val="24"/>
        </w:rPr>
        <w:t xml:space="preserve"> A 1 kb ladder (</w:t>
      </w:r>
      <w:r w:rsidR="008A22D0" w:rsidRPr="0042065C">
        <w:rPr>
          <w:rFonts w:ascii="Times New Roman" w:hAnsi="Times New Roman" w:cs="Times New Roman" w:hint="eastAsia"/>
          <w:bCs/>
          <w:sz w:val="24"/>
          <w:szCs w:val="24"/>
        </w:rPr>
        <w:t>B</w:t>
      </w:r>
      <w:r w:rsidR="008A22D0" w:rsidRPr="0042065C">
        <w:rPr>
          <w:rFonts w:ascii="Times New Roman" w:hAnsi="Times New Roman" w:cs="Times New Roman"/>
          <w:bCs/>
          <w:sz w:val="24"/>
          <w:szCs w:val="24"/>
        </w:rPr>
        <w:t>ioLabs</w:t>
      </w:r>
      <w:r w:rsidR="008A22D0" w:rsidRPr="0042065C">
        <w:rPr>
          <w:rFonts w:ascii="Times New Roman" w:hAnsi="Times New Roman" w:cs="Times New Roman" w:hint="eastAsia"/>
          <w:bCs/>
          <w:sz w:val="24"/>
          <w:szCs w:val="24"/>
        </w:rPr>
        <w:t>)</w:t>
      </w:r>
      <w:r w:rsidR="008A22D0" w:rsidRPr="0042065C">
        <w:rPr>
          <w:rFonts w:ascii="Times New Roman" w:hAnsi="Times New Roman" w:cs="Times New Roman"/>
          <w:bCs/>
          <w:sz w:val="24"/>
          <w:szCs w:val="24"/>
        </w:rPr>
        <w:t xml:space="preserve"> is used to mark band sizes. Gels were photographed using Gel Doc XR+ Gel Documentation System (Bio-Rad). </w:t>
      </w:r>
      <w:r w:rsidR="009F5CA9" w:rsidRPr="0042065C">
        <w:rPr>
          <w:rFonts w:ascii="Times New Roman" w:hAnsi="Times New Roman" w:cs="Times New Roman"/>
          <w:bCs/>
          <w:sz w:val="24"/>
          <w:szCs w:val="24"/>
        </w:rPr>
        <w:t>(</w:t>
      </w:r>
      <w:r w:rsidR="009F5CA9" w:rsidRPr="0042065C">
        <w:rPr>
          <w:rFonts w:ascii="Times New Roman" w:hAnsi="Times New Roman" w:cs="Times New Roman"/>
          <w:b/>
          <w:sz w:val="24"/>
          <w:szCs w:val="24"/>
        </w:rPr>
        <w:t>a</w:t>
      </w:r>
      <w:r w:rsidR="009F5CA9" w:rsidRPr="0042065C">
        <w:rPr>
          <w:rFonts w:ascii="Times New Roman" w:hAnsi="Times New Roman" w:cs="Times New Roman"/>
          <w:bCs/>
          <w:sz w:val="24"/>
          <w:szCs w:val="24"/>
        </w:rPr>
        <w:t xml:space="preserve">) </w:t>
      </w:r>
      <w:r w:rsidR="005B2BBB" w:rsidRPr="0042065C">
        <w:rPr>
          <w:rFonts w:ascii="Times New Roman" w:hAnsi="Times New Roman" w:cs="Times New Roman"/>
          <w:bCs/>
          <w:sz w:val="24"/>
          <w:szCs w:val="24"/>
        </w:rPr>
        <w:t xml:space="preserve">Purified </w:t>
      </w:r>
      <w:r w:rsidR="00FE12F2" w:rsidRPr="0042065C">
        <w:rPr>
          <w:rFonts w:ascii="Times New Roman" w:hAnsi="Times New Roman" w:cs="Times New Roman"/>
          <w:bCs/>
          <w:sz w:val="24"/>
          <w:szCs w:val="24"/>
        </w:rPr>
        <w:t>pLXRN retroviral vector</w:t>
      </w:r>
      <w:r w:rsidRPr="0042065C">
        <w:rPr>
          <w:rFonts w:ascii="Times New Roman" w:hAnsi="Times New Roman" w:cs="Times New Roman"/>
          <w:bCs/>
          <w:sz w:val="24"/>
          <w:szCs w:val="24"/>
        </w:rPr>
        <w:t xml:space="preserve"> (6.4 kb)</w:t>
      </w:r>
      <w:r w:rsidR="00FE12F2" w:rsidRPr="0042065C">
        <w:rPr>
          <w:rFonts w:ascii="Times New Roman" w:hAnsi="Times New Roman" w:cs="Times New Roman"/>
          <w:bCs/>
          <w:sz w:val="24"/>
          <w:szCs w:val="24"/>
        </w:rPr>
        <w:t xml:space="preserve"> and amplified hDlk1 gene</w:t>
      </w:r>
      <w:r w:rsidRPr="0042065C">
        <w:rPr>
          <w:rFonts w:ascii="Times New Roman" w:hAnsi="Times New Roman" w:cs="Times New Roman"/>
          <w:bCs/>
          <w:sz w:val="24"/>
          <w:szCs w:val="24"/>
        </w:rPr>
        <w:t xml:space="preserve"> (1.2 kb)</w:t>
      </w:r>
      <w:r w:rsidR="00FE12F2" w:rsidRPr="0042065C">
        <w:rPr>
          <w:rFonts w:ascii="Times New Roman" w:hAnsi="Times New Roman" w:cs="Times New Roman"/>
          <w:bCs/>
          <w:sz w:val="24"/>
          <w:szCs w:val="24"/>
        </w:rPr>
        <w:t xml:space="preserve"> </w:t>
      </w:r>
      <w:r w:rsidR="005B2BBB" w:rsidRPr="0042065C">
        <w:rPr>
          <w:rFonts w:ascii="Times New Roman" w:hAnsi="Times New Roman" w:cs="Times New Roman"/>
          <w:bCs/>
          <w:sz w:val="24"/>
          <w:szCs w:val="24"/>
        </w:rPr>
        <w:t>were</w:t>
      </w:r>
      <w:r w:rsidR="00FE12F2" w:rsidRPr="0042065C">
        <w:rPr>
          <w:rFonts w:ascii="Times New Roman" w:hAnsi="Times New Roman" w:cs="Times New Roman"/>
          <w:bCs/>
          <w:sz w:val="24"/>
          <w:szCs w:val="24"/>
        </w:rPr>
        <w:t xml:space="preserve"> digested with BamHI and AvrII. </w:t>
      </w:r>
      <w:r w:rsidRPr="0042065C">
        <w:rPr>
          <w:rFonts w:ascii="Times New Roman" w:hAnsi="Times New Roman" w:cs="Times New Roman"/>
          <w:bCs/>
          <w:sz w:val="24"/>
          <w:szCs w:val="24"/>
        </w:rPr>
        <w:t>(</w:t>
      </w:r>
      <w:r w:rsidRPr="0042065C">
        <w:rPr>
          <w:rFonts w:ascii="Times New Roman" w:hAnsi="Times New Roman" w:cs="Times New Roman"/>
          <w:b/>
          <w:sz w:val="24"/>
          <w:szCs w:val="24"/>
        </w:rPr>
        <w:t>b</w:t>
      </w:r>
      <w:r w:rsidRPr="0042065C">
        <w:rPr>
          <w:rFonts w:ascii="Times New Roman" w:hAnsi="Times New Roman" w:cs="Times New Roman"/>
          <w:bCs/>
          <w:sz w:val="24"/>
          <w:szCs w:val="24"/>
        </w:rPr>
        <w:t xml:space="preserve">) Schematic representation of pLXRN retroviral vectors that contains hDlk1 gene. </w:t>
      </w:r>
      <w:r w:rsidR="005B2BBB" w:rsidRPr="0042065C">
        <w:rPr>
          <w:rFonts w:ascii="Times New Roman" w:hAnsi="Times New Roman" w:cs="Times New Roman"/>
          <w:bCs/>
          <w:sz w:val="24"/>
          <w:szCs w:val="24"/>
        </w:rPr>
        <w:t>(</w:t>
      </w:r>
      <w:r w:rsidRPr="0042065C">
        <w:rPr>
          <w:rFonts w:ascii="Times New Roman" w:hAnsi="Times New Roman" w:cs="Times New Roman"/>
          <w:b/>
          <w:sz w:val="24"/>
          <w:szCs w:val="24"/>
        </w:rPr>
        <w:t>c</w:t>
      </w:r>
      <w:r w:rsidR="005B2BBB" w:rsidRPr="0042065C">
        <w:rPr>
          <w:rFonts w:ascii="Times New Roman" w:hAnsi="Times New Roman" w:cs="Times New Roman"/>
          <w:bCs/>
          <w:sz w:val="24"/>
          <w:szCs w:val="24"/>
        </w:rPr>
        <w:t xml:space="preserve">) </w:t>
      </w:r>
      <w:r w:rsidR="0047195F" w:rsidRPr="0042065C">
        <w:rPr>
          <w:rFonts w:ascii="Times New Roman" w:hAnsi="Times New Roman" w:cs="Times New Roman"/>
          <w:bCs/>
          <w:sz w:val="24"/>
          <w:szCs w:val="24"/>
        </w:rPr>
        <w:t xml:space="preserve">After cloning, </w:t>
      </w:r>
      <w:r w:rsidRPr="0042065C">
        <w:rPr>
          <w:rFonts w:ascii="Times New Roman" w:hAnsi="Times New Roman" w:cs="Times New Roman"/>
          <w:bCs/>
          <w:sz w:val="24"/>
          <w:szCs w:val="24"/>
        </w:rPr>
        <w:t xml:space="preserve">selected </w:t>
      </w:r>
      <w:r w:rsidR="0047195F" w:rsidRPr="0042065C">
        <w:rPr>
          <w:rFonts w:ascii="Times New Roman" w:hAnsi="Times New Roman" w:cs="Times New Roman"/>
          <w:bCs/>
          <w:sz w:val="24"/>
          <w:szCs w:val="24"/>
        </w:rPr>
        <w:t xml:space="preserve">clones were performed restriction enzyme </w:t>
      </w:r>
      <w:r w:rsidRPr="0042065C">
        <w:rPr>
          <w:rFonts w:ascii="Times New Roman" w:hAnsi="Times New Roman" w:cs="Times New Roman"/>
          <w:bCs/>
          <w:sz w:val="24"/>
          <w:szCs w:val="24"/>
        </w:rPr>
        <w:t>digestion</w:t>
      </w:r>
      <w:r w:rsidR="0047195F" w:rsidRPr="0042065C">
        <w:rPr>
          <w:rFonts w:ascii="Times New Roman" w:hAnsi="Times New Roman" w:cs="Times New Roman"/>
          <w:bCs/>
          <w:sz w:val="24"/>
          <w:szCs w:val="24"/>
        </w:rPr>
        <w:t xml:space="preserve"> by BamHI and AvrII and the results confirmed recombinant pLXRN vector and contained the desired gene</w:t>
      </w:r>
      <w:r w:rsidRPr="0042065C">
        <w:rPr>
          <w:rFonts w:ascii="Times New Roman" w:hAnsi="Times New Roman" w:cs="Times New Roman"/>
          <w:bCs/>
          <w:sz w:val="24"/>
          <w:szCs w:val="24"/>
        </w:rPr>
        <w:t>. Load hDlk1/BamHI-AvrII as a control</w:t>
      </w:r>
      <w:r w:rsidR="008A22D0" w:rsidRPr="0042065C">
        <w:rPr>
          <w:rFonts w:ascii="Times New Roman" w:hAnsi="Times New Roman" w:cs="Times New Roman"/>
          <w:bCs/>
          <w:sz w:val="24"/>
          <w:szCs w:val="24"/>
        </w:rPr>
        <w:t xml:space="preserve"> and compared band size with digested hDlk1 gene from pLXRN-Dlk1 plasmid DNA. </w:t>
      </w:r>
    </w:p>
    <w:p w14:paraId="52BE5FAD" w14:textId="1D167A0F" w:rsidR="00320665" w:rsidRDefault="00320665" w:rsidP="0092433C">
      <w:pPr>
        <w:wordWrap/>
        <w:spacing w:after="0" w:line="360" w:lineRule="auto"/>
        <w:rPr>
          <w:rFonts w:ascii="Times New Roman" w:hAnsi="Times New Roman" w:cs="Times New Roman"/>
          <w:bCs/>
          <w:sz w:val="24"/>
          <w:szCs w:val="24"/>
        </w:rPr>
      </w:pPr>
    </w:p>
    <w:p w14:paraId="02555543" w14:textId="1EB4AD94" w:rsidR="006154FE" w:rsidRDefault="006154FE">
      <w:pPr>
        <w:widowControl/>
        <w:wordWrap/>
        <w:autoSpaceDE/>
        <w:autoSpaceDN/>
        <w:rPr>
          <w:rFonts w:ascii="Times New Roman" w:hAnsi="Times New Roman" w:cs="Times New Roman"/>
          <w:bCs/>
          <w:sz w:val="24"/>
          <w:szCs w:val="24"/>
        </w:rPr>
      </w:pPr>
      <w:r>
        <w:rPr>
          <w:rFonts w:ascii="Times New Roman" w:hAnsi="Times New Roman" w:cs="Times New Roman"/>
          <w:bCs/>
          <w:sz w:val="24"/>
          <w:szCs w:val="24"/>
        </w:rPr>
        <w:br w:type="page"/>
      </w:r>
    </w:p>
    <w:p w14:paraId="1473D020" w14:textId="37DB5B04" w:rsidR="006154FE" w:rsidRPr="009F5CA9" w:rsidRDefault="006154FE" w:rsidP="0092433C">
      <w:pPr>
        <w:wordWrap/>
        <w:spacing w:after="0" w:line="360" w:lineRule="auto"/>
        <w:rPr>
          <w:rFonts w:ascii="Times New Roman" w:hAnsi="Times New Roman" w:cs="Times New Roman" w:hint="eastAsia"/>
          <w:bCs/>
          <w:sz w:val="24"/>
          <w:szCs w:val="24"/>
        </w:rPr>
      </w:pPr>
      <w:r w:rsidRPr="006154FE">
        <w:rPr>
          <w:rFonts w:ascii="Times New Roman" w:hAnsi="Times New Roman" w:cs="Times New Roman" w:hint="eastAsia"/>
          <w:bCs/>
          <w:noProof/>
          <w:sz w:val="24"/>
          <w:szCs w:val="24"/>
        </w:rPr>
        <w:lastRenderedPageBreak/>
        <w:drawing>
          <wp:inline distT="0" distB="0" distL="0" distR="0" wp14:anchorId="1D782350" wp14:editId="32282877">
            <wp:extent cx="5731510" cy="1907705"/>
            <wp:effectExtent l="0" t="0" r="254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1907705"/>
                    </a:xfrm>
                    <a:prstGeom prst="rect">
                      <a:avLst/>
                    </a:prstGeom>
                    <a:noFill/>
                    <a:ln>
                      <a:noFill/>
                    </a:ln>
                  </pic:spPr>
                </pic:pic>
              </a:graphicData>
            </a:graphic>
          </wp:inline>
        </w:drawing>
      </w:r>
    </w:p>
    <w:p w14:paraId="6C6963AF" w14:textId="13B141D0" w:rsidR="00320665" w:rsidRDefault="00EA7466" w:rsidP="0092433C">
      <w:pPr>
        <w:wordWrap/>
        <w:spacing w:after="0" w:line="360" w:lineRule="auto"/>
        <w:rPr>
          <w:rFonts w:ascii="Times New Roman" w:hAnsi="Times New Roman" w:cs="Times New Roman"/>
          <w:sz w:val="24"/>
          <w:szCs w:val="24"/>
        </w:rPr>
      </w:pPr>
      <w:r>
        <w:rPr>
          <w:rFonts w:ascii="Times New Roman" w:hAnsi="Times New Roman" w:cs="Times New Roman"/>
          <w:b/>
          <w:sz w:val="24"/>
          <w:szCs w:val="24"/>
        </w:rPr>
        <w:t>Figure</w:t>
      </w:r>
      <w:r w:rsidR="007809B6">
        <w:rPr>
          <w:rFonts w:ascii="Times New Roman" w:hAnsi="Times New Roman" w:cs="Times New Roman"/>
          <w:b/>
          <w:sz w:val="24"/>
          <w:szCs w:val="24"/>
        </w:rPr>
        <w:t xml:space="preserve"> S5</w:t>
      </w:r>
      <w:r w:rsidR="00320665">
        <w:rPr>
          <w:rFonts w:ascii="Times New Roman" w:hAnsi="Times New Roman" w:cs="Times New Roman"/>
          <w:b/>
          <w:sz w:val="24"/>
          <w:szCs w:val="24"/>
        </w:rPr>
        <w:t xml:space="preserve"> </w:t>
      </w:r>
      <w:r w:rsidR="00C70302">
        <w:rPr>
          <w:rFonts w:ascii="Times New Roman" w:hAnsi="Times New Roman" w:cs="Times New Roman"/>
          <w:b/>
          <w:sz w:val="24"/>
          <w:szCs w:val="24"/>
        </w:rPr>
        <w:t xml:space="preserve">Identification of hFL-Dlk1 MSCs in the humanized mice. </w:t>
      </w:r>
      <w:r w:rsidR="00C70302">
        <w:rPr>
          <w:rFonts w:ascii="Times New Roman" w:hAnsi="Times New Roman" w:cs="Times New Roman"/>
          <w:sz w:val="24"/>
          <w:szCs w:val="24"/>
        </w:rPr>
        <w:t xml:space="preserve">Thymus, liver, bone marrow, and spleen tissues were isolated from the humanized NSG mice generated with </w:t>
      </w:r>
      <w:r w:rsidR="00C70302" w:rsidRPr="00E010DE">
        <w:rPr>
          <w:rFonts w:ascii="Times New Roman" w:hAnsi="Times New Roman" w:cs="Times New Roman"/>
          <w:sz w:val="24"/>
          <w:szCs w:val="24"/>
        </w:rPr>
        <w:t>FL-MSCs-Dlk1 plus hCD34</w:t>
      </w:r>
      <w:r w:rsidR="00C70302" w:rsidRPr="00D31B85">
        <w:rPr>
          <w:rFonts w:ascii="Times New Roman" w:hAnsi="Times New Roman" w:cs="Times New Roman"/>
          <w:sz w:val="24"/>
          <w:szCs w:val="24"/>
          <w:vertAlign w:val="superscript"/>
        </w:rPr>
        <w:t>+</w:t>
      </w:r>
      <w:r w:rsidR="00C70302" w:rsidRPr="00E010DE">
        <w:rPr>
          <w:rFonts w:ascii="Times New Roman" w:hAnsi="Times New Roman" w:cs="Times New Roman"/>
          <w:sz w:val="24"/>
          <w:szCs w:val="24"/>
        </w:rPr>
        <w:t xml:space="preserve"> CB cells</w:t>
      </w:r>
      <w:r w:rsidR="00C70302">
        <w:rPr>
          <w:rFonts w:ascii="Times New Roman" w:hAnsi="Times New Roman" w:cs="Times New Roman"/>
          <w:sz w:val="24"/>
          <w:szCs w:val="24"/>
        </w:rPr>
        <w:t xml:space="preserve">. </w:t>
      </w:r>
      <w:r w:rsidR="00C70302" w:rsidRPr="0084503F">
        <w:rPr>
          <w:rFonts w:ascii="Times New Roman" w:hAnsi="Times New Roman" w:cs="Times New Roman"/>
          <w:sz w:val="24"/>
          <w:szCs w:val="24"/>
        </w:rPr>
        <w:t xml:space="preserve">Single-cell suspensions were prepared </w:t>
      </w:r>
      <w:r w:rsidR="00C70302">
        <w:rPr>
          <w:rFonts w:ascii="Times New Roman" w:hAnsi="Times New Roman" w:cs="Times New Roman"/>
          <w:sz w:val="24"/>
          <w:szCs w:val="24"/>
        </w:rPr>
        <w:t xml:space="preserve">as following </w:t>
      </w:r>
      <w:r w:rsidR="00C70302" w:rsidRPr="0084503F">
        <w:rPr>
          <w:rFonts w:ascii="Times New Roman" w:hAnsi="Times New Roman" w:cs="Times New Roman"/>
          <w:sz w:val="24"/>
          <w:szCs w:val="24"/>
        </w:rPr>
        <w:t xml:space="preserve">standard procedures. </w:t>
      </w:r>
      <w:r w:rsidR="00C70302">
        <w:rPr>
          <w:rFonts w:ascii="Times New Roman" w:hAnsi="Times New Roman" w:cs="Times New Roman"/>
          <w:sz w:val="24"/>
          <w:szCs w:val="24"/>
        </w:rPr>
        <w:t xml:space="preserve">Cells were collected, washed with PBS buffer, and </w:t>
      </w:r>
      <w:r w:rsidR="00C70302" w:rsidRPr="0084503F">
        <w:rPr>
          <w:rFonts w:ascii="Times New Roman" w:hAnsi="Times New Roman" w:cs="Times New Roman"/>
          <w:sz w:val="24"/>
          <w:szCs w:val="24"/>
        </w:rPr>
        <w:t>were stained</w:t>
      </w:r>
      <w:r w:rsidR="00C70302">
        <w:rPr>
          <w:rFonts w:ascii="Times New Roman" w:hAnsi="Times New Roman" w:cs="Times New Roman"/>
          <w:sz w:val="24"/>
          <w:szCs w:val="24"/>
        </w:rPr>
        <w:t xml:space="preserve"> with isotype control or anti-human Dlk1-FITC conjugated antibody.</w:t>
      </w:r>
      <w:r w:rsidR="00C70302" w:rsidRPr="00631574">
        <w:rPr>
          <w:rFonts w:ascii="Times New Roman" w:hAnsi="Times New Roman" w:cs="Times New Roman"/>
          <w:sz w:val="24"/>
          <w:szCs w:val="24"/>
        </w:rPr>
        <w:t xml:space="preserve"> </w:t>
      </w:r>
      <w:r w:rsidR="00C70302" w:rsidRPr="0084503F">
        <w:rPr>
          <w:rFonts w:ascii="Times New Roman" w:hAnsi="Times New Roman" w:cs="Times New Roman"/>
          <w:sz w:val="24"/>
          <w:szCs w:val="24"/>
        </w:rPr>
        <w:t>Percentages of cells were obtained by manual flow cytometric gating method. Data are shown as the average of five different mice in each group (± S.D)</w:t>
      </w:r>
    </w:p>
    <w:p w14:paraId="222229BC" w14:textId="49A537D2" w:rsidR="00C70302" w:rsidRDefault="00C70302" w:rsidP="0092433C">
      <w:pPr>
        <w:wordWrap/>
        <w:spacing w:after="0" w:line="360" w:lineRule="auto"/>
        <w:rPr>
          <w:rFonts w:ascii="Times New Roman" w:hAnsi="Times New Roman" w:cs="Times New Roman"/>
          <w:sz w:val="24"/>
          <w:szCs w:val="24"/>
        </w:rPr>
      </w:pPr>
    </w:p>
    <w:p w14:paraId="625B54EB" w14:textId="64D5AF35" w:rsidR="006154FE" w:rsidRDefault="006154FE">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74AF7D69" w14:textId="3A4B0F31" w:rsidR="006154FE" w:rsidRDefault="006154FE" w:rsidP="0092433C">
      <w:pPr>
        <w:wordWrap/>
        <w:spacing w:after="0" w:line="360" w:lineRule="auto"/>
        <w:rPr>
          <w:rFonts w:ascii="Times New Roman" w:hAnsi="Times New Roman" w:cs="Times New Roman" w:hint="eastAsia"/>
          <w:sz w:val="24"/>
          <w:szCs w:val="24"/>
        </w:rPr>
      </w:pPr>
      <w:r w:rsidRPr="006154FE">
        <w:rPr>
          <w:rFonts w:ascii="Times New Roman" w:hAnsi="Times New Roman" w:cs="Times New Roman" w:hint="eastAsia"/>
          <w:noProof/>
          <w:sz w:val="24"/>
          <w:szCs w:val="24"/>
        </w:rPr>
        <w:lastRenderedPageBreak/>
        <w:drawing>
          <wp:inline distT="0" distB="0" distL="0" distR="0" wp14:anchorId="53FB7088" wp14:editId="3E96B813">
            <wp:extent cx="5731510" cy="3305432"/>
            <wp:effectExtent l="0" t="0" r="2540" b="952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305432"/>
                    </a:xfrm>
                    <a:prstGeom prst="rect">
                      <a:avLst/>
                    </a:prstGeom>
                    <a:noFill/>
                    <a:ln>
                      <a:noFill/>
                    </a:ln>
                  </pic:spPr>
                </pic:pic>
              </a:graphicData>
            </a:graphic>
          </wp:inline>
        </w:drawing>
      </w:r>
    </w:p>
    <w:p w14:paraId="13A7E033" w14:textId="057E33E8" w:rsidR="00C70302" w:rsidRPr="0042065C" w:rsidRDefault="00EA7466" w:rsidP="0092433C">
      <w:pPr>
        <w:wordWrap/>
        <w:spacing w:after="0" w:line="360" w:lineRule="auto"/>
        <w:rPr>
          <w:rFonts w:ascii="Times New Roman" w:hAnsi="Times New Roman" w:cs="Times New Roman"/>
          <w:sz w:val="24"/>
          <w:szCs w:val="24"/>
        </w:rPr>
      </w:pPr>
      <w:r>
        <w:rPr>
          <w:rFonts w:ascii="Times New Roman" w:hAnsi="Times New Roman" w:cs="Times New Roman"/>
          <w:b/>
          <w:sz w:val="24"/>
          <w:szCs w:val="24"/>
        </w:rPr>
        <w:t>Figure</w:t>
      </w:r>
      <w:r w:rsidR="007809B6" w:rsidRPr="0042065C">
        <w:rPr>
          <w:rFonts w:ascii="Times New Roman" w:hAnsi="Times New Roman" w:cs="Times New Roman"/>
          <w:b/>
          <w:sz w:val="24"/>
          <w:szCs w:val="24"/>
        </w:rPr>
        <w:t xml:space="preserve"> S6</w:t>
      </w:r>
      <w:r w:rsidR="00C70302" w:rsidRPr="0042065C">
        <w:rPr>
          <w:rFonts w:ascii="Times New Roman" w:hAnsi="Times New Roman" w:cs="Times New Roman"/>
          <w:b/>
          <w:sz w:val="24"/>
          <w:szCs w:val="24"/>
        </w:rPr>
        <w:t xml:space="preserve">. Analysis of </w:t>
      </w:r>
      <w:r w:rsidR="00C70302" w:rsidRPr="0042065C">
        <w:rPr>
          <w:rFonts w:ascii="Symbol" w:hAnsi="Symbol" w:cs="Times New Roman"/>
          <w:b/>
          <w:sz w:val="24"/>
          <w:szCs w:val="24"/>
        </w:rPr>
        <w:t></w:t>
      </w:r>
      <w:r w:rsidR="00C70302" w:rsidRPr="0042065C">
        <w:rPr>
          <w:rFonts w:ascii="Symbol" w:hAnsi="Symbol" w:cs="Times New Roman"/>
          <w:b/>
          <w:sz w:val="24"/>
          <w:szCs w:val="24"/>
        </w:rPr>
        <w:t></w:t>
      </w:r>
      <w:r w:rsidR="00C70302" w:rsidRPr="0042065C">
        <w:rPr>
          <w:rFonts w:ascii="Times New Roman" w:hAnsi="Times New Roman" w:cs="Times New Roman"/>
          <w:b/>
          <w:sz w:val="24"/>
          <w:szCs w:val="24"/>
        </w:rPr>
        <w:t xml:space="preserve"> TCR or </w:t>
      </w:r>
      <w:r w:rsidR="00C70302" w:rsidRPr="0042065C">
        <w:rPr>
          <w:rFonts w:ascii="Symbol" w:hAnsi="Symbol" w:cs="Times New Roman"/>
          <w:b/>
          <w:sz w:val="24"/>
          <w:szCs w:val="24"/>
        </w:rPr>
        <w:t></w:t>
      </w:r>
      <w:r w:rsidR="00C70302" w:rsidRPr="0042065C">
        <w:rPr>
          <w:rFonts w:ascii="Symbol" w:hAnsi="Symbol" w:cs="Times New Roman"/>
          <w:b/>
          <w:sz w:val="24"/>
          <w:szCs w:val="24"/>
        </w:rPr>
        <w:t></w:t>
      </w:r>
      <w:r w:rsidR="00C70302" w:rsidRPr="0042065C">
        <w:rPr>
          <w:rFonts w:ascii="Times New Roman" w:hAnsi="Times New Roman" w:cs="Times New Roman"/>
          <w:b/>
          <w:sz w:val="24"/>
          <w:szCs w:val="24"/>
        </w:rPr>
        <w:t xml:space="preserve"> TCR human T cells in the humanized mice.</w:t>
      </w:r>
      <w:r w:rsidR="00C70302" w:rsidRPr="0042065C">
        <w:rPr>
          <w:rFonts w:ascii="Times New Roman" w:hAnsi="Times New Roman" w:cs="Times New Roman"/>
          <w:sz w:val="24"/>
          <w:szCs w:val="24"/>
        </w:rPr>
        <w:t xml:space="preserve"> Liver tissues were isolated from the humanized NSG mice generated hCD34</w:t>
      </w:r>
      <w:r w:rsidR="00C70302" w:rsidRPr="0042065C">
        <w:rPr>
          <w:rFonts w:ascii="Times New Roman" w:hAnsi="Times New Roman" w:cs="Times New Roman"/>
          <w:sz w:val="24"/>
          <w:szCs w:val="24"/>
          <w:vertAlign w:val="superscript"/>
        </w:rPr>
        <w:t>+</w:t>
      </w:r>
      <w:r w:rsidR="0042065C" w:rsidRPr="0042065C">
        <w:rPr>
          <w:rFonts w:ascii="Times New Roman" w:hAnsi="Times New Roman" w:cs="Times New Roman"/>
          <w:sz w:val="24"/>
          <w:szCs w:val="24"/>
        </w:rPr>
        <w:t xml:space="preserve"> CB cells only</w:t>
      </w:r>
      <w:r w:rsidR="00C70302" w:rsidRPr="0042065C">
        <w:rPr>
          <w:rFonts w:ascii="Times New Roman" w:hAnsi="Times New Roman" w:cs="Times New Roman"/>
          <w:sz w:val="24"/>
          <w:szCs w:val="24"/>
        </w:rPr>
        <w:t xml:space="preserve"> or FL-MSC-Dlk1 plus hCD34</w:t>
      </w:r>
      <w:r w:rsidR="00C70302" w:rsidRPr="0042065C">
        <w:rPr>
          <w:rFonts w:ascii="Times New Roman" w:hAnsi="Times New Roman" w:cs="Times New Roman"/>
          <w:sz w:val="24"/>
          <w:szCs w:val="24"/>
          <w:vertAlign w:val="superscript"/>
        </w:rPr>
        <w:t>+</w:t>
      </w:r>
      <w:r w:rsidR="0042065C" w:rsidRPr="0042065C">
        <w:rPr>
          <w:rFonts w:ascii="Times New Roman" w:hAnsi="Times New Roman" w:cs="Times New Roman"/>
          <w:sz w:val="24"/>
          <w:szCs w:val="24"/>
        </w:rPr>
        <w:t xml:space="preserve"> CB cells</w:t>
      </w:r>
      <w:r w:rsidR="00C70302" w:rsidRPr="0042065C">
        <w:rPr>
          <w:rFonts w:ascii="Times New Roman" w:hAnsi="Times New Roman" w:cs="Times New Roman"/>
          <w:sz w:val="24"/>
          <w:szCs w:val="24"/>
        </w:rPr>
        <w:t xml:space="preserve">. Single-cell suspensions were prepared as following standard procedures. Cells were collected and washed with </w:t>
      </w:r>
      <w:r w:rsidR="0068476B" w:rsidRPr="0042065C">
        <w:rPr>
          <w:rFonts w:ascii="Times New Roman" w:hAnsi="Times New Roman" w:cs="Times New Roman"/>
          <w:sz w:val="24"/>
          <w:szCs w:val="24"/>
        </w:rPr>
        <w:t xml:space="preserve">1X </w:t>
      </w:r>
      <w:r w:rsidR="00C70302" w:rsidRPr="0042065C">
        <w:rPr>
          <w:rFonts w:ascii="Times New Roman" w:hAnsi="Times New Roman" w:cs="Times New Roman"/>
          <w:sz w:val="24"/>
          <w:szCs w:val="24"/>
        </w:rPr>
        <w:t xml:space="preserve">PBS. Mononuclear cells (MNCs) were then isolated by Ficoll-Hypaque density gradient centrifugation. Isolated MNCs were stained with anti-human </w:t>
      </w:r>
      <w:r w:rsidR="00C70302" w:rsidRPr="0042065C">
        <w:rPr>
          <w:rFonts w:ascii="Symbol" w:hAnsi="Symbol" w:cs="Times New Roman"/>
          <w:sz w:val="24"/>
          <w:szCs w:val="24"/>
        </w:rPr>
        <w:t></w:t>
      </w:r>
      <w:r w:rsidR="00C70302" w:rsidRPr="0042065C">
        <w:rPr>
          <w:rFonts w:ascii="Symbol" w:hAnsi="Symbol" w:cs="Times New Roman"/>
          <w:sz w:val="24"/>
          <w:szCs w:val="24"/>
        </w:rPr>
        <w:t></w:t>
      </w:r>
      <w:r w:rsidR="00C70302" w:rsidRPr="0042065C">
        <w:rPr>
          <w:rFonts w:ascii="Times New Roman" w:hAnsi="Times New Roman" w:cs="Times New Roman"/>
          <w:sz w:val="24"/>
          <w:szCs w:val="24"/>
        </w:rPr>
        <w:t xml:space="preserve"> TCR-</w:t>
      </w:r>
      <w:r w:rsidR="0068476B" w:rsidRPr="0042065C">
        <w:rPr>
          <w:rFonts w:ascii="Times New Roman" w:hAnsi="Times New Roman" w:cs="Times New Roman"/>
          <w:sz w:val="24"/>
          <w:szCs w:val="24"/>
        </w:rPr>
        <w:t>FITC</w:t>
      </w:r>
      <w:r w:rsidR="00C70302" w:rsidRPr="0042065C">
        <w:rPr>
          <w:rFonts w:ascii="Times New Roman" w:hAnsi="Times New Roman" w:cs="Times New Roman"/>
          <w:sz w:val="24"/>
          <w:szCs w:val="24"/>
        </w:rPr>
        <w:t xml:space="preserve"> or anti-huma</w:t>
      </w:r>
      <w:r w:rsidR="0068476B" w:rsidRPr="0042065C">
        <w:rPr>
          <w:rFonts w:ascii="Times New Roman" w:hAnsi="Times New Roman" w:cs="Times New Roman"/>
          <w:sz w:val="24"/>
          <w:szCs w:val="24"/>
        </w:rPr>
        <w:t>n</w:t>
      </w:r>
      <w:r w:rsidR="00C70302" w:rsidRPr="0042065C">
        <w:rPr>
          <w:rFonts w:ascii="Times New Roman" w:hAnsi="Times New Roman" w:cs="Times New Roman"/>
          <w:sz w:val="24"/>
          <w:szCs w:val="24"/>
        </w:rPr>
        <w:t xml:space="preserve"> </w:t>
      </w:r>
      <w:r w:rsidR="00C70302" w:rsidRPr="0042065C">
        <w:rPr>
          <w:rFonts w:ascii="Symbol" w:hAnsi="Symbol" w:cs="Times New Roman"/>
          <w:sz w:val="24"/>
          <w:szCs w:val="24"/>
        </w:rPr>
        <w:t></w:t>
      </w:r>
      <w:r w:rsidR="00C70302" w:rsidRPr="0042065C">
        <w:rPr>
          <w:rFonts w:ascii="Symbol" w:hAnsi="Symbol" w:cs="Times New Roman"/>
          <w:sz w:val="24"/>
          <w:szCs w:val="24"/>
        </w:rPr>
        <w:t></w:t>
      </w:r>
      <w:r w:rsidR="00C70302" w:rsidRPr="0042065C">
        <w:rPr>
          <w:rFonts w:ascii="Times New Roman" w:hAnsi="Times New Roman" w:cs="Times New Roman"/>
          <w:sz w:val="24"/>
          <w:szCs w:val="24"/>
        </w:rPr>
        <w:t xml:space="preserve"> TCR-</w:t>
      </w:r>
      <w:r w:rsidR="0068476B" w:rsidRPr="0042065C">
        <w:rPr>
          <w:rFonts w:ascii="Times New Roman" w:hAnsi="Times New Roman" w:cs="Times New Roman"/>
          <w:sz w:val="24"/>
          <w:szCs w:val="24"/>
        </w:rPr>
        <w:t>PE</w:t>
      </w:r>
      <w:r w:rsidR="00C70302" w:rsidRPr="0042065C">
        <w:rPr>
          <w:rFonts w:ascii="Times New Roman" w:hAnsi="Times New Roman" w:cs="Times New Roman"/>
          <w:sz w:val="24"/>
          <w:szCs w:val="24"/>
        </w:rPr>
        <w:t xml:space="preserve"> conjugated antibody. Percentages of cells were obtained by manual flow cytometric gating method. Data are shown as the average of five different mice in each group (± S.D).</w:t>
      </w:r>
    </w:p>
    <w:p w14:paraId="2A50C245" w14:textId="3720942F" w:rsidR="00C70302" w:rsidRDefault="00C70302" w:rsidP="0092433C">
      <w:pPr>
        <w:wordWrap/>
        <w:spacing w:after="0" w:line="360" w:lineRule="auto"/>
        <w:rPr>
          <w:rFonts w:ascii="Times New Roman" w:hAnsi="Times New Roman" w:cs="Times New Roman"/>
          <w:sz w:val="24"/>
          <w:szCs w:val="24"/>
        </w:rPr>
      </w:pPr>
    </w:p>
    <w:p w14:paraId="77E19C66" w14:textId="2539E047" w:rsidR="006154FE" w:rsidRDefault="006154FE">
      <w:pPr>
        <w:widowControl/>
        <w:wordWrap/>
        <w:autoSpaceDE/>
        <w:autoSpaceDN/>
        <w:rPr>
          <w:rFonts w:ascii="Times New Roman" w:hAnsi="Times New Roman" w:cs="Times New Roman"/>
          <w:sz w:val="24"/>
          <w:szCs w:val="24"/>
        </w:rPr>
      </w:pPr>
      <w:r>
        <w:rPr>
          <w:rFonts w:ascii="Times New Roman" w:hAnsi="Times New Roman" w:cs="Times New Roman"/>
          <w:sz w:val="24"/>
          <w:szCs w:val="24"/>
        </w:rPr>
        <w:br w:type="page"/>
      </w:r>
    </w:p>
    <w:p w14:paraId="385DDAEF" w14:textId="777B740F" w:rsidR="006154FE" w:rsidRDefault="006154FE" w:rsidP="0092433C">
      <w:pPr>
        <w:wordWrap/>
        <w:spacing w:after="0" w:line="360" w:lineRule="auto"/>
        <w:rPr>
          <w:rFonts w:ascii="Times New Roman" w:hAnsi="Times New Roman" w:cs="Times New Roman" w:hint="eastAsia"/>
          <w:sz w:val="24"/>
          <w:szCs w:val="24"/>
        </w:rPr>
      </w:pPr>
      <w:r w:rsidRPr="006154FE">
        <w:rPr>
          <w:rFonts w:ascii="Times New Roman" w:hAnsi="Times New Roman" w:cs="Times New Roman" w:hint="eastAsia"/>
          <w:noProof/>
          <w:sz w:val="24"/>
          <w:szCs w:val="24"/>
        </w:rPr>
        <w:lastRenderedPageBreak/>
        <w:drawing>
          <wp:inline distT="0" distB="0" distL="0" distR="0" wp14:anchorId="2FC424AC" wp14:editId="4F724706">
            <wp:extent cx="5731510" cy="2220899"/>
            <wp:effectExtent l="0" t="0" r="2540" b="8255"/>
            <wp:docPr id="9"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2220899"/>
                    </a:xfrm>
                    <a:prstGeom prst="rect">
                      <a:avLst/>
                    </a:prstGeom>
                    <a:noFill/>
                    <a:ln>
                      <a:noFill/>
                    </a:ln>
                  </pic:spPr>
                </pic:pic>
              </a:graphicData>
            </a:graphic>
          </wp:inline>
        </w:drawing>
      </w:r>
    </w:p>
    <w:p w14:paraId="77399E50" w14:textId="6BACA19F" w:rsidR="00C70302" w:rsidRPr="0042065C" w:rsidRDefault="00EA7466" w:rsidP="0092433C">
      <w:pPr>
        <w:widowControl/>
        <w:wordWrap/>
        <w:autoSpaceDE/>
        <w:autoSpaceDN/>
        <w:spacing w:after="0" w:line="360" w:lineRule="auto"/>
        <w:rPr>
          <w:rFonts w:ascii="Times New Roman" w:hAnsi="Times New Roman" w:cs="Times New Roman"/>
          <w:b/>
          <w:sz w:val="24"/>
          <w:szCs w:val="24"/>
        </w:rPr>
      </w:pPr>
      <w:r>
        <w:rPr>
          <w:rFonts w:ascii="Times New Roman" w:hAnsi="Times New Roman" w:cs="Times New Roman"/>
          <w:b/>
          <w:sz w:val="24"/>
          <w:szCs w:val="24"/>
        </w:rPr>
        <w:t>Figure</w:t>
      </w:r>
      <w:r w:rsidR="007809B6">
        <w:rPr>
          <w:rFonts w:ascii="Times New Roman" w:hAnsi="Times New Roman" w:cs="Times New Roman"/>
          <w:b/>
          <w:sz w:val="24"/>
          <w:szCs w:val="24"/>
        </w:rPr>
        <w:t xml:space="preserve"> S7</w:t>
      </w:r>
      <w:r w:rsidR="00C70302" w:rsidRPr="00C70302">
        <w:rPr>
          <w:rFonts w:ascii="Times New Roman" w:hAnsi="Times New Roman" w:cs="Times New Roman"/>
          <w:b/>
          <w:sz w:val="24"/>
          <w:szCs w:val="24"/>
        </w:rPr>
        <w:t>. BrdU-labeling assay</w:t>
      </w:r>
      <w:r w:rsidR="00C70302">
        <w:rPr>
          <w:rFonts w:ascii="Times New Roman" w:hAnsi="Times New Roman" w:cs="Times New Roman"/>
          <w:b/>
          <w:sz w:val="24"/>
          <w:szCs w:val="24"/>
        </w:rPr>
        <w:t xml:space="preserve"> for cell proliferation analysis. </w:t>
      </w:r>
      <w:r w:rsidR="00C70302" w:rsidRPr="0084503F">
        <w:rPr>
          <w:rFonts w:ascii="Times New Roman" w:hAnsi="Times New Roman" w:cs="Times New Roman"/>
          <w:sz w:val="24"/>
          <w:szCs w:val="24"/>
        </w:rPr>
        <w:t>Spleen was isolated from humanized mice generated using hCD34</w:t>
      </w:r>
      <w:r w:rsidR="00C70302" w:rsidRPr="0084503F">
        <w:rPr>
          <w:rFonts w:ascii="Times New Roman" w:hAnsi="Times New Roman" w:cs="Times New Roman"/>
          <w:sz w:val="24"/>
          <w:szCs w:val="24"/>
          <w:vertAlign w:val="superscript"/>
        </w:rPr>
        <w:t>+</w:t>
      </w:r>
      <w:r w:rsidR="00C70302" w:rsidRPr="0084503F">
        <w:rPr>
          <w:rFonts w:ascii="Times New Roman" w:hAnsi="Times New Roman" w:cs="Times New Roman"/>
          <w:sz w:val="24"/>
          <w:szCs w:val="24"/>
        </w:rPr>
        <w:t xml:space="preserve"> CB cells together with hDlk1-expressing MSCs.</w:t>
      </w:r>
      <w:r w:rsidR="00C70302">
        <w:rPr>
          <w:rFonts w:ascii="Times New Roman" w:hAnsi="Times New Roman" w:cs="Times New Roman"/>
          <w:sz w:val="24"/>
          <w:szCs w:val="24"/>
        </w:rPr>
        <w:t xml:space="preserve"> </w:t>
      </w:r>
      <w:r w:rsidR="00C70302" w:rsidRPr="0084503F">
        <w:rPr>
          <w:rFonts w:ascii="Times New Roman" w:hAnsi="Times New Roman" w:cs="Times New Roman"/>
          <w:sz w:val="24"/>
          <w:szCs w:val="24"/>
        </w:rPr>
        <w:t>hCD3</w:t>
      </w:r>
      <w:r w:rsidR="00C70302" w:rsidRPr="0084503F">
        <w:rPr>
          <w:rFonts w:ascii="Times New Roman" w:hAnsi="Times New Roman" w:cs="Times New Roman"/>
          <w:sz w:val="24"/>
          <w:szCs w:val="24"/>
          <w:vertAlign w:val="superscript"/>
        </w:rPr>
        <w:t>+</w:t>
      </w:r>
      <w:r w:rsidR="00C70302" w:rsidRPr="0084503F">
        <w:rPr>
          <w:rFonts w:ascii="Times New Roman" w:hAnsi="Times New Roman" w:cs="Times New Roman"/>
          <w:sz w:val="24"/>
          <w:szCs w:val="24"/>
        </w:rPr>
        <w:t xml:space="preserve"> T cells were </w:t>
      </w:r>
      <w:r w:rsidR="00C70302" w:rsidRPr="00B8259C">
        <w:rPr>
          <w:rFonts w:ascii="Times New Roman" w:hAnsi="Times New Roman" w:cs="Times New Roman"/>
          <w:sz w:val="24"/>
          <w:szCs w:val="24"/>
        </w:rPr>
        <w:t>sorted, and BrdU-labeling assay was performed, as described</w:t>
      </w:r>
      <w:r w:rsidR="00C70302">
        <w:rPr>
          <w:rFonts w:ascii="Times New Roman" w:hAnsi="Times New Roman" w:cs="Times New Roman"/>
          <w:sz w:val="24"/>
          <w:szCs w:val="24"/>
        </w:rPr>
        <w:t xml:space="preserve"> in </w:t>
      </w:r>
      <w:r w:rsidR="00C70302" w:rsidRPr="00320665">
        <w:rPr>
          <w:rFonts w:ascii="Times New Roman" w:hAnsi="Times New Roman" w:cs="Times New Roman"/>
          <w:sz w:val="24"/>
          <w:szCs w:val="24"/>
        </w:rPr>
        <w:t>the Supplementary Materials and Methods</w:t>
      </w:r>
      <w:r w:rsidR="00B8259C">
        <w:rPr>
          <w:rFonts w:ascii="Times New Roman" w:hAnsi="Times New Roman" w:cs="Times New Roman"/>
          <w:sz w:val="24"/>
          <w:szCs w:val="24"/>
        </w:rPr>
        <w:t xml:space="preserve">. </w:t>
      </w:r>
      <w:r w:rsidR="00B8259C" w:rsidRPr="0084503F">
        <w:rPr>
          <w:rFonts w:ascii="Times New Roman" w:hAnsi="Times New Roman" w:cs="Times New Roman"/>
          <w:sz w:val="24"/>
          <w:szCs w:val="24"/>
        </w:rPr>
        <w:t xml:space="preserve">Percentages of </w:t>
      </w:r>
      <w:r w:rsidR="00B8259C" w:rsidRPr="0042065C">
        <w:rPr>
          <w:rFonts w:ascii="Times New Roman" w:hAnsi="Times New Roman" w:cs="Times New Roman"/>
          <w:sz w:val="24"/>
          <w:szCs w:val="24"/>
        </w:rPr>
        <w:t xml:space="preserve">cells were obtained by manual flow cytometric gating method. Data are shown as the average of </w:t>
      </w:r>
      <w:r w:rsidR="0068476B" w:rsidRPr="0042065C">
        <w:rPr>
          <w:rFonts w:ascii="Times New Roman" w:hAnsi="Times New Roman" w:cs="Times New Roman"/>
          <w:sz w:val="24"/>
          <w:szCs w:val="24"/>
        </w:rPr>
        <w:t>three</w:t>
      </w:r>
      <w:r w:rsidR="00B8259C" w:rsidRPr="0042065C">
        <w:rPr>
          <w:rFonts w:ascii="Times New Roman" w:hAnsi="Times New Roman" w:cs="Times New Roman"/>
          <w:sz w:val="24"/>
          <w:szCs w:val="24"/>
        </w:rPr>
        <w:t xml:space="preserve"> different experimental samples (± S.D). </w:t>
      </w:r>
      <w:r w:rsidR="00C70302" w:rsidRPr="0042065C">
        <w:rPr>
          <w:rFonts w:ascii="Times New Roman" w:hAnsi="Times New Roman" w:cs="Times New Roman"/>
          <w:b/>
          <w:sz w:val="24"/>
          <w:szCs w:val="24"/>
        </w:rPr>
        <w:t xml:space="preserve"> </w:t>
      </w:r>
      <w:r w:rsidR="00C70302" w:rsidRPr="0042065C">
        <w:rPr>
          <w:rFonts w:ascii="Times New Roman" w:hAnsi="Times New Roman" w:cs="Times New Roman"/>
          <w:sz w:val="24"/>
          <w:szCs w:val="24"/>
        </w:rPr>
        <w:t xml:space="preserve"> </w:t>
      </w:r>
    </w:p>
    <w:p w14:paraId="787B6DAD" w14:textId="77777777" w:rsidR="00C70302" w:rsidRPr="0042065C" w:rsidRDefault="00C70302" w:rsidP="0092433C">
      <w:pPr>
        <w:wordWrap/>
        <w:spacing w:after="0" w:line="360" w:lineRule="auto"/>
        <w:rPr>
          <w:rFonts w:ascii="Times New Roman" w:hAnsi="Times New Roman" w:cs="Times New Roman"/>
          <w:b/>
          <w:sz w:val="24"/>
          <w:szCs w:val="24"/>
        </w:rPr>
      </w:pPr>
    </w:p>
    <w:sectPr w:rsidR="00C70302" w:rsidRPr="0042065C">
      <w:footerReference w:type="default" r:id="rId15"/>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7AD45" w14:textId="77777777" w:rsidR="00AF0A26" w:rsidRDefault="00AF0A26" w:rsidP="007809B6">
      <w:pPr>
        <w:spacing w:after="0" w:line="240" w:lineRule="auto"/>
      </w:pPr>
      <w:r>
        <w:separator/>
      </w:r>
    </w:p>
  </w:endnote>
  <w:endnote w:type="continuationSeparator" w:id="0">
    <w:p w14:paraId="012E5DA8" w14:textId="77777777" w:rsidR="00AF0A26" w:rsidRDefault="00AF0A26" w:rsidP="0078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6914"/>
      <w:docPartObj>
        <w:docPartGallery w:val="Page Numbers (Bottom of Page)"/>
        <w:docPartUnique/>
      </w:docPartObj>
    </w:sdtPr>
    <w:sdtContent>
      <w:p w14:paraId="3F49A97B" w14:textId="6DD98447" w:rsidR="00E20E2B" w:rsidRDefault="00E20E2B">
        <w:pPr>
          <w:pStyle w:val="a4"/>
          <w:jc w:val="center"/>
        </w:pPr>
        <w:r>
          <w:fldChar w:fldCharType="begin"/>
        </w:r>
        <w:r>
          <w:instrText>PAGE   \* MERGEFORMAT</w:instrText>
        </w:r>
        <w:r>
          <w:fldChar w:fldCharType="separate"/>
        </w:r>
        <w:r w:rsidRPr="00E20E2B">
          <w:rPr>
            <w:noProof/>
            <w:lang w:val="ko-KR"/>
          </w:rPr>
          <w:t>10</w:t>
        </w:r>
        <w:r>
          <w:fldChar w:fldCharType="end"/>
        </w:r>
      </w:p>
    </w:sdtContent>
  </w:sdt>
  <w:p w14:paraId="00A02BEA" w14:textId="77777777" w:rsidR="00E20E2B" w:rsidRDefault="00E20E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510F3" w14:textId="77777777" w:rsidR="00AF0A26" w:rsidRDefault="00AF0A26" w:rsidP="007809B6">
      <w:pPr>
        <w:spacing w:after="0" w:line="240" w:lineRule="auto"/>
      </w:pPr>
      <w:r>
        <w:separator/>
      </w:r>
    </w:p>
  </w:footnote>
  <w:footnote w:type="continuationSeparator" w:id="0">
    <w:p w14:paraId="5443FF3F" w14:textId="77777777" w:rsidR="00AF0A26" w:rsidRDefault="00AF0A26" w:rsidP="00780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62087"/>
    <w:multiLevelType w:val="hybridMultilevel"/>
    <w:tmpl w:val="26609B60"/>
    <w:lvl w:ilvl="0" w:tplc="84AC522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2"/>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15C"/>
    <w:rsid w:val="001547E9"/>
    <w:rsid w:val="00250112"/>
    <w:rsid w:val="002862BE"/>
    <w:rsid w:val="00290DDA"/>
    <w:rsid w:val="00320665"/>
    <w:rsid w:val="003C6F46"/>
    <w:rsid w:val="0042065C"/>
    <w:rsid w:val="0047195F"/>
    <w:rsid w:val="005B2BBB"/>
    <w:rsid w:val="005E0DEC"/>
    <w:rsid w:val="006154FE"/>
    <w:rsid w:val="00631574"/>
    <w:rsid w:val="0068476B"/>
    <w:rsid w:val="0076115C"/>
    <w:rsid w:val="007809B6"/>
    <w:rsid w:val="007C60DE"/>
    <w:rsid w:val="00874D78"/>
    <w:rsid w:val="008A22D0"/>
    <w:rsid w:val="008D17F5"/>
    <w:rsid w:val="0090050A"/>
    <w:rsid w:val="0092433C"/>
    <w:rsid w:val="009F5CA9"/>
    <w:rsid w:val="00AF0A26"/>
    <w:rsid w:val="00B8259C"/>
    <w:rsid w:val="00BD2A53"/>
    <w:rsid w:val="00C70302"/>
    <w:rsid w:val="00CC292C"/>
    <w:rsid w:val="00D31B85"/>
    <w:rsid w:val="00DA4BDC"/>
    <w:rsid w:val="00DD4002"/>
    <w:rsid w:val="00E20E2B"/>
    <w:rsid w:val="00E415FF"/>
    <w:rsid w:val="00EA7466"/>
    <w:rsid w:val="00FE12F2"/>
    <w:rsid w:val="00FF76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25DC4"/>
  <w15:chartTrackingRefBased/>
  <w15:docId w15:val="{9BB0BB20-6D2C-4C61-A485-492884C5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09B6"/>
    <w:pPr>
      <w:tabs>
        <w:tab w:val="center" w:pos="4513"/>
        <w:tab w:val="right" w:pos="9026"/>
      </w:tabs>
      <w:snapToGrid w:val="0"/>
    </w:pPr>
  </w:style>
  <w:style w:type="character" w:customStyle="1" w:styleId="Char">
    <w:name w:val="머리글 Char"/>
    <w:basedOn w:val="a0"/>
    <w:link w:val="a3"/>
    <w:uiPriority w:val="99"/>
    <w:rsid w:val="007809B6"/>
  </w:style>
  <w:style w:type="paragraph" w:styleId="a4">
    <w:name w:val="footer"/>
    <w:basedOn w:val="a"/>
    <w:link w:val="Char0"/>
    <w:uiPriority w:val="99"/>
    <w:unhideWhenUsed/>
    <w:rsid w:val="007809B6"/>
    <w:pPr>
      <w:tabs>
        <w:tab w:val="center" w:pos="4513"/>
        <w:tab w:val="right" w:pos="9026"/>
      </w:tabs>
      <w:snapToGrid w:val="0"/>
    </w:pPr>
  </w:style>
  <w:style w:type="character" w:customStyle="1" w:styleId="Char0">
    <w:name w:val="바닥글 Char"/>
    <w:basedOn w:val="a0"/>
    <w:link w:val="a4"/>
    <w:uiPriority w:val="99"/>
    <w:rsid w:val="007809B6"/>
  </w:style>
  <w:style w:type="paragraph" w:styleId="a5">
    <w:name w:val="List Paragraph"/>
    <w:basedOn w:val="a"/>
    <w:uiPriority w:val="34"/>
    <w:qFormat/>
    <w:rsid w:val="009F5CA9"/>
    <w:pPr>
      <w:ind w:left="720"/>
      <w:contextualSpacing/>
    </w:pPr>
  </w:style>
  <w:style w:type="paragraph" w:styleId="a6">
    <w:name w:val="Balloon Text"/>
    <w:basedOn w:val="a"/>
    <w:link w:val="Char1"/>
    <w:uiPriority w:val="99"/>
    <w:semiHidden/>
    <w:unhideWhenUsed/>
    <w:rsid w:val="00DD4002"/>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DD40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870997">
      <w:bodyDiv w:val="1"/>
      <w:marLeft w:val="0"/>
      <w:marRight w:val="0"/>
      <w:marTop w:val="0"/>
      <w:marBottom w:val="0"/>
      <w:divBdr>
        <w:top w:val="none" w:sz="0" w:space="0" w:color="auto"/>
        <w:left w:val="none" w:sz="0" w:space="0" w:color="auto"/>
        <w:bottom w:val="none" w:sz="0" w:space="0" w:color="auto"/>
        <w:right w:val="none" w:sz="0" w:space="0" w:color="auto"/>
      </w:divBdr>
      <w:divsChild>
        <w:div w:id="1100174953">
          <w:marLeft w:val="0"/>
          <w:marRight w:val="0"/>
          <w:marTop w:val="0"/>
          <w:marBottom w:val="240"/>
          <w:divBdr>
            <w:top w:val="none" w:sz="0" w:space="0" w:color="auto"/>
            <w:left w:val="none" w:sz="0" w:space="0" w:color="auto"/>
            <w:bottom w:val="none" w:sz="0" w:space="0" w:color="auto"/>
            <w:right w:val="none" w:sz="0" w:space="0" w:color="auto"/>
          </w:divBdr>
          <w:divsChild>
            <w:div w:id="11153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46566">
      <w:bodyDiv w:val="1"/>
      <w:marLeft w:val="0"/>
      <w:marRight w:val="0"/>
      <w:marTop w:val="0"/>
      <w:marBottom w:val="0"/>
      <w:divBdr>
        <w:top w:val="none" w:sz="0" w:space="0" w:color="auto"/>
        <w:left w:val="none" w:sz="0" w:space="0" w:color="auto"/>
        <w:bottom w:val="none" w:sz="0" w:space="0" w:color="auto"/>
        <w:right w:val="none" w:sz="0" w:space="0" w:color="auto"/>
      </w:divBdr>
      <w:divsChild>
        <w:div w:id="745230969">
          <w:marLeft w:val="0"/>
          <w:marRight w:val="0"/>
          <w:marTop w:val="0"/>
          <w:marBottom w:val="0"/>
          <w:divBdr>
            <w:top w:val="none" w:sz="0" w:space="0" w:color="auto"/>
            <w:left w:val="none" w:sz="0" w:space="0" w:color="auto"/>
            <w:bottom w:val="none" w:sz="0" w:space="0" w:color="auto"/>
            <w:right w:val="none" w:sz="0" w:space="0" w:color="auto"/>
          </w:divBdr>
          <w:divsChild>
            <w:div w:id="2066028680">
              <w:marLeft w:val="0"/>
              <w:marRight w:val="0"/>
              <w:marTop w:val="0"/>
              <w:marBottom w:val="0"/>
              <w:divBdr>
                <w:top w:val="none" w:sz="0" w:space="0" w:color="auto"/>
                <w:left w:val="none" w:sz="0" w:space="0" w:color="auto"/>
                <w:bottom w:val="none" w:sz="0" w:space="0" w:color="auto"/>
                <w:right w:val="none" w:sz="0" w:space="0" w:color="auto"/>
              </w:divBdr>
              <w:divsChild>
                <w:div w:id="176576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770038">
      <w:bodyDiv w:val="1"/>
      <w:marLeft w:val="0"/>
      <w:marRight w:val="0"/>
      <w:marTop w:val="0"/>
      <w:marBottom w:val="0"/>
      <w:divBdr>
        <w:top w:val="none" w:sz="0" w:space="0" w:color="auto"/>
        <w:left w:val="none" w:sz="0" w:space="0" w:color="auto"/>
        <w:bottom w:val="none" w:sz="0" w:space="0" w:color="auto"/>
        <w:right w:val="none" w:sz="0" w:space="0" w:color="auto"/>
      </w:divBdr>
      <w:divsChild>
        <w:div w:id="547423791">
          <w:marLeft w:val="0"/>
          <w:marRight w:val="0"/>
          <w:marTop w:val="0"/>
          <w:marBottom w:val="240"/>
          <w:divBdr>
            <w:top w:val="none" w:sz="0" w:space="0" w:color="auto"/>
            <w:left w:val="none" w:sz="0" w:space="0" w:color="auto"/>
            <w:bottom w:val="none" w:sz="0" w:space="0" w:color="auto"/>
            <w:right w:val="none" w:sz="0" w:space="0" w:color="auto"/>
          </w:divBdr>
          <w:divsChild>
            <w:div w:id="15939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125704">
      <w:bodyDiv w:val="1"/>
      <w:marLeft w:val="0"/>
      <w:marRight w:val="0"/>
      <w:marTop w:val="0"/>
      <w:marBottom w:val="0"/>
      <w:divBdr>
        <w:top w:val="none" w:sz="0" w:space="0" w:color="auto"/>
        <w:left w:val="none" w:sz="0" w:space="0" w:color="auto"/>
        <w:bottom w:val="none" w:sz="0" w:space="0" w:color="auto"/>
        <w:right w:val="none" w:sz="0" w:space="0" w:color="auto"/>
      </w:divBdr>
      <w:divsChild>
        <w:div w:id="1289970774">
          <w:marLeft w:val="0"/>
          <w:marRight w:val="0"/>
          <w:marTop w:val="0"/>
          <w:marBottom w:val="0"/>
          <w:divBdr>
            <w:top w:val="none" w:sz="0" w:space="0" w:color="auto"/>
            <w:left w:val="none" w:sz="0" w:space="0" w:color="auto"/>
            <w:bottom w:val="none" w:sz="0" w:space="0" w:color="auto"/>
            <w:right w:val="none" w:sz="0" w:space="0" w:color="auto"/>
          </w:divBdr>
          <w:divsChild>
            <w:div w:id="1767312437">
              <w:marLeft w:val="0"/>
              <w:marRight w:val="0"/>
              <w:marTop w:val="0"/>
              <w:marBottom w:val="0"/>
              <w:divBdr>
                <w:top w:val="none" w:sz="0" w:space="0" w:color="auto"/>
                <w:left w:val="none" w:sz="0" w:space="0" w:color="auto"/>
                <w:bottom w:val="none" w:sz="0" w:space="0" w:color="auto"/>
                <w:right w:val="none" w:sz="0" w:space="0" w:color="auto"/>
              </w:divBdr>
              <w:divsChild>
                <w:div w:id="126179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8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252E-C722-410D-B3EA-28EF6EAA6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1472</Words>
  <Characters>8394</Characters>
  <Application>Microsoft Office Word</Application>
  <DocSecurity>0</DocSecurity>
  <Lines>69</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이기영</dc:creator>
  <cp:keywords/>
  <dc:description/>
  <cp:lastModifiedBy>이기영</cp:lastModifiedBy>
  <cp:revision>2</cp:revision>
  <cp:lastPrinted>2021-02-17T23:04:00Z</cp:lastPrinted>
  <dcterms:created xsi:type="dcterms:W3CDTF">2021-02-18T22:59:00Z</dcterms:created>
  <dcterms:modified xsi:type="dcterms:W3CDTF">2021-02-18T22:59:00Z</dcterms:modified>
</cp:coreProperties>
</file>