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topFromText="180" w:bottomFromText="180" w:vertAnchor="text" w:horzAnchor="margin" w:tblpXSpec="center" w:tblpYSpec="top"/>
        <w:tblW w:w="10426" w:type="dxa"/>
        <w:tblBorders>
          <w:top w:val="single" w:sz="2" w:space="0" w:color="F4B083"/>
          <w:bottom w:val="single" w:sz="2" w:space="0" w:color="F4B083"/>
          <w:insideH w:val="single" w:sz="2" w:space="0" w:color="F4B083"/>
          <w:insideV w:val="single" w:sz="2" w:space="0" w:color="F4B083"/>
        </w:tblBorders>
        <w:tblLayout w:type="fixed"/>
        <w:tblLook w:val="0000" w:firstRow="0" w:lastRow="0" w:firstColumn="0" w:lastColumn="0" w:noHBand="0" w:noVBand="0"/>
      </w:tblPr>
      <w:tblGrid>
        <w:gridCol w:w="409"/>
        <w:gridCol w:w="4134"/>
        <w:gridCol w:w="2777"/>
        <w:gridCol w:w="2662"/>
        <w:gridCol w:w="444"/>
      </w:tblGrid>
      <w:tr w:rsidR="00E85AA7" w14:paraId="2665746C" w14:textId="77777777" w:rsidTr="00F63164">
        <w:trPr>
          <w:trHeight w:val="1016"/>
        </w:trPr>
        <w:tc>
          <w:tcPr>
            <w:tcW w:w="392" w:type="dxa"/>
            <w:vMerge w:val="restart"/>
            <w:tcBorders>
              <w:top w:val="nil"/>
              <w:bottom w:val="single" w:sz="12" w:space="0" w:color="F4B083"/>
              <w:right w:val="nil"/>
            </w:tcBorders>
            <w:shd w:val="clear" w:color="auto" w:fill="FFFFFF"/>
            <w:textDirection w:val="tbRlV"/>
          </w:tcPr>
          <w:p w14:paraId="0867AAE6" w14:textId="77777777" w:rsidR="00E85AA7" w:rsidRDefault="00E85AA7" w:rsidP="00F63164">
            <w:pPr>
              <w:widowControl/>
              <w:jc w:val="left"/>
              <w:rPr>
                <w:rFonts w:ascii="Times New Roman" w:eastAsia="微软雅黑" w:hAnsi="Times New Roman"/>
                <w:b/>
                <w:bCs/>
                <w:color w:val="000000"/>
                <w:sz w:val="20"/>
                <w:szCs w:val="20"/>
              </w:rPr>
            </w:pPr>
            <w:r>
              <w:rPr>
                <w:rFonts w:ascii="Times New Roman" w:eastAsia="微软雅黑" w:hAnsi="Times New Roman"/>
                <w:b/>
                <w:bCs/>
                <w:color w:val="000000"/>
                <w:sz w:val="20"/>
                <w:szCs w:val="20"/>
              </w:rPr>
              <w:t xml:space="preserve">F, female; M, male; </w:t>
            </w:r>
            <w:r>
              <w:rPr>
                <w:rFonts w:ascii="Times New Roman" w:eastAsia="微软雅黑" w:hAnsi="Times New Roman" w:hint="eastAsia"/>
                <w:b/>
                <w:bCs/>
                <w:color w:val="000000"/>
                <w:sz w:val="20"/>
                <w:szCs w:val="20"/>
              </w:rPr>
              <w:t>I</w:t>
            </w:r>
            <w:r>
              <w:rPr>
                <w:rFonts w:ascii="Times New Roman" w:eastAsia="微软雅黑" w:hAnsi="Times New Roman"/>
                <w:b/>
                <w:bCs/>
                <w:color w:val="000000"/>
                <w:sz w:val="20"/>
                <w:szCs w:val="20"/>
              </w:rPr>
              <w:t>PR, interproximal reduction</w:t>
            </w:r>
          </w:p>
        </w:tc>
        <w:tc>
          <w:tcPr>
            <w:tcW w:w="3961" w:type="dxa"/>
            <w:tcBorders>
              <w:top w:val="nil"/>
              <w:left w:val="nil"/>
              <w:bottom w:val="single" w:sz="12" w:space="0" w:color="F4B083"/>
              <w:right w:val="nil"/>
            </w:tcBorders>
            <w:shd w:val="clear" w:color="auto" w:fill="FFFFFF"/>
            <w:textDirection w:val="tbRlV"/>
          </w:tcPr>
          <w:p w14:paraId="0C13F8CC" w14:textId="77777777" w:rsidR="00E85AA7" w:rsidRDefault="00E85AA7" w:rsidP="00F63164">
            <w:pPr>
              <w:widowControl/>
              <w:jc w:val="left"/>
              <w:rPr>
                <w:rFonts w:ascii="Times New Roman" w:eastAsia="微软雅黑" w:hAnsi="Times New Roman"/>
                <w:b/>
                <w:bCs/>
                <w:color w:val="000000"/>
                <w:sz w:val="20"/>
                <w:szCs w:val="20"/>
              </w:rPr>
            </w:pPr>
            <w:r>
              <w:rPr>
                <w:rFonts w:ascii="Times New Roman" w:eastAsia="微软雅黑" w:hAnsi="Times New Roman"/>
                <w:b/>
                <w:bCs/>
                <w:color w:val="000000"/>
                <w:sz w:val="20"/>
                <w:szCs w:val="20"/>
              </w:rPr>
              <w:t>Houle et al.</w:t>
            </w:r>
            <w:r>
              <w:rPr>
                <w:rFonts w:ascii="Times New Roman" w:eastAsia="微软雅黑" w:hAnsi="Times New Roman"/>
                <w:b/>
                <w:bCs/>
                <w:color w:val="000000"/>
                <w:sz w:val="20"/>
                <w:szCs w:val="20"/>
              </w:rPr>
              <w:fldChar w:fldCharType="begin"/>
            </w:r>
            <w:r>
              <w:rPr>
                <w:rFonts w:ascii="Times New Roman" w:eastAsia="微软雅黑" w:hAnsi="Times New Roman"/>
                <w:b/>
                <w:bCs/>
                <w:color w:val="000000"/>
                <w:sz w:val="20"/>
                <w:szCs w:val="20"/>
              </w:rPr>
              <w:instrText xml:space="preserve"> ADDIN EN.CITE &lt;EndNote&gt;&lt;Cite&gt;&lt;Author&gt;Houle&lt;/Author&gt;&lt;Year&gt;2017&lt;/Year&gt;&lt;RecNum&gt;19&lt;/RecNum&gt;&lt;DisplayText&gt;&lt;style face="superscript"&gt;[14]&lt;/style&gt;&lt;/DisplayText&gt;&lt;record&gt;&lt;rec-number&gt;19&lt;/rec-number&gt;&lt;foreign-keys&gt;&lt;key app="EN" db-id="09t5tvz5l9xermetrx05d05iexwr0fadrsea" timestamp="1661397343"&gt;19&lt;/key&gt;&lt;key app="ENWeb" db-id=""&gt;0&lt;/key&gt;&lt;/foreign-keys&gt;&lt;ref-type name="Journal Article"&gt;17&lt;/ref-type&gt;&lt;contributors&gt;&lt;authors&gt;&lt;author&gt;Houle, J. P.&lt;/author&gt;&lt;author&gt;Piedade, L.&lt;/author&gt;&lt;author&gt;Todescan, R., Jr.&lt;/author&gt;&lt;author&gt;Pinheiro, F. H.&lt;/author&gt;&lt;/authors&gt;&lt;/contributors&gt;&lt;titles&gt;&lt;title&gt;The predictability of transverse changes with Invisalign&lt;/title&gt;&lt;secondary-title&gt;Angle Orthod&lt;/secondary-title&gt;&lt;/titles&gt;&lt;periodical&gt;&lt;full-title&gt;Angle Orthod&lt;/full-title&gt;&lt;/periodical&gt;&lt;pages&gt;19-24&lt;/pages&gt;&lt;volume&gt;87&lt;/volume&gt;&lt;number&gt;1&lt;/number&gt;&lt;edition&gt;2016/11/02&lt;/edition&gt;&lt;keywords&gt;&lt;keyword&gt;Adolescent&lt;/keyword&gt;&lt;keyword&gt;Adult&lt;/keyword&gt;&lt;keyword&gt;Analysis of Variance&lt;/keyword&gt;&lt;keyword&gt;Australia&lt;/keyword&gt;&lt;keyword&gt;Female&lt;/keyword&gt;&lt;keyword&gt;Forecasting&lt;/keyword&gt;&lt;keyword&gt;Humans&lt;/keyword&gt;&lt;keyword&gt;Male&lt;/keyword&gt;&lt;keyword&gt;Malocclusion/*diagnosis/*therapy&lt;/keyword&gt;&lt;keyword&gt;Mandible&lt;/keyword&gt;&lt;keyword&gt;Maxilla&lt;/keyword&gt;&lt;keyword&gt;Middle Aged&lt;/keyword&gt;&lt;keyword&gt;*Orthodontic Appliances, Removable&lt;/keyword&gt;&lt;keyword&gt;Orthodontic Retainers&lt;/keyword&gt;&lt;keyword&gt;Orthodontics, Corrective/*instrumentation/*methods/statistics &amp;amp; numerical data&lt;/keyword&gt;&lt;keyword&gt;Retrospective Studies&lt;/keyword&gt;&lt;keyword&gt;Treatment Outcome&lt;/keyword&gt;&lt;keyword&gt;Young Adult&lt;/keyword&gt;&lt;keyword&gt;Invisalign&lt;/keyword&gt;&lt;keyword&gt;Predictability&lt;/keyword&gt;&lt;/keywords&gt;&lt;dates&gt;&lt;year&gt;2017&lt;/year&gt;&lt;pub-dates&gt;&lt;date&gt;Jan&lt;/date&gt;&lt;/pub-dates&gt;&lt;/dates&gt;&lt;isbn&gt;1945-7103 (Electronic)&amp;#xD;0003-3219 (Linking)&lt;/isbn&gt;&lt;accession-num&gt;27304231&lt;/accession-num&gt;&lt;urls&gt;&lt;related-urls&gt;&lt;url&gt;https://www.ncbi.nlm.nih.gov/pubmed/27304231&lt;/url&gt;&lt;/related-urls&gt;&lt;/urls&gt;&lt;custom2&gt;PMC8388591&lt;/custom2&gt;&lt;electronic-resource-num&gt;10.2319/122115-875.1&lt;/electronic-resource-num&gt;&lt;/record&gt;&lt;/Cite&gt;&lt;/EndNote&gt;</w:instrText>
            </w:r>
            <w:r>
              <w:rPr>
                <w:rFonts w:ascii="Times New Roman" w:eastAsia="微软雅黑" w:hAnsi="Times New Roman"/>
                <w:b/>
                <w:bCs/>
                <w:color w:val="000000"/>
                <w:sz w:val="20"/>
                <w:szCs w:val="20"/>
              </w:rPr>
              <w:fldChar w:fldCharType="separate"/>
            </w:r>
            <w:r>
              <w:rPr>
                <w:rFonts w:ascii="Times New Roman" w:eastAsia="微软雅黑" w:hAnsi="Times New Roman"/>
                <w:b/>
                <w:bCs/>
                <w:color w:val="000000"/>
                <w:sz w:val="20"/>
                <w:szCs w:val="20"/>
                <w:vertAlign w:val="superscript"/>
                <w:lang w:val="en-US" w:eastAsia="zh-CN"/>
              </w:rPr>
              <w:t>[14]</w:t>
            </w:r>
            <w:r>
              <w:rPr>
                <w:rFonts w:ascii="Times New Roman" w:eastAsia="微软雅黑" w:hAnsi="Times New Roman"/>
                <w:b/>
                <w:bCs/>
                <w:color w:val="000000"/>
                <w:sz w:val="20"/>
                <w:szCs w:val="20"/>
              </w:rPr>
              <w:fldChar w:fldCharType="end"/>
            </w:r>
            <w:r>
              <w:rPr>
                <w:rFonts w:ascii="Times New Roman" w:eastAsia="微软雅黑" w:hAnsi="Times New Roman"/>
                <w:b/>
                <w:bCs/>
                <w:color w:val="000000"/>
                <w:sz w:val="20"/>
                <w:szCs w:val="20"/>
              </w:rPr>
              <w:t xml:space="preserve"> (2017)</w:t>
            </w:r>
          </w:p>
          <w:p w14:paraId="753C6945" w14:textId="77777777" w:rsidR="00E85AA7" w:rsidRDefault="00E85AA7" w:rsidP="00F63164">
            <w:pPr>
              <w:ind w:left="113" w:right="113"/>
              <w:jc w:val="left"/>
              <w:rPr>
                <w:rFonts w:ascii="Times New Roman" w:hAnsi="Times New Roman"/>
                <w:b/>
                <w:bCs/>
                <w:sz w:val="20"/>
                <w:szCs w:val="20"/>
              </w:rPr>
            </w:pPr>
          </w:p>
        </w:tc>
        <w:tc>
          <w:tcPr>
            <w:tcW w:w="2661" w:type="dxa"/>
            <w:tcBorders>
              <w:top w:val="nil"/>
              <w:left w:val="nil"/>
              <w:bottom w:val="single" w:sz="12" w:space="0" w:color="F4B083"/>
              <w:right w:val="nil"/>
            </w:tcBorders>
            <w:shd w:val="clear" w:color="auto" w:fill="FFFFFF"/>
            <w:textDirection w:val="tbRlV"/>
          </w:tcPr>
          <w:p w14:paraId="299F80FE" w14:textId="77777777" w:rsidR="00E85AA7" w:rsidRDefault="00E85AA7" w:rsidP="00F63164">
            <w:pPr>
              <w:widowControl/>
              <w:jc w:val="left"/>
              <w:rPr>
                <w:rFonts w:ascii="Times New Roman" w:eastAsia="微软雅黑" w:hAnsi="Times New Roman"/>
                <w:b/>
                <w:bCs/>
                <w:color w:val="000000"/>
                <w:sz w:val="20"/>
                <w:szCs w:val="20"/>
              </w:rPr>
            </w:pPr>
            <w:r>
              <w:rPr>
                <w:rFonts w:ascii="Times New Roman" w:eastAsia="微软雅黑" w:hAnsi="Times New Roman"/>
                <w:b/>
                <w:bCs/>
                <w:color w:val="000000"/>
                <w:sz w:val="20"/>
                <w:szCs w:val="20"/>
              </w:rPr>
              <w:t>Grünheid et al.</w:t>
            </w:r>
            <w:r>
              <w:rPr>
                <w:rFonts w:ascii="Times New Roman" w:eastAsia="微软雅黑" w:hAnsi="Times New Roman"/>
                <w:b/>
                <w:bCs/>
                <w:color w:val="000000"/>
                <w:sz w:val="20"/>
                <w:szCs w:val="20"/>
              </w:rPr>
              <w:fldChar w:fldCharType="begin"/>
            </w:r>
            <w:r>
              <w:rPr>
                <w:rFonts w:ascii="Times New Roman" w:eastAsia="微软雅黑" w:hAnsi="Times New Roman"/>
                <w:b/>
                <w:bCs/>
                <w:color w:val="000000"/>
                <w:sz w:val="20"/>
                <w:szCs w:val="20"/>
              </w:rPr>
              <w:instrText xml:space="preserve"> ADDIN EN.CITE </w:instrText>
            </w:r>
            <w:r>
              <w:rPr>
                <w:rFonts w:ascii="Times New Roman" w:eastAsia="微软雅黑" w:hAnsi="Times New Roman"/>
                <w:b/>
                <w:bCs/>
                <w:color w:val="000000"/>
                <w:sz w:val="20"/>
                <w:szCs w:val="20"/>
              </w:rPr>
              <w:fldChar w:fldCharType="begin"/>
            </w:r>
            <w:r>
              <w:rPr>
                <w:rFonts w:ascii="Times New Roman" w:eastAsia="微软雅黑" w:hAnsi="Times New Roman"/>
                <w:b/>
                <w:bCs/>
                <w:color w:val="000000"/>
                <w:sz w:val="20"/>
                <w:szCs w:val="20"/>
              </w:rPr>
              <w:instrText xml:space="preserve"> ADDIN EN.CITE.DATA </w:instrText>
            </w:r>
            <w:r>
              <w:rPr>
                <w:rFonts w:ascii="Times New Roman" w:eastAsia="微软雅黑" w:hAnsi="Times New Roman"/>
                <w:b/>
                <w:bCs/>
                <w:color w:val="000000"/>
                <w:sz w:val="20"/>
                <w:szCs w:val="20"/>
              </w:rPr>
              <w:fldChar w:fldCharType="end"/>
            </w:r>
            <w:r>
              <w:rPr>
                <w:rFonts w:ascii="Times New Roman" w:eastAsia="微软雅黑" w:hAnsi="Times New Roman"/>
                <w:b/>
                <w:bCs/>
                <w:color w:val="000000"/>
                <w:sz w:val="20"/>
                <w:szCs w:val="20"/>
              </w:rPr>
              <w:fldChar w:fldCharType="separate"/>
            </w:r>
            <w:r>
              <w:rPr>
                <w:rFonts w:ascii="Times New Roman" w:eastAsia="微软雅黑" w:hAnsi="Times New Roman"/>
                <w:b/>
                <w:bCs/>
                <w:color w:val="000000"/>
                <w:sz w:val="20"/>
                <w:szCs w:val="20"/>
                <w:vertAlign w:val="superscript"/>
                <w:lang w:val="en-US" w:eastAsia="zh-CN"/>
              </w:rPr>
              <w:t>[15]</w:t>
            </w:r>
            <w:r>
              <w:rPr>
                <w:rFonts w:ascii="Times New Roman" w:eastAsia="微软雅黑" w:hAnsi="Times New Roman"/>
                <w:b/>
                <w:bCs/>
                <w:color w:val="000000"/>
                <w:sz w:val="20"/>
                <w:szCs w:val="20"/>
              </w:rPr>
              <w:fldChar w:fldCharType="end"/>
            </w:r>
            <w:r>
              <w:rPr>
                <w:rFonts w:ascii="Times New Roman" w:eastAsia="微软雅黑" w:hAnsi="Times New Roman"/>
                <w:b/>
                <w:bCs/>
                <w:color w:val="000000"/>
                <w:sz w:val="20"/>
                <w:szCs w:val="20"/>
              </w:rPr>
              <w:t xml:space="preserve"> (2017)</w:t>
            </w:r>
          </w:p>
          <w:p w14:paraId="67244CBD" w14:textId="77777777" w:rsidR="00E85AA7" w:rsidRDefault="00E85AA7" w:rsidP="00F63164">
            <w:pPr>
              <w:ind w:left="113" w:right="113"/>
              <w:jc w:val="left"/>
              <w:rPr>
                <w:rFonts w:ascii="Times New Roman" w:hAnsi="Times New Roman"/>
                <w:b/>
                <w:bCs/>
                <w:sz w:val="20"/>
                <w:szCs w:val="20"/>
              </w:rPr>
            </w:pPr>
          </w:p>
        </w:tc>
        <w:tc>
          <w:tcPr>
            <w:tcW w:w="2551" w:type="dxa"/>
            <w:tcBorders>
              <w:top w:val="nil"/>
              <w:left w:val="nil"/>
              <w:bottom w:val="single" w:sz="12" w:space="0" w:color="F4B083"/>
              <w:right w:val="nil"/>
            </w:tcBorders>
            <w:shd w:val="clear" w:color="auto" w:fill="FFFFFF"/>
            <w:textDirection w:val="tbRlV"/>
          </w:tcPr>
          <w:p w14:paraId="76A0DEE6" w14:textId="77777777" w:rsidR="00E85AA7" w:rsidRDefault="00E85AA7" w:rsidP="00F63164">
            <w:pPr>
              <w:widowControl/>
              <w:jc w:val="left"/>
              <w:rPr>
                <w:rFonts w:ascii="Times New Roman" w:eastAsia="微软雅黑" w:hAnsi="Times New Roman"/>
                <w:b/>
                <w:bCs/>
                <w:color w:val="000000"/>
                <w:sz w:val="20"/>
                <w:szCs w:val="20"/>
              </w:rPr>
            </w:pPr>
            <w:r>
              <w:rPr>
                <w:rFonts w:ascii="Times New Roman" w:eastAsia="微软雅黑" w:hAnsi="Times New Roman"/>
                <w:b/>
                <w:bCs/>
                <w:color w:val="000000"/>
                <w:sz w:val="20"/>
                <w:szCs w:val="20"/>
              </w:rPr>
              <w:t>Duncan et al.</w:t>
            </w:r>
            <w:r>
              <w:rPr>
                <w:rFonts w:ascii="Times New Roman" w:eastAsia="微软雅黑" w:hAnsi="Times New Roman"/>
                <w:b/>
                <w:bCs/>
                <w:color w:val="000000"/>
                <w:sz w:val="20"/>
                <w:szCs w:val="20"/>
              </w:rPr>
              <w:fldChar w:fldCharType="begin"/>
            </w:r>
            <w:r>
              <w:rPr>
                <w:rFonts w:ascii="Times New Roman" w:eastAsia="微软雅黑" w:hAnsi="Times New Roman"/>
                <w:b/>
                <w:bCs/>
                <w:color w:val="000000"/>
                <w:sz w:val="20"/>
                <w:szCs w:val="20"/>
              </w:rPr>
              <w:instrText xml:space="preserve"> ADDIN EN.CITE </w:instrText>
            </w:r>
            <w:r>
              <w:rPr>
                <w:rFonts w:ascii="Times New Roman" w:eastAsia="微软雅黑" w:hAnsi="Times New Roman"/>
                <w:b/>
                <w:bCs/>
                <w:color w:val="000000"/>
                <w:sz w:val="20"/>
                <w:szCs w:val="20"/>
              </w:rPr>
              <w:fldChar w:fldCharType="begin"/>
            </w:r>
            <w:r>
              <w:rPr>
                <w:rFonts w:ascii="Times New Roman" w:eastAsia="微软雅黑" w:hAnsi="Times New Roman"/>
                <w:b/>
                <w:bCs/>
                <w:color w:val="000000"/>
                <w:sz w:val="20"/>
                <w:szCs w:val="20"/>
              </w:rPr>
              <w:instrText xml:space="preserve"> ADDIN EN.CITE.DATA </w:instrText>
            </w:r>
            <w:r>
              <w:rPr>
                <w:rFonts w:ascii="Times New Roman" w:eastAsia="微软雅黑" w:hAnsi="Times New Roman"/>
                <w:b/>
                <w:bCs/>
                <w:color w:val="000000"/>
                <w:sz w:val="20"/>
                <w:szCs w:val="20"/>
              </w:rPr>
              <w:fldChar w:fldCharType="end"/>
            </w:r>
            <w:r>
              <w:rPr>
                <w:rFonts w:ascii="Times New Roman" w:eastAsia="微软雅黑" w:hAnsi="Times New Roman"/>
                <w:b/>
                <w:bCs/>
                <w:color w:val="000000"/>
                <w:sz w:val="20"/>
                <w:szCs w:val="20"/>
              </w:rPr>
              <w:fldChar w:fldCharType="separate"/>
            </w:r>
            <w:r>
              <w:rPr>
                <w:rFonts w:ascii="Times New Roman" w:eastAsia="微软雅黑" w:hAnsi="Times New Roman"/>
                <w:b/>
                <w:bCs/>
                <w:color w:val="000000"/>
                <w:sz w:val="20"/>
                <w:szCs w:val="20"/>
                <w:vertAlign w:val="superscript"/>
                <w:lang w:val="en-US" w:eastAsia="zh-CN"/>
              </w:rPr>
              <w:t>[16]</w:t>
            </w:r>
            <w:r>
              <w:rPr>
                <w:rFonts w:ascii="Times New Roman" w:eastAsia="微软雅黑" w:hAnsi="Times New Roman"/>
                <w:b/>
                <w:bCs/>
                <w:color w:val="000000"/>
                <w:sz w:val="20"/>
                <w:szCs w:val="20"/>
              </w:rPr>
              <w:fldChar w:fldCharType="end"/>
            </w:r>
            <w:r>
              <w:rPr>
                <w:rFonts w:ascii="Times New Roman" w:eastAsia="微软雅黑" w:hAnsi="Times New Roman"/>
                <w:b/>
                <w:bCs/>
                <w:color w:val="000000"/>
                <w:sz w:val="20"/>
                <w:szCs w:val="20"/>
              </w:rPr>
              <w:t xml:space="preserve"> (2016) </w:t>
            </w:r>
          </w:p>
          <w:p w14:paraId="14942182" w14:textId="77777777" w:rsidR="00E85AA7" w:rsidRDefault="00E85AA7" w:rsidP="00F63164">
            <w:pPr>
              <w:ind w:left="113" w:right="113"/>
              <w:jc w:val="left"/>
              <w:rPr>
                <w:rFonts w:ascii="Times New Roman" w:hAnsi="Times New Roman"/>
                <w:b/>
                <w:bCs/>
                <w:sz w:val="20"/>
                <w:szCs w:val="20"/>
              </w:rPr>
            </w:pPr>
          </w:p>
        </w:tc>
        <w:tc>
          <w:tcPr>
            <w:tcW w:w="425" w:type="dxa"/>
            <w:tcBorders>
              <w:top w:val="nil"/>
              <w:left w:val="nil"/>
              <w:bottom w:val="single" w:sz="12" w:space="0" w:color="F4B083"/>
              <w:right w:val="nil"/>
            </w:tcBorders>
            <w:shd w:val="clear" w:color="auto" w:fill="FFFFFF"/>
            <w:textDirection w:val="tbRlV"/>
          </w:tcPr>
          <w:p w14:paraId="11D626C3" w14:textId="77777777" w:rsidR="00E85AA7" w:rsidRDefault="00E85AA7" w:rsidP="00F63164">
            <w:pPr>
              <w:widowControl/>
              <w:ind w:left="113" w:right="113"/>
              <w:jc w:val="left"/>
              <w:rPr>
                <w:rFonts w:ascii="Times New Roman" w:eastAsia="微软雅黑" w:hAnsi="Times New Roman"/>
                <w:b/>
                <w:bCs/>
                <w:color w:val="000000"/>
                <w:sz w:val="20"/>
                <w:szCs w:val="20"/>
              </w:rPr>
            </w:pPr>
            <w:r>
              <w:rPr>
                <w:rFonts w:ascii="Times New Roman" w:eastAsia="微软雅黑" w:hAnsi="Times New Roman"/>
                <w:b/>
                <w:bCs/>
                <w:color w:val="000000"/>
                <w:sz w:val="20"/>
                <w:szCs w:val="20"/>
              </w:rPr>
              <w:t xml:space="preserve">Author </w:t>
            </w:r>
          </w:p>
          <w:p w14:paraId="5F99B299" w14:textId="77777777" w:rsidR="00E85AA7" w:rsidRDefault="00E85AA7" w:rsidP="00F63164">
            <w:pPr>
              <w:ind w:left="113" w:right="113"/>
              <w:jc w:val="left"/>
              <w:rPr>
                <w:rFonts w:ascii="Times New Roman" w:hAnsi="Times New Roman"/>
                <w:b/>
                <w:bCs/>
                <w:sz w:val="20"/>
                <w:szCs w:val="20"/>
              </w:rPr>
            </w:pPr>
          </w:p>
        </w:tc>
      </w:tr>
      <w:tr w:rsidR="00E85AA7" w14:paraId="130E3C88" w14:textId="77777777" w:rsidTr="00F63164">
        <w:trPr>
          <w:trHeight w:val="1933"/>
        </w:trPr>
        <w:tc>
          <w:tcPr>
            <w:tcW w:w="392" w:type="dxa"/>
            <w:vMerge/>
            <w:shd w:val="clear" w:color="auto" w:fill="FBE4D5"/>
            <w:textDirection w:val="tbRlV"/>
          </w:tcPr>
          <w:p w14:paraId="1D3008BC" w14:textId="77777777" w:rsidR="00E85AA7" w:rsidRDefault="00E85AA7" w:rsidP="00F63164">
            <w:pPr>
              <w:widowControl/>
              <w:jc w:val="left"/>
              <w:rPr>
                <w:rFonts w:ascii="Times New Roman" w:eastAsia="微软雅黑" w:hAnsi="Times New Roman"/>
                <w:b/>
                <w:bCs/>
                <w:color w:val="000000"/>
                <w:sz w:val="20"/>
                <w:szCs w:val="20"/>
              </w:rPr>
            </w:pPr>
          </w:p>
        </w:tc>
        <w:tc>
          <w:tcPr>
            <w:tcW w:w="3961" w:type="dxa"/>
            <w:shd w:val="clear" w:color="auto" w:fill="FBE4D5"/>
            <w:textDirection w:val="tbRlV"/>
          </w:tcPr>
          <w:p w14:paraId="56CBE24C"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The predictability of transverse changes with Invisalign</w:t>
            </w:r>
          </w:p>
          <w:p w14:paraId="66B55AD1" w14:textId="77777777" w:rsidR="00E85AA7" w:rsidRDefault="00E85AA7" w:rsidP="00F63164">
            <w:pPr>
              <w:ind w:left="113" w:right="113"/>
              <w:jc w:val="left"/>
              <w:rPr>
                <w:rFonts w:ascii="Times New Roman" w:hAnsi="Times New Roman"/>
                <w:sz w:val="20"/>
                <w:szCs w:val="20"/>
              </w:rPr>
            </w:pPr>
          </w:p>
        </w:tc>
        <w:tc>
          <w:tcPr>
            <w:tcW w:w="2661" w:type="dxa"/>
            <w:shd w:val="clear" w:color="auto" w:fill="FBE4D5"/>
            <w:textDirection w:val="tbRlV"/>
          </w:tcPr>
          <w:p w14:paraId="566A02A1"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How accurate is Invisalign in nonextraction cases? Are predicted tooth positions achieved?</w:t>
            </w:r>
          </w:p>
          <w:p w14:paraId="3BF3BA3F" w14:textId="77777777" w:rsidR="00E85AA7" w:rsidRDefault="00E85AA7" w:rsidP="00F63164">
            <w:pPr>
              <w:ind w:left="113" w:right="113"/>
              <w:jc w:val="left"/>
              <w:rPr>
                <w:rFonts w:ascii="Times New Roman" w:hAnsi="Times New Roman"/>
                <w:sz w:val="20"/>
                <w:szCs w:val="20"/>
              </w:rPr>
            </w:pPr>
          </w:p>
        </w:tc>
        <w:tc>
          <w:tcPr>
            <w:tcW w:w="2551" w:type="dxa"/>
            <w:shd w:val="clear" w:color="auto" w:fill="FBE4D5"/>
            <w:textDirection w:val="tbRlV"/>
          </w:tcPr>
          <w:p w14:paraId="103CE1F9"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Changes in mandibular incisor position and arch form resulting from Invisalign correction of the crowded dentition treated nonextraction</w:t>
            </w:r>
          </w:p>
          <w:p w14:paraId="0AB5D431" w14:textId="77777777" w:rsidR="00E85AA7" w:rsidRDefault="00E85AA7" w:rsidP="00F63164">
            <w:pPr>
              <w:ind w:left="113" w:right="113"/>
              <w:jc w:val="left"/>
              <w:rPr>
                <w:rFonts w:ascii="Times New Roman" w:hAnsi="Times New Roman"/>
                <w:sz w:val="20"/>
                <w:szCs w:val="20"/>
              </w:rPr>
            </w:pPr>
          </w:p>
        </w:tc>
        <w:tc>
          <w:tcPr>
            <w:tcW w:w="425" w:type="dxa"/>
            <w:shd w:val="clear" w:color="auto" w:fill="FBE4D5"/>
            <w:textDirection w:val="tbRlV"/>
          </w:tcPr>
          <w:p w14:paraId="7C9A2142"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Title</w:t>
            </w:r>
          </w:p>
          <w:p w14:paraId="3FFAC96D" w14:textId="77777777" w:rsidR="00E85AA7" w:rsidRDefault="00E85AA7" w:rsidP="00F63164">
            <w:pPr>
              <w:ind w:left="113" w:right="113"/>
              <w:jc w:val="left"/>
              <w:rPr>
                <w:rFonts w:ascii="Times New Roman" w:hAnsi="Times New Roman"/>
                <w:sz w:val="20"/>
                <w:szCs w:val="20"/>
              </w:rPr>
            </w:pPr>
          </w:p>
        </w:tc>
      </w:tr>
      <w:tr w:rsidR="00E85AA7" w14:paraId="175912DB" w14:textId="77777777" w:rsidTr="00F63164">
        <w:trPr>
          <w:trHeight w:val="1173"/>
        </w:trPr>
        <w:tc>
          <w:tcPr>
            <w:tcW w:w="392" w:type="dxa"/>
            <w:vMerge/>
            <w:textDirection w:val="tbRlV"/>
          </w:tcPr>
          <w:p w14:paraId="2434F065" w14:textId="77777777" w:rsidR="00E85AA7" w:rsidRDefault="00E85AA7" w:rsidP="00F63164">
            <w:pPr>
              <w:widowControl/>
              <w:jc w:val="left"/>
              <w:rPr>
                <w:rFonts w:ascii="Times New Roman" w:eastAsia="微软雅黑" w:hAnsi="Times New Roman"/>
                <w:b/>
                <w:bCs/>
                <w:color w:val="000000"/>
                <w:sz w:val="20"/>
                <w:szCs w:val="20"/>
              </w:rPr>
            </w:pPr>
          </w:p>
        </w:tc>
        <w:tc>
          <w:tcPr>
            <w:tcW w:w="3961" w:type="dxa"/>
            <w:textDirection w:val="tbRlV"/>
          </w:tcPr>
          <w:p w14:paraId="1DF71501"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 xml:space="preserve">Retrospective </w:t>
            </w:r>
          </w:p>
          <w:p w14:paraId="2AED97B0" w14:textId="77777777" w:rsidR="00E85AA7" w:rsidRDefault="00E85AA7" w:rsidP="00F63164">
            <w:pPr>
              <w:ind w:left="113" w:right="113"/>
              <w:jc w:val="left"/>
              <w:rPr>
                <w:rFonts w:ascii="Times New Roman" w:hAnsi="Times New Roman"/>
                <w:sz w:val="20"/>
                <w:szCs w:val="20"/>
              </w:rPr>
            </w:pPr>
          </w:p>
        </w:tc>
        <w:tc>
          <w:tcPr>
            <w:tcW w:w="2661" w:type="dxa"/>
            <w:textDirection w:val="tbRlV"/>
          </w:tcPr>
          <w:p w14:paraId="77E109FC"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 xml:space="preserve">Retrospective </w:t>
            </w:r>
          </w:p>
          <w:p w14:paraId="0F48FA97" w14:textId="77777777" w:rsidR="00E85AA7" w:rsidRDefault="00E85AA7" w:rsidP="00F63164">
            <w:pPr>
              <w:ind w:left="113" w:right="113"/>
              <w:jc w:val="left"/>
              <w:rPr>
                <w:rFonts w:ascii="Times New Roman" w:hAnsi="Times New Roman"/>
                <w:sz w:val="20"/>
                <w:szCs w:val="20"/>
              </w:rPr>
            </w:pPr>
          </w:p>
        </w:tc>
        <w:tc>
          <w:tcPr>
            <w:tcW w:w="2551" w:type="dxa"/>
            <w:textDirection w:val="tbRlV"/>
          </w:tcPr>
          <w:p w14:paraId="7DC23803"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 xml:space="preserve">Retrospective </w:t>
            </w:r>
          </w:p>
          <w:p w14:paraId="1EEBBE08" w14:textId="77777777" w:rsidR="00E85AA7" w:rsidRDefault="00E85AA7" w:rsidP="00F63164">
            <w:pPr>
              <w:ind w:left="113" w:right="113"/>
              <w:jc w:val="left"/>
              <w:rPr>
                <w:rFonts w:ascii="Times New Roman" w:hAnsi="Times New Roman"/>
                <w:sz w:val="20"/>
                <w:szCs w:val="20"/>
              </w:rPr>
            </w:pPr>
          </w:p>
        </w:tc>
        <w:tc>
          <w:tcPr>
            <w:tcW w:w="425" w:type="dxa"/>
            <w:textDirection w:val="tbRlV"/>
          </w:tcPr>
          <w:p w14:paraId="54E604F5" w14:textId="77777777" w:rsidR="00E85AA7" w:rsidRDefault="00E85AA7" w:rsidP="00F63164">
            <w:pPr>
              <w:widowControl/>
              <w:ind w:left="113" w:right="113"/>
              <w:jc w:val="left"/>
              <w:rPr>
                <w:rFonts w:ascii="Times New Roman" w:hAnsi="Times New Roman"/>
                <w:sz w:val="20"/>
                <w:szCs w:val="20"/>
              </w:rPr>
            </w:pPr>
            <w:r>
              <w:rPr>
                <w:rFonts w:ascii="Times New Roman" w:eastAsia="微软雅黑" w:hAnsi="Times New Roman"/>
                <w:color w:val="000000"/>
                <w:sz w:val="20"/>
                <w:szCs w:val="20"/>
              </w:rPr>
              <w:t>T</w:t>
            </w:r>
            <w:r>
              <w:rPr>
                <w:rFonts w:ascii="Times New Roman" w:eastAsia="微软雅黑" w:hAnsi="Times New Roman" w:hint="eastAsia"/>
                <w:color w:val="000000"/>
                <w:sz w:val="20"/>
                <w:szCs w:val="20"/>
              </w:rPr>
              <w:t>ype</w:t>
            </w:r>
          </w:p>
        </w:tc>
      </w:tr>
      <w:tr w:rsidR="00E85AA7" w14:paraId="5A815394" w14:textId="77777777" w:rsidTr="00F63164">
        <w:trPr>
          <w:trHeight w:val="1173"/>
        </w:trPr>
        <w:tc>
          <w:tcPr>
            <w:tcW w:w="392" w:type="dxa"/>
            <w:vMerge/>
            <w:shd w:val="clear" w:color="auto" w:fill="FBE4D5"/>
            <w:textDirection w:val="tbRlV"/>
          </w:tcPr>
          <w:p w14:paraId="4F352BF5" w14:textId="77777777" w:rsidR="00E85AA7" w:rsidRDefault="00E85AA7" w:rsidP="00F63164">
            <w:pPr>
              <w:widowControl/>
              <w:jc w:val="left"/>
              <w:rPr>
                <w:rFonts w:ascii="Times New Roman" w:eastAsia="微软雅黑" w:hAnsi="Times New Roman"/>
                <w:b/>
                <w:bCs/>
                <w:color w:val="000000"/>
                <w:sz w:val="20"/>
                <w:szCs w:val="20"/>
              </w:rPr>
            </w:pPr>
          </w:p>
        </w:tc>
        <w:tc>
          <w:tcPr>
            <w:tcW w:w="3961" w:type="dxa"/>
            <w:shd w:val="clear" w:color="auto" w:fill="FBE4D5"/>
            <w:textDirection w:val="tbRlV"/>
          </w:tcPr>
          <w:p w14:paraId="45E42C06"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64 patients (41F,23M); mean age: 31.2 years (18 to 61)</w:t>
            </w:r>
          </w:p>
          <w:p w14:paraId="5D79A9BC" w14:textId="77777777" w:rsidR="00E85AA7" w:rsidRDefault="00E85AA7" w:rsidP="00F63164">
            <w:pPr>
              <w:ind w:left="113" w:right="113"/>
              <w:jc w:val="left"/>
              <w:rPr>
                <w:rFonts w:ascii="Times New Roman" w:hAnsi="Times New Roman"/>
                <w:sz w:val="20"/>
                <w:szCs w:val="20"/>
              </w:rPr>
            </w:pPr>
          </w:p>
        </w:tc>
        <w:tc>
          <w:tcPr>
            <w:tcW w:w="2661" w:type="dxa"/>
            <w:shd w:val="clear" w:color="auto" w:fill="FBE4D5"/>
            <w:textDirection w:val="tbRlV"/>
          </w:tcPr>
          <w:p w14:paraId="1F717D0C"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30 patients (17 F, 17 M; age 21.6±9.8 years)</w:t>
            </w:r>
          </w:p>
          <w:p w14:paraId="5FD6F07A" w14:textId="77777777" w:rsidR="00E85AA7" w:rsidRDefault="00E85AA7" w:rsidP="00F63164">
            <w:pPr>
              <w:ind w:left="113" w:right="113"/>
              <w:jc w:val="left"/>
              <w:rPr>
                <w:rFonts w:ascii="Times New Roman" w:hAnsi="Times New Roman"/>
                <w:sz w:val="20"/>
                <w:szCs w:val="20"/>
              </w:rPr>
            </w:pPr>
          </w:p>
        </w:tc>
        <w:tc>
          <w:tcPr>
            <w:tcW w:w="2551" w:type="dxa"/>
            <w:shd w:val="clear" w:color="auto" w:fill="FBE4D5"/>
            <w:textDirection w:val="tbRlV"/>
          </w:tcPr>
          <w:p w14:paraId="53D45E39"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61 adult patients (17M, 41F)</w:t>
            </w:r>
          </w:p>
          <w:p w14:paraId="152F8BBF" w14:textId="77777777" w:rsidR="00E85AA7" w:rsidRDefault="00E85AA7" w:rsidP="00F63164">
            <w:pPr>
              <w:ind w:left="113" w:right="113"/>
              <w:jc w:val="left"/>
              <w:rPr>
                <w:rFonts w:ascii="Times New Roman" w:hAnsi="Times New Roman"/>
                <w:sz w:val="20"/>
                <w:szCs w:val="20"/>
              </w:rPr>
            </w:pPr>
          </w:p>
        </w:tc>
        <w:tc>
          <w:tcPr>
            <w:tcW w:w="425" w:type="dxa"/>
            <w:shd w:val="clear" w:color="auto" w:fill="FBE4D5"/>
            <w:textDirection w:val="tbRlV"/>
          </w:tcPr>
          <w:p w14:paraId="5C10EC76"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Population</w:t>
            </w:r>
          </w:p>
          <w:p w14:paraId="104C4F0D" w14:textId="77777777" w:rsidR="00E85AA7" w:rsidRDefault="00E85AA7" w:rsidP="00F63164">
            <w:pPr>
              <w:ind w:left="113" w:right="113"/>
              <w:jc w:val="left"/>
              <w:rPr>
                <w:rFonts w:ascii="Times New Roman" w:hAnsi="Times New Roman"/>
                <w:sz w:val="20"/>
                <w:szCs w:val="20"/>
              </w:rPr>
            </w:pPr>
          </w:p>
        </w:tc>
      </w:tr>
      <w:tr w:rsidR="00E85AA7" w14:paraId="63433169" w14:textId="77777777" w:rsidTr="00F63164">
        <w:trPr>
          <w:trHeight w:val="1430"/>
        </w:trPr>
        <w:tc>
          <w:tcPr>
            <w:tcW w:w="392" w:type="dxa"/>
            <w:vMerge/>
            <w:textDirection w:val="tbRlV"/>
          </w:tcPr>
          <w:p w14:paraId="2E7034E6" w14:textId="77777777" w:rsidR="00E85AA7" w:rsidRDefault="00E85AA7" w:rsidP="00F63164">
            <w:pPr>
              <w:widowControl/>
              <w:jc w:val="left"/>
              <w:rPr>
                <w:rFonts w:ascii="Times New Roman" w:eastAsia="微软雅黑" w:hAnsi="Times New Roman"/>
                <w:b/>
                <w:bCs/>
                <w:sz w:val="20"/>
                <w:szCs w:val="20"/>
              </w:rPr>
            </w:pPr>
          </w:p>
        </w:tc>
        <w:tc>
          <w:tcPr>
            <w:tcW w:w="3961" w:type="dxa"/>
            <w:textDirection w:val="tbRlV"/>
          </w:tcPr>
          <w:p w14:paraId="21AA371F"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Arch expansion with invisalign</w:t>
            </w:r>
          </w:p>
          <w:p w14:paraId="1A115264" w14:textId="77777777" w:rsidR="00E85AA7" w:rsidRDefault="00E85AA7" w:rsidP="00F63164">
            <w:pPr>
              <w:ind w:left="113" w:right="113"/>
              <w:jc w:val="left"/>
              <w:rPr>
                <w:rFonts w:ascii="Times New Roman" w:hAnsi="Times New Roman"/>
                <w:sz w:val="20"/>
                <w:szCs w:val="20"/>
              </w:rPr>
            </w:pPr>
          </w:p>
        </w:tc>
        <w:tc>
          <w:tcPr>
            <w:tcW w:w="2661" w:type="dxa"/>
            <w:textDirection w:val="tbRlV"/>
          </w:tcPr>
          <w:p w14:paraId="25928DA9"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Nonextraction Invisalign treatment; IPR</w:t>
            </w:r>
          </w:p>
          <w:p w14:paraId="0251633E" w14:textId="77777777" w:rsidR="00E85AA7" w:rsidRDefault="00E85AA7" w:rsidP="00F63164">
            <w:pPr>
              <w:ind w:left="113" w:right="113"/>
              <w:jc w:val="left"/>
              <w:rPr>
                <w:rFonts w:ascii="Times New Roman" w:hAnsi="Times New Roman"/>
                <w:sz w:val="20"/>
                <w:szCs w:val="20"/>
              </w:rPr>
            </w:pPr>
          </w:p>
        </w:tc>
        <w:tc>
          <w:tcPr>
            <w:tcW w:w="2551" w:type="dxa"/>
            <w:textDirection w:val="tbRlV"/>
          </w:tcPr>
          <w:p w14:paraId="0758E2A5"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Nonextraction with or without IPR using only Invisalign</w:t>
            </w:r>
          </w:p>
          <w:p w14:paraId="77FB925B" w14:textId="77777777" w:rsidR="00E85AA7" w:rsidRDefault="00E85AA7" w:rsidP="00F63164">
            <w:pPr>
              <w:ind w:left="113" w:right="113"/>
              <w:jc w:val="left"/>
              <w:rPr>
                <w:rFonts w:ascii="Times New Roman" w:hAnsi="Times New Roman"/>
                <w:sz w:val="20"/>
                <w:szCs w:val="20"/>
              </w:rPr>
            </w:pPr>
          </w:p>
        </w:tc>
        <w:tc>
          <w:tcPr>
            <w:tcW w:w="425" w:type="dxa"/>
            <w:textDirection w:val="tbRlV"/>
          </w:tcPr>
          <w:p w14:paraId="092AA9A9"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 xml:space="preserve">Intervention </w:t>
            </w:r>
          </w:p>
          <w:p w14:paraId="44BB5F48" w14:textId="77777777" w:rsidR="00E85AA7" w:rsidRDefault="00E85AA7" w:rsidP="00F63164">
            <w:pPr>
              <w:ind w:left="113" w:right="113"/>
              <w:jc w:val="left"/>
              <w:rPr>
                <w:rFonts w:ascii="Times New Roman" w:hAnsi="Times New Roman"/>
                <w:sz w:val="20"/>
                <w:szCs w:val="20"/>
              </w:rPr>
            </w:pPr>
          </w:p>
        </w:tc>
      </w:tr>
      <w:tr w:rsidR="00E85AA7" w14:paraId="0A7BAA49" w14:textId="77777777" w:rsidTr="00F63164">
        <w:trPr>
          <w:trHeight w:val="1491"/>
        </w:trPr>
        <w:tc>
          <w:tcPr>
            <w:tcW w:w="392" w:type="dxa"/>
            <w:vMerge/>
            <w:shd w:val="clear" w:color="auto" w:fill="FBE4D5"/>
            <w:textDirection w:val="tbRlV"/>
          </w:tcPr>
          <w:p w14:paraId="23CB6456" w14:textId="77777777" w:rsidR="00E85AA7" w:rsidRDefault="00E85AA7" w:rsidP="00F63164">
            <w:pPr>
              <w:widowControl/>
              <w:jc w:val="left"/>
              <w:rPr>
                <w:rFonts w:ascii="Times New Roman" w:eastAsia="微软雅黑" w:hAnsi="Times New Roman"/>
                <w:b/>
                <w:bCs/>
                <w:sz w:val="20"/>
                <w:szCs w:val="20"/>
              </w:rPr>
            </w:pPr>
          </w:p>
        </w:tc>
        <w:tc>
          <w:tcPr>
            <w:tcW w:w="3961" w:type="dxa"/>
            <w:shd w:val="clear" w:color="auto" w:fill="FBE4D5"/>
            <w:textDirection w:val="tbRlV"/>
          </w:tcPr>
          <w:p w14:paraId="4CD4ECE4"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 xml:space="preserve">Posttreatment   and predicted models were compared </w:t>
            </w:r>
          </w:p>
          <w:p w14:paraId="1F90C2C4" w14:textId="77777777" w:rsidR="00E85AA7" w:rsidRDefault="00E85AA7" w:rsidP="00F63164">
            <w:pPr>
              <w:ind w:left="113" w:right="113"/>
              <w:jc w:val="left"/>
              <w:rPr>
                <w:rFonts w:ascii="Times New Roman" w:hAnsi="Times New Roman"/>
                <w:sz w:val="20"/>
                <w:szCs w:val="20"/>
              </w:rPr>
            </w:pPr>
          </w:p>
        </w:tc>
        <w:tc>
          <w:tcPr>
            <w:tcW w:w="2661" w:type="dxa"/>
            <w:shd w:val="clear" w:color="auto" w:fill="FBE4D5"/>
            <w:textDirection w:val="tbRlV"/>
          </w:tcPr>
          <w:p w14:paraId="0F8CAE2D"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Comparison between posttreatment and virtual posttreatment models</w:t>
            </w:r>
          </w:p>
          <w:p w14:paraId="2302A714" w14:textId="77777777" w:rsidR="00E85AA7" w:rsidRDefault="00E85AA7" w:rsidP="00F63164">
            <w:pPr>
              <w:ind w:left="113" w:right="113"/>
              <w:jc w:val="left"/>
              <w:rPr>
                <w:rFonts w:ascii="Times New Roman" w:hAnsi="Times New Roman"/>
                <w:sz w:val="20"/>
                <w:szCs w:val="20"/>
              </w:rPr>
            </w:pPr>
          </w:p>
        </w:tc>
        <w:tc>
          <w:tcPr>
            <w:tcW w:w="2551" w:type="dxa"/>
            <w:shd w:val="clear" w:color="auto" w:fill="FBE4D5"/>
            <w:textDirection w:val="tbRlV"/>
          </w:tcPr>
          <w:p w14:paraId="37D05C9E"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Pretreatment and posttreatment records were compared</w:t>
            </w:r>
          </w:p>
          <w:p w14:paraId="4F7DF5A2" w14:textId="77777777" w:rsidR="00E85AA7" w:rsidRDefault="00E85AA7" w:rsidP="00F63164">
            <w:pPr>
              <w:ind w:left="113" w:right="113"/>
              <w:jc w:val="left"/>
              <w:rPr>
                <w:rFonts w:ascii="Times New Roman" w:hAnsi="Times New Roman"/>
                <w:sz w:val="20"/>
                <w:szCs w:val="20"/>
              </w:rPr>
            </w:pPr>
          </w:p>
        </w:tc>
        <w:tc>
          <w:tcPr>
            <w:tcW w:w="425" w:type="dxa"/>
            <w:shd w:val="clear" w:color="auto" w:fill="FBE4D5"/>
            <w:textDirection w:val="tbRlV"/>
          </w:tcPr>
          <w:p w14:paraId="2E4538B2"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Comparison</w:t>
            </w:r>
          </w:p>
          <w:p w14:paraId="309CCD45" w14:textId="77777777" w:rsidR="00E85AA7" w:rsidRDefault="00E85AA7" w:rsidP="00F63164">
            <w:pPr>
              <w:ind w:left="113" w:right="113"/>
              <w:jc w:val="left"/>
              <w:rPr>
                <w:rFonts w:ascii="Times New Roman" w:hAnsi="Times New Roman"/>
                <w:sz w:val="20"/>
                <w:szCs w:val="20"/>
              </w:rPr>
            </w:pPr>
          </w:p>
        </w:tc>
      </w:tr>
      <w:tr w:rsidR="00E85AA7" w14:paraId="3B24A0A4" w14:textId="77777777" w:rsidTr="00F63164">
        <w:trPr>
          <w:trHeight w:val="2129"/>
        </w:trPr>
        <w:tc>
          <w:tcPr>
            <w:tcW w:w="392" w:type="dxa"/>
            <w:vMerge/>
            <w:textDirection w:val="tbRlV"/>
          </w:tcPr>
          <w:p w14:paraId="45405A4E" w14:textId="77777777" w:rsidR="00E85AA7" w:rsidRDefault="00E85AA7" w:rsidP="00F63164">
            <w:pPr>
              <w:widowControl/>
              <w:jc w:val="left"/>
              <w:rPr>
                <w:rFonts w:ascii="Times New Roman" w:eastAsia="微软雅黑" w:hAnsi="Times New Roman"/>
                <w:b/>
                <w:bCs/>
                <w:sz w:val="20"/>
                <w:szCs w:val="20"/>
              </w:rPr>
            </w:pPr>
          </w:p>
        </w:tc>
        <w:tc>
          <w:tcPr>
            <w:tcW w:w="3961" w:type="dxa"/>
            <w:textDirection w:val="tbRlV"/>
          </w:tcPr>
          <w:p w14:paraId="50D54D7C"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In upper arch :72.8% accurate overall; in upper arch, accuracy decreases when moving posteriorly into the arch. The lower arch presented an overall accuracy of 7.7%; variance was not equal</w:t>
            </w:r>
          </w:p>
          <w:p w14:paraId="220A5E26" w14:textId="77777777" w:rsidR="00E85AA7" w:rsidRDefault="00E85AA7" w:rsidP="00F63164">
            <w:pPr>
              <w:ind w:left="113" w:right="113"/>
              <w:jc w:val="left"/>
              <w:rPr>
                <w:rFonts w:ascii="Times New Roman" w:hAnsi="Times New Roman"/>
                <w:sz w:val="20"/>
                <w:szCs w:val="20"/>
              </w:rPr>
            </w:pPr>
          </w:p>
        </w:tc>
        <w:tc>
          <w:tcPr>
            <w:tcW w:w="2661" w:type="dxa"/>
            <w:textDirection w:val="tbRlV"/>
          </w:tcPr>
          <w:p w14:paraId="02CA91F4"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In upper arch, the second premolar and second molar were more lingual relative to the predicted position. In lower arch, all tooth types showed statistically significant differences</w:t>
            </w:r>
          </w:p>
          <w:p w14:paraId="304DEF52" w14:textId="77777777" w:rsidR="00E85AA7" w:rsidRDefault="00E85AA7" w:rsidP="00F63164">
            <w:pPr>
              <w:ind w:left="113" w:right="113"/>
              <w:jc w:val="left"/>
              <w:rPr>
                <w:rFonts w:ascii="Times New Roman" w:hAnsi="Times New Roman"/>
                <w:sz w:val="20"/>
                <w:szCs w:val="20"/>
              </w:rPr>
            </w:pPr>
          </w:p>
        </w:tc>
        <w:tc>
          <w:tcPr>
            <w:tcW w:w="2551" w:type="dxa"/>
            <w:textDirection w:val="tbRlV"/>
          </w:tcPr>
          <w:p w14:paraId="38E2E0AD"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 xml:space="preserve">Statistically significant increase in buccal arch expansion; </w:t>
            </w:r>
          </w:p>
          <w:p w14:paraId="72D22D0E"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 xml:space="preserve">No significant differences in arch width </w:t>
            </w:r>
          </w:p>
          <w:p w14:paraId="0417549F" w14:textId="77777777" w:rsidR="00E85AA7" w:rsidRDefault="00E85AA7" w:rsidP="00F63164">
            <w:pPr>
              <w:ind w:left="113" w:right="113"/>
              <w:jc w:val="left"/>
              <w:rPr>
                <w:rFonts w:ascii="Times New Roman" w:hAnsi="Times New Roman"/>
                <w:sz w:val="20"/>
                <w:szCs w:val="20"/>
              </w:rPr>
            </w:pPr>
          </w:p>
        </w:tc>
        <w:tc>
          <w:tcPr>
            <w:tcW w:w="425" w:type="dxa"/>
            <w:textDirection w:val="tbRlV"/>
          </w:tcPr>
          <w:p w14:paraId="0E1605D9"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Results</w:t>
            </w:r>
          </w:p>
          <w:p w14:paraId="7DEAFE24" w14:textId="77777777" w:rsidR="00E85AA7" w:rsidRDefault="00E85AA7" w:rsidP="00F63164">
            <w:pPr>
              <w:ind w:left="113" w:right="113"/>
              <w:jc w:val="left"/>
              <w:rPr>
                <w:rFonts w:ascii="Times New Roman" w:hAnsi="Times New Roman"/>
                <w:sz w:val="20"/>
                <w:szCs w:val="20"/>
              </w:rPr>
            </w:pPr>
          </w:p>
        </w:tc>
      </w:tr>
      <w:tr w:rsidR="00E85AA7" w14:paraId="7D6350F8" w14:textId="77777777" w:rsidTr="00F63164">
        <w:trPr>
          <w:trHeight w:val="3482"/>
        </w:trPr>
        <w:tc>
          <w:tcPr>
            <w:tcW w:w="392" w:type="dxa"/>
            <w:vMerge/>
            <w:tcBorders>
              <w:bottom w:val="nil"/>
            </w:tcBorders>
            <w:shd w:val="clear" w:color="auto" w:fill="FBE4D5"/>
            <w:textDirection w:val="tbRlV"/>
          </w:tcPr>
          <w:p w14:paraId="07338D45" w14:textId="77777777" w:rsidR="00E85AA7" w:rsidRDefault="00E85AA7" w:rsidP="00F63164">
            <w:pPr>
              <w:widowControl/>
              <w:jc w:val="left"/>
              <w:rPr>
                <w:rFonts w:ascii="Times New Roman" w:eastAsia="微软雅黑" w:hAnsi="Times New Roman"/>
                <w:b/>
                <w:bCs/>
                <w:sz w:val="20"/>
                <w:szCs w:val="20"/>
              </w:rPr>
            </w:pPr>
          </w:p>
        </w:tc>
        <w:tc>
          <w:tcPr>
            <w:tcW w:w="3961" w:type="dxa"/>
            <w:tcBorders>
              <w:bottom w:val="nil"/>
            </w:tcBorders>
            <w:shd w:val="clear" w:color="auto" w:fill="FBE4D5"/>
            <w:textDirection w:val="tbRlV"/>
          </w:tcPr>
          <w:p w14:paraId="5FBF53CD"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C</w:t>
            </w:r>
            <w:r>
              <w:rPr>
                <w:rFonts w:ascii="Times New Roman" w:eastAsia="微软雅黑" w:hAnsi="Times New Roman" w:hint="eastAsia"/>
                <w:sz w:val="20"/>
                <w:szCs w:val="20"/>
              </w:rPr>
              <w:t>are</w:t>
            </w:r>
            <w:r>
              <w:rPr>
                <w:rFonts w:ascii="Times New Roman" w:eastAsia="微软雅黑" w:hAnsi="Times New Roman"/>
                <w:sz w:val="20"/>
                <w:szCs w:val="20"/>
              </w:rPr>
              <w:t>full planning with overcorrection and other auxiliary methods of expansion may help reduce the rate of midcourse corrections and refinements, especially in the posterior region of the maxilla</w:t>
            </w:r>
          </w:p>
          <w:p w14:paraId="49FEC11B" w14:textId="77777777" w:rsidR="00E85AA7" w:rsidRDefault="00E85AA7" w:rsidP="00F63164">
            <w:pPr>
              <w:ind w:left="113" w:right="113"/>
              <w:jc w:val="left"/>
              <w:rPr>
                <w:rFonts w:ascii="Times New Roman" w:hAnsi="Times New Roman"/>
                <w:sz w:val="20"/>
                <w:szCs w:val="20"/>
              </w:rPr>
            </w:pPr>
          </w:p>
        </w:tc>
        <w:tc>
          <w:tcPr>
            <w:tcW w:w="2661" w:type="dxa"/>
            <w:tcBorders>
              <w:bottom w:val="nil"/>
            </w:tcBorders>
            <w:shd w:val="clear" w:color="auto" w:fill="FBE4D5"/>
            <w:textDirection w:val="tbRlV"/>
          </w:tcPr>
          <w:p w14:paraId="4D42F649"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Invisalign can achieve predicted tooth positions with high accuracy in     nonextraction cases. Maxillary arch expansion may not be fully achieved</w:t>
            </w:r>
          </w:p>
          <w:p w14:paraId="1CEF2151" w14:textId="77777777" w:rsidR="00E85AA7" w:rsidRDefault="00E85AA7" w:rsidP="00F63164">
            <w:pPr>
              <w:ind w:left="113" w:right="113"/>
              <w:jc w:val="left"/>
              <w:rPr>
                <w:rFonts w:ascii="Times New Roman" w:hAnsi="Times New Roman"/>
                <w:sz w:val="20"/>
                <w:szCs w:val="20"/>
              </w:rPr>
            </w:pPr>
          </w:p>
        </w:tc>
        <w:tc>
          <w:tcPr>
            <w:tcW w:w="2551" w:type="dxa"/>
            <w:tcBorders>
              <w:bottom w:val="nil"/>
            </w:tcBorders>
            <w:shd w:val="clear" w:color="auto" w:fill="FBE4D5"/>
            <w:textDirection w:val="tbRlV"/>
          </w:tcPr>
          <w:p w14:paraId="1CDDEF41"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Buccal arch expansion and IPR are important clinical tools when treating crowded dentition; intercanine, interpremolar and intermolar widths are not significant factors in the mild, moderate and severe cases</w:t>
            </w:r>
          </w:p>
          <w:p w14:paraId="09304764" w14:textId="77777777" w:rsidR="00E85AA7" w:rsidRDefault="00E85AA7" w:rsidP="00F63164">
            <w:pPr>
              <w:ind w:left="113" w:right="113"/>
              <w:jc w:val="left"/>
              <w:rPr>
                <w:rFonts w:ascii="Times New Roman" w:hAnsi="Times New Roman"/>
                <w:sz w:val="20"/>
                <w:szCs w:val="20"/>
              </w:rPr>
            </w:pPr>
          </w:p>
        </w:tc>
        <w:tc>
          <w:tcPr>
            <w:tcW w:w="425" w:type="dxa"/>
            <w:tcBorders>
              <w:bottom w:val="nil"/>
            </w:tcBorders>
            <w:shd w:val="clear" w:color="auto" w:fill="FBE4D5"/>
            <w:textDirection w:val="tbRlV"/>
          </w:tcPr>
          <w:p w14:paraId="1C2F7257"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Conclusion</w:t>
            </w:r>
          </w:p>
          <w:p w14:paraId="6342311F" w14:textId="77777777" w:rsidR="00E85AA7" w:rsidRDefault="00E85AA7" w:rsidP="00F63164">
            <w:pPr>
              <w:ind w:left="113" w:right="113"/>
              <w:jc w:val="left"/>
              <w:rPr>
                <w:rFonts w:ascii="Times New Roman" w:hAnsi="Times New Roman"/>
                <w:sz w:val="20"/>
                <w:szCs w:val="20"/>
              </w:rPr>
            </w:pPr>
          </w:p>
        </w:tc>
      </w:tr>
      <w:tr w:rsidR="00E85AA7" w14:paraId="46EAD335" w14:textId="77777777" w:rsidTr="00F63164">
        <w:trPr>
          <w:trHeight w:val="841"/>
        </w:trPr>
        <w:tc>
          <w:tcPr>
            <w:tcW w:w="392" w:type="dxa"/>
            <w:vMerge w:val="restart"/>
            <w:tcBorders>
              <w:top w:val="nil"/>
            </w:tcBorders>
            <w:textDirection w:val="tbRlV"/>
          </w:tcPr>
          <w:p w14:paraId="66262AB5" w14:textId="77777777" w:rsidR="00E85AA7" w:rsidRDefault="00E85AA7" w:rsidP="00F63164">
            <w:pPr>
              <w:widowControl/>
              <w:jc w:val="left"/>
              <w:rPr>
                <w:rFonts w:ascii="Times New Roman" w:eastAsia="微软雅黑" w:hAnsi="Times New Roman"/>
                <w:b/>
                <w:bCs/>
                <w:sz w:val="20"/>
                <w:szCs w:val="20"/>
              </w:rPr>
            </w:pPr>
            <w:r>
              <w:rPr>
                <w:rFonts w:ascii="Times New Roman" w:eastAsia="微软雅黑" w:hAnsi="Times New Roman"/>
                <w:b/>
                <w:bCs/>
                <w:color w:val="000000"/>
                <w:sz w:val="20"/>
                <w:szCs w:val="20"/>
              </w:rPr>
              <w:lastRenderedPageBreak/>
              <w:t xml:space="preserve">F, female; M, male; </w:t>
            </w:r>
            <w:r>
              <w:rPr>
                <w:rFonts w:ascii="Times New Roman" w:eastAsia="微软雅黑" w:hAnsi="Times New Roman" w:hint="eastAsia"/>
                <w:b/>
                <w:bCs/>
                <w:color w:val="000000"/>
                <w:sz w:val="20"/>
                <w:szCs w:val="20"/>
              </w:rPr>
              <w:t>I</w:t>
            </w:r>
            <w:r>
              <w:rPr>
                <w:rFonts w:ascii="Times New Roman" w:eastAsia="微软雅黑" w:hAnsi="Times New Roman"/>
                <w:b/>
                <w:bCs/>
                <w:color w:val="000000"/>
                <w:sz w:val="20"/>
                <w:szCs w:val="20"/>
              </w:rPr>
              <w:t>PR, interproximal reduction</w:t>
            </w:r>
          </w:p>
        </w:tc>
        <w:tc>
          <w:tcPr>
            <w:tcW w:w="3961" w:type="dxa"/>
            <w:tcBorders>
              <w:top w:val="nil"/>
            </w:tcBorders>
            <w:textDirection w:val="tbRlV"/>
          </w:tcPr>
          <w:p w14:paraId="61416241" w14:textId="77777777" w:rsidR="00E85AA7" w:rsidRDefault="00E85AA7" w:rsidP="00F63164">
            <w:pPr>
              <w:widowControl/>
              <w:jc w:val="left"/>
              <w:rPr>
                <w:rFonts w:ascii="Times New Roman" w:hAnsi="Times New Roman"/>
                <w:kern w:val="0"/>
                <w:sz w:val="20"/>
                <w:szCs w:val="20"/>
              </w:rPr>
            </w:pPr>
            <w:r>
              <w:rPr>
                <w:rFonts w:ascii="Times New Roman" w:hAnsi="Times New Roman"/>
                <w:sz w:val="20"/>
                <w:szCs w:val="20"/>
              </w:rPr>
              <w:t>Deregibus et al.</w:t>
            </w:r>
            <w:r>
              <w:rPr>
                <w:rFonts w:ascii="Times New Roman" w:hAnsi="Times New Roman"/>
                <w:sz w:val="20"/>
                <w:szCs w:val="20"/>
              </w:rPr>
              <w:fldChar w:fldCharType="begin"/>
            </w:r>
            <w:r>
              <w:rPr>
                <w:rFonts w:ascii="Times New Roman" w:hAnsi="Times New Roman"/>
                <w:sz w:val="20"/>
                <w:szCs w:val="20"/>
              </w:rPr>
              <w:instrText xml:space="preserve"> ADDIN EN.CITE &lt;EndNote&gt;&lt;Cite&gt;&lt;Author&gt;Deregibus&lt;/Author&gt;&lt;Year&gt;2020&lt;/Year&gt;&lt;RecNum&gt;229&lt;/RecNum&gt;&lt;DisplayText&gt;&lt;style face="superscript"&gt;[17]&lt;/style&gt;&lt;/DisplayText&gt;&lt;record&gt;&lt;rec-number&gt;229&lt;/rec-number&gt;&lt;foreign-keys&gt;&lt;key app="EN" db-id="09t5tvz5l9xermetrx05d05iexwr0fadrsea" timestamp="1669610248"&gt;229&lt;/key&gt;&lt;/foreign-keys&gt;&lt;ref-type name="Journal Article"&gt;17&lt;/ref-type&gt;&lt;contributors&gt;&lt;authors&gt;&lt;author&gt;Deregibus, A.&lt;/author&gt;&lt;author&gt;Tallone, L.&lt;/author&gt;&lt;author&gt;Rossini, G.&lt;/author&gt;&lt;author&gt;Parrini, S.&lt;/author&gt;&lt;author&gt;Piancino, M.&lt;/author&gt;&lt;author&gt;Castroflorio, T.&lt;/author&gt;&lt;/authors&gt;&lt;/contributors&gt;&lt;titles&gt;&lt;title&gt;Morphometric analysis of dental arch form changes in class II patients treated with clear aligners&lt;/title&gt;&lt;secondary-title&gt;Journal of Orofacial Orthopedics-Fortschritte Der Kieferorthopadie&lt;/secondary-title&gt;&lt;/titles&gt;&lt;periodical&gt;&lt;full-title&gt;Journal of Orofacial Orthopedics-Fortschritte Der Kieferorthopadie&lt;/full-title&gt;&lt;/periodical&gt;&lt;pages&gt;229-238&lt;/pages&gt;&lt;volume&gt;81&lt;/volume&gt;&lt;number&gt;4&lt;/number&gt;&lt;dates&gt;&lt;year&gt;2020&lt;/year&gt;&lt;pub-dates&gt;&lt;date&gt;Jul&lt;/date&gt;&lt;/pub-dates&gt;&lt;/dates&gt;&lt;isbn&gt;1434-5293&lt;/isbn&gt;&lt;accession-num&gt;WOS:000526311300001&lt;/accession-num&gt;&lt;urls&gt;&lt;related-urls&gt;&lt;url&gt;&amp;lt;Go to ISI&amp;gt;://WOS:000526311300001&lt;/url&gt;&lt;url&gt;https://link.springer.com/article/10.1007/s00056-020-00224-8&lt;/url&gt;&lt;/related-urls&gt;&lt;/urls&gt;&lt;electronic-resource-num&gt;10.1007/s00056-020-00224-8&lt;/electronic-resource-num&gt;&lt;/record&gt;&lt;/Cite&gt;&lt;/EndNote&gt;</w:instrText>
            </w:r>
            <w:r>
              <w:rPr>
                <w:rFonts w:ascii="Times New Roman" w:hAnsi="Times New Roman"/>
                <w:sz w:val="20"/>
                <w:szCs w:val="20"/>
              </w:rPr>
              <w:fldChar w:fldCharType="separate"/>
            </w:r>
            <w:r>
              <w:rPr>
                <w:rFonts w:ascii="Times New Roman" w:hAnsi="Times New Roman"/>
                <w:sz w:val="20"/>
                <w:szCs w:val="20"/>
                <w:vertAlign w:val="superscript"/>
                <w:lang w:val="en-US" w:eastAsia="zh-CN"/>
              </w:rPr>
              <w:t>[17]</w:t>
            </w:r>
            <w:r>
              <w:rPr>
                <w:rFonts w:ascii="Times New Roman" w:hAnsi="Times New Roman"/>
                <w:sz w:val="20"/>
                <w:szCs w:val="20"/>
              </w:rPr>
              <w:fldChar w:fldCharType="end"/>
            </w:r>
            <w:r>
              <w:rPr>
                <w:rFonts w:ascii="Times New Roman" w:hAnsi="Times New Roman"/>
                <w:sz w:val="20"/>
                <w:szCs w:val="20"/>
              </w:rPr>
              <w:t xml:space="preserve"> (2020)</w:t>
            </w:r>
          </w:p>
          <w:p w14:paraId="24634529" w14:textId="77777777" w:rsidR="00E85AA7" w:rsidRDefault="00E85AA7" w:rsidP="00F63164">
            <w:pPr>
              <w:widowControl/>
              <w:jc w:val="left"/>
              <w:rPr>
                <w:rFonts w:ascii="微软雅黑" w:eastAsia="微软雅黑" w:hAnsi="微软雅黑"/>
                <w:kern w:val="0"/>
                <w:sz w:val="20"/>
                <w:szCs w:val="20"/>
              </w:rPr>
            </w:pPr>
          </w:p>
          <w:p w14:paraId="0F60FECE" w14:textId="77777777" w:rsidR="00E85AA7" w:rsidRDefault="00E85AA7" w:rsidP="00F63164">
            <w:pPr>
              <w:widowControl/>
              <w:jc w:val="left"/>
              <w:rPr>
                <w:rFonts w:ascii="Times New Roman" w:eastAsia="微软雅黑" w:hAnsi="Times New Roman"/>
                <w:sz w:val="20"/>
                <w:szCs w:val="20"/>
              </w:rPr>
            </w:pPr>
          </w:p>
        </w:tc>
        <w:tc>
          <w:tcPr>
            <w:tcW w:w="2661" w:type="dxa"/>
            <w:tcBorders>
              <w:top w:val="nil"/>
            </w:tcBorders>
            <w:textDirection w:val="tbRlV"/>
          </w:tcPr>
          <w:p w14:paraId="171BCE33"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Zhao et al.</w:t>
            </w:r>
            <w:r>
              <w:rPr>
                <w:rFonts w:ascii="Times New Roman" w:eastAsia="微软雅黑" w:hAnsi="Times New Roman"/>
                <w:sz w:val="20"/>
                <w:szCs w:val="20"/>
              </w:rPr>
              <w:fldChar w:fldCharType="begin"/>
            </w:r>
            <w:r>
              <w:rPr>
                <w:rFonts w:ascii="Times New Roman" w:eastAsia="微软雅黑" w:hAnsi="Times New Roman"/>
                <w:sz w:val="20"/>
                <w:szCs w:val="20"/>
              </w:rPr>
              <w:instrText xml:space="preserve"> ADDIN EN.CITE &lt;EndNote&gt;&lt;Cite&gt;&lt;Author&gt;Zhao&lt;/Author&gt;&lt;Year&gt;2017&lt;/Year&gt;&lt;RecNum&gt;243&lt;/RecNum&gt;&lt;DisplayText&gt;&lt;style face="superscript"&gt;[18]&lt;/style&gt;&lt;/DisplayText&gt;&lt;record&gt;&lt;rec-number&gt;243&lt;/rec-number&gt;&lt;foreign-keys&gt;&lt;key app="EN" db-id="09t5tvz5l9xermetrx05d05iexwr0fadrsea" timestamp="1670326247"&gt;243&lt;/key&gt;&lt;/foreign-keys&gt;&lt;ref-type name="Journal Article"&gt;17&lt;/ref-type&gt;&lt;contributors&gt;&lt;authors&gt;&lt;author&gt;Zhao, X.&lt;/author&gt;&lt;author&gt;Wang, H. H.&lt;/author&gt;&lt;author&gt;Yang, Y. M.&lt;/author&gt;&lt;author&gt;Tang, G. H.&lt;/author&gt;&lt;/authors&gt;&lt;/contributors&gt;&lt;auth-address&gt;Department of Orthodontics, Ninth People&amp;apos;s Hospital, Shanghai Jiao Tong University School of Medicine &amp;amp; Shanghai Key Laboratory of Stomatology &amp;amp; Shanghai Research Institute of Stomatology &amp;amp; National Clinical Research Center of Stomatology, Shanghai 200011, China.&lt;/auth-address&gt;&lt;titles&gt;&lt;title&gt;Maxillary expansion efficiency with clear aligner and its possible influencing factors&lt;/title&gt;&lt;secondary-title&gt;Chinese Journal of Stomatology&lt;/secondary-title&gt;&lt;alt-title&gt;Zhonghua Kou Qiang Yi Xue Za Zhi&lt;/alt-title&gt;&lt;/titles&gt;&lt;alt-periodical&gt;&lt;full-title&gt;Zhonghua Kou Qiang Yi Xue Za Zhi&lt;/full-title&gt;&lt;/alt-periodical&gt;&lt;pages&gt;543-548&lt;/pages&gt;&lt;volume&gt;52&lt;/volume&gt;&lt;number&gt;9&lt;/number&gt;&lt;dates&gt;&lt;year&gt;2017&lt;/year&gt;&lt;/dates&gt;&lt;isbn&gt;1002-0098&lt;/isbn&gt;&lt;accession-num&gt;29972918&lt;/accession-num&gt;&lt;urls&gt;&lt;related-urls&gt;&lt;url&gt;https://pubmed.ncbi.nlm.nih.gov/29972918&lt;/url&gt;&lt;/related-urls&gt;&lt;/urls&gt;&lt;electronic-resource-num&gt;10.3760/cma.j.issn.1002-0098.2017.09.006&lt;/electronic-resource-num&gt;&lt;remote-database-name&gt;PubMed&lt;/remote-database-name&gt;&lt;language&gt;chi&lt;/language&gt;&lt;/record&gt;&lt;/Cite&gt;&lt;/EndNote&gt;</w:instrText>
            </w:r>
            <w:r>
              <w:rPr>
                <w:rFonts w:ascii="Times New Roman" w:eastAsia="微软雅黑" w:hAnsi="Times New Roman"/>
                <w:sz w:val="20"/>
                <w:szCs w:val="20"/>
              </w:rPr>
              <w:fldChar w:fldCharType="separate"/>
            </w:r>
            <w:r>
              <w:rPr>
                <w:rFonts w:ascii="Times New Roman" w:eastAsia="微软雅黑" w:hAnsi="Times New Roman"/>
                <w:sz w:val="20"/>
                <w:szCs w:val="20"/>
                <w:vertAlign w:val="superscript"/>
                <w:lang w:val="en-US" w:eastAsia="zh-CN"/>
              </w:rPr>
              <w:t>[18]</w:t>
            </w:r>
            <w:r>
              <w:rPr>
                <w:rFonts w:ascii="Times New Roman" w:eastAsia="微软雅黑" w:hAnsi="Times New Roman"/>
                <w:sz w:val="20"/>
                <w:szCs w:val="20"/>
              </w:rPr>
              <w:fldChar w:fldCharType="end"/>
            </w:r>
            <w:r>
              <w:rPr>
                <w:rFonts w:ascii="Times New Roman" w:eastAsia="微软雅黑" w:hAnsi="Times New Roman"/>
                <w:sz w:val="20"/>
                <w:szCs w:val="20"/>
              </w:rPr>
              <w:t xml:space="preserve"> (2017)</w:t>
            </w:r>
          </w:p>
          <w:p w14:paraId="20C23832" w14:textId="77777777" w:rsidR="00E85AA7" w:rsidRDefault="00E85AA7" w:rsidP="00F63164">
            <w:pPr>
              <w:widowControl/>
              <w:jc w:val="left"/>
              <w:rPr>
                <w:rFonts w:ascii="Times New Roman" w:eastAsia="微软雅黑" w:hAnsi="Times New Roman"/>
                <w:color w:val="000000"/>
                <w:sz w:val="20"/>
                <w:szCs w:val="20"/>
              </w:rPr>
            </w:pPr>
          </w:p>
        </w:tc>
        <w:tc>
          <w:tcPr>
            <w:tcW w:w="2551" w:type="dxa"/>
            <w:tcBorders>
              <w:top w:val="nil"/>
            </w:tcBorders>
            <w:textDirection w:val="tbRlV"/>
          </w:tcPr>
          <w:p w14:paraId="55F29C72"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Solano- Mendoza et al.</w:t>
            </w:r>
            <w:r>
              <w:rPr>
                <w:rFonts w:ascii="Times New Roman" w:eastAsia="微软雅黑" w:hAnsi="Times New Roman"/>
                <w:color w:val="000000"/>
                <w:sz w:val="20"/>
                <w:szCs w:val="20"/>
              </w:rPr>
              <w:fldChar w:fldCharType="begin"/>
            </w:r>
            <w:r>
              <w:rPr>
                <w:rFonts w:ascii="Times New Roman" w:eastAsia="微软雅黑" w:hAnsi="Times New Roman"/>
                <w:color w:val="000000"/>
                <w:sz w:val="20"/>
                <w:szCs w:val="20"/>
              </w:rPr>
              <w:instrText xml:space="preserve"> ADDIN EN.CITE &lt;EndNote&gt;&lt;Cite&gt;&lt;Author&gt;Solano-Mendoza&lt;/Author&gt;&lt;Year&gt;2017&lt;/Year&gt;&lt;RecNum&gt;151&lt;/RecNum&gt;&lt;DisplayText&gt;&lt;style face="superscript"&gt;[19]&lt;/style&gt;&lt;/DisplayText&gt;&lt;record&gt;&lt;rec-number&gt;151&lt;/rec-number&gt;&lt;foreign-keys&gt;&lt;key app="EN" db-id="09t5tvz5l9xermetrx05d05iexwr0fadrsea" timestamp="1661489291"&gt;151&lt;/key&gt;&lt;/foreign-keys&gt;&lt;ref-type name="Journal Article"&gt;17&lt;/ref-type&gt;&lt;contributors&gt;&lt;authors&gt;&lt;author&gt;Solano-Mendoza, B.&lt;/author&gt;&lt;author&gt;Sonnemberg, B.&lt;/author&gt;&lt;author&gt;Solano-Reina, E.&lt;/author&gt;&lt;author&gt;Iglesias-Linares, A.&lt;/author&gt;&lt;/authors&gt;&lt;/contributors&gt;&lt;titles&gt;&lt;title&gt;How effective is the InvisalignA (R) system in expansion movement with Ex30&amp;apos; aligners?&lt;/title&gt;&lt;secondary-title&gt;Clinical Oral Investigations&lt;/secondary-title&gt;&lt;/titles&gt;&lt;periodical&gt;&lt;full-title&gt;Clinical Oral Investigations&lt;/full-title&gt;&lt;/periodical&gt;&lt;pages&gt;1475-1484&lt;/pages&gt;&lt;volume&gt;21&lt;/volume&gt;&lt;number&gt;5&lt;/number&gt;&lt;dates&gt;&lt;year&gt;2017&lt;/year&gt;&lt;pub-dates&gt;&lt;date&gt;Jun&lt;/date&gt;&lt;/pub-dates&gt;&lt;/dates&gt;&lt;isbn&gt;1432-6981&lt;/isbn&gt;&lt;accession-num&gt;WOS:000402011500005&lt;/accession-num&gt;&lt;urls&gt;&lt;related-urls&gt;&lt;url&gt;&amp;lt;Go to ISI&amp;gt;://WOS:000402011500005&lt;/url&gt;&lt;url&gt;https://link.springer.com/article/10.1007/s00784-016-1908-y&lt;/url&gt;&lt;/related-urls&gt;&lt;/urls&gt;&lt;electronic-resource-num&gt;10.1007/s00784-016-1908-y&lt;/electronic-resource-num&gt;&lt;/record&gt;&lt;/Cite&gt;&lt;/EndNote&gt;</w:instrText>
            </w:r>
            <w:r>
              <w:rPr>
                <w:rFonts w:ascii="Times New Roman" w:eastAsia="微软雅黑" w:hAnsi="Times New Roman"/>
                <w:color w:val="000000"/>
                <w:sz w:val="20"/>
                <w:szCs w:val="20"/>
              </w:rPr>
              <w:fldChar w:fldCharType="separate"/>
            </w:r>
            <w:r>
              <w:rPr>
                <w:rFonts w:ascii="Times New Roman" w:eastAsia="微软雅黑" w:hAnsi="Times New Roman"/>
                <w:color w:val="000000"/>
                <w:sz w:val="20"/>
                <w:szCs w:val="20"/>
                <w:vertAlign w:val="superscript"/>
                <w:lang w:val="en-US" w:eastAsia="zh-CN"/>
              </w:rPr>
              <w:t>[19]</w:t>
            </w:r>
            <w:r>
              <w:rPr>
                <w:rFonts w:ascii="Times New Roman" w:eastAsia="微软雅黑" w:hAnsi="Times New Roman"/>
                <w:color w:val="000000"/>
                <w:sz w:val="20"/>
                <w:szCs w:val="20"/>
              </w:rPr>
              <w:fldChar w:fldCharType="end"/>
            </w:r>
            <w:r>
              <w:rPr>
                <w:rFonts w:ascii="Times New Roman" w:eastAsia="微软雅黑" w:hAnsi="Times New Roman"/>
                <w:color w:val="000000"/>
                <w:sz w:val="20"/>
                <w:szCs w:val="20"/>
              </w:rPr>
              <w:t xml:space="preserve"> (2017)</w:t>
            </w:r>
          </w:p>
          <w:p w14:paraId="5768A9CA" w14:textId="77777777" w:rsidR="00E85AA7" w:rsidRDefault="00E85AA7" w:rsidP="00F63164">
            <w:pPr>
              <w:widowControl/>
              <w:jc w:val="left"/>
              <w:rPr>
                <w:rFonts w:ascii="Times New Roman" w:eastAsia="微软雅黑" w:hAnsi="Times New Roman"/>
                <w:sz w:val="20"/>
                <w:szCs w:val="20"/>
              </w:rPr>
            </w:pPr>
          </w:p>
        </w:tc>
        <w:tc>
          <w:tcPr>
            <w:tcW w:w="425" w:type="dxa"/>
            <w:tcBorders>
              <w:top w:val="nil"/>
            </w:tcBorders>
            <w:textDirection w:val="tbRlV"/>
          </w:tcPr>
          <w:p w14:paraId="65468532"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 xml:space="preserve">Author </w:t>
            </w:r>
          </w:p>
          <w:p w14:paraId="5D70AEB2" w14:textId="77777777" w:rsidR="00E85AA7" w:rsidRDefault="00E85AA7" w:rsidP="00F63164">
            <w:pPr>
              <w:widowControl/>
              <w:ind w:left="113" w:right="113"/>
              <w:jc w:val="left"/>
              <w:rPr>
                <w:rFonts w:ascii="Times New Roman" w:eastAsia="微软雅黑" w:hAnsi="Times New Roman"/>
                <w:color w:val="000000"/>
                <w:sz w:val="20"/>
                <w:szCs w:val="20"/>
              </w:rPr>
            </w:pPr>
          </w:p>
        </w:tc>
      </w:tr>
      <w:tr w:rsidR="00E85AA7" w14:paraId="174B0B14" w14:textId="77777777" w:rsidTr="00F63164">
        <w:trPr>
          <w:trHeight w:val="1829"/>
        </w:trPr>
        <w:tc>
          <w:tcPr>
            <w:tcW w:w="392" w:type="dxa"/>
            <w:vMerge/>
            <w:shd w:val="clear" w:color="auto" w:fill="FBE4D5"/>
            <w:textDirection w:val="tbRlV"/>
          </w:tcPr>
          <w:p w14:paraId="39B56B5A" w14:textId="77777777" w:rsidR="00E85AA7" w:rsidRDefault="00E85AA7" w:rsidP="00F63164">
            <w:pPr>
              <w:widowControl/>
              <w:jc w:val="left"/>
              <w:rPr>
                <w:rFonts w:ascii="Times New Roman" w:eastAsia="微软雅黑" w:hAnsi="Times New Roman"/>
                <w:b/>
                <w:bCs/>
                <w:color w:val="000000"/>
                <w:sz w:val="20"/>
                <w:szCs w:val="20"/>
              </w:rPr>
            </w:pPr>
          </w:p>
        </w:tc>
        <w:tc>
          <w:tcPr>
            <w:tcW w:w="3961" w:type="dxa"/>
            <w:shd w:val="clear" w:color="auto" w:fill="FBE4D5"/>
            <w:textDirection w:val="tbRlV"/>
          </w:tcPr>
          <w:p w14:paraId="7FE42007" w14:textId="77777777" w:rsidR="00E85AA7" w:rsidRDefault="00E85AA7" w:rsidP="00F63164">
            <w:pPr>
              <w:widowControl/>
              <w:jc w:val="left"/>
              <w:rPr>
                <w:rFonts w:ascii="Times New Roman" w:hAnsi="Times New Roman"/>
                <w:color w:val="000000"/>
                <w:kern w:val="0"/>
                <w:sz w:val="20"/>
                <w:szCs w:val="20"/>
              </w:rPr>
            </w:pPr>
            <w:r>
              <w:rPr>
                <w:rFonts w:ascii="Times New Roman" w:hAnsi="Times New Roman"/>
                <w:color w:val="000000"/>
                <w:sz w:val="20"/>
                <w:szCs w:val="20"/>
              </w:rPr>
              <w:t>Morphometric analysis of dental arch form changes in class II patients treated with clear aligners</w:t>
            </w:r>
          </w:p>
          <w:p w14:paraId="6DAD9F8E" w14:textId="77777777" w:rsidR="00E85AA7" w:rsidRDefault="00E85AA7" w:rsidP="00F63164">
            <w:pPr>
              <w:widowControl/>
              <w:jc w:val="left"/>
              <w:rPr>
                <w:rFonts w:ascii="Times New Roman" w:eastAsia="微软雅黑" w:hAnsi="Times New Roman"/>
                <w:sz w:val="20"/>
                <w:szCs w:val="20"/>
              </w:rPr>
            </w:pPr>
          </w:p>
        </w:tc>
        <w:tc>
          <w:tcPr>
            <w:tcW w:w="2661" w:type="dxa"/>
            <w:shd w:val="clear" w:color="auto" w:fill="FBE4D5"/>
            <w:textDirection w:val="tbRlV"/>
          </w:tcPr>
          <w:p w14:paraId="38CF03E5"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Maxillary expansion efficiency with clear aligner and its possible influencing factors</w:t>
            </w:r>
          </w:p>
          <w:p w14:paraId="78D54506" w14:textId="77777777" w:rsidR="00E85AA7" w:rsidRDefault="00E85AA7" w:rsidP="00F63164">
            <w:pPr>
              <w:widowControl/>
              <w:jc w:val="left"/>
              <w:rPr>
                <w:rFonts w:ascii="Times New Roman" w:eastAsia="微软雅黑" w:hAnsi="Times New Roman"/>
                <w:color w:val="000000"/>
                <w:sz w:val="20"/>
                <w:szCs w:val="20"/>
              </w:rPr>
            </w:pPr>
          </w:p>
        </w:tc>
        <w:tc>
          <w:tcPr>
            <w:tcW w:w="2551" w:type="dxa"/>
            <w:shd w:val="clear" w:color="auto" w:fill="FBE4D5"/>
            <w:textDirection w:val="tbRlV"/>
          </w:tcPr>
          <w:p w14:paraId="28C5F968"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 xml:space="preserve">How effective is the Invisalign system in expansion movement with Ex30' aligners? </w:t>
            </w:r>
          </w:p>
          <w:p w14:paraId="4DFDD8EE" w14:textId="77777777" w:rsidR="00E85AA7" w:rsidRDefault="00E85AA7" w:rsidP="00F63164">
            <w:pPr>
              <w:widowControl/>
              <w:jc w:val="left"/>
              <w:rPr>
                <w:rFonts w:ascii="Times New Roman" w:eastAsia="微软雅黑" w:hAnsi="Times New Roman"/>
                <w:sz w:val="20"/>
                <w:szCs w:val="20"/>
              </w:rPr>
            </w:pPr>
          </w:p>
        </w:tc>
        <w:tc>
          <w:tcPr>
            <w:tcW w:w="425" w:type="dxa"/>
            <w:shd w:val="clear" w:color="auto" w:fill="FBE4D5"/>
            <w:textDirection w:val="tbRlV"/>
          </w:tcPr>
          <w:p w14:paraId="1E780D9C"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Title</w:t>
            </w:r>
          </w:p>
          <w:p w14:paraId="7EAEE9C4" w14:textId="77777777" w:rsidR="00E85AA7" w:rsidRDefault="00E85AA7" w:rsidP="00F63164">
            <w:pPr>
              <w:widowControl/>
              <w:ind w:left="113" w:right="113"/>
              <w:jc w:val="left"/>
              <w:rPr>
                <w:rFonts w:ascii="Times New Roman" w:eastAsia="微软雅黑" w:hAnsi="Times New Roman"/>
                <w:color w:val="000000"/>
                <w:sz w:val="20"/>
                <w:szCs w:val="20"/>
              </w:rPr>
            </w:pPr>
          </w:p>
        </w:tc>
      </w:tr>
      <w:tr w:rsidR="00E85AA7" w14:paraId="363F51C5" w14:textId="77777777" w:rsidTr="00F63164">
        <w:trPr>
          <w:trHeight w:val="1131"/>
        </w:trPr>
        <w:tc>
          <w:tcPr>
            <w:tcW w:w="392" w:type="dxa"/>
            <w:vMerge/>
            <w:textDirection w:val="tbRlV"/>
          </w:tcPr>
          <w:p w14:paraId="34F4AFF2" w14:textId="77777777" w:rsidR="00E85AA7" w:rsidRDefault="00E85AA7" w:rsidP="00F63164">
            <w:pPr>
              <w:widowControl/>
              <w:jc w:val="left"/>
              <w:rPr>
                <w:rFonts w:ascii="Times New Roman" w:eastAsia="微软雅黑" w:hAnsi="Times New Roman"/>
                <w:b/>
                <w:bCs/>
                <w:color w:val="000000"/>
                <w:sz w:val="20"/>
                <w:szCs w:val="20"/>
              </w:rPr>
            </w:pPr>
          </w:p>
        </w:tc>
        <w:tc>
          <w:tcPr>
            <w:tcW w:w="3961" w:type="dxa"/>
            <w:textDirection w:val="tbRlV"/>
          </w:tcPr>
          <w:p w14:paraId="2A0E9ACD"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 xml:space="preserve">Retrospective </w:t>
            </w:r>
          </w:p>
          <w:p w14:paraId="0D5573AE" w14:textId="77777777" w:rsidR="00E85AA7" w:rsidRDefault="00E85AA7" w:rsidP="00F63164">
            <w:pPr>
              <w:widowControl/>
              <w:jc w:val="left"/>
              <w:rPr>
                <w:rFonts w:ascii="Times New Roman" w:eastAsia="微软雅黑" w:hAnsi="Times New Roman"/>
                <w:sz w:val="20"/>
                <w:szCs w:val="20"/>
              </w:rPr>
            </w:pPr>
          </w:p>
        </w:tc>
        <w:tc>
          <w:tcPr>
            <w:tcW w:w="2661" w:type="dxa"/>
            <w:textDirection w:val="tbRlV"/>
          </w:tcPr>
          <w:p w14:paraId="22439F72"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 xml:space="preserve">Retrospective </w:t>
            </w:r>
          </w:p>
          <w:p w14:paraId="1748ABF6" w14:textId="77777777" w:rsidR="00E85AA7" w:rsidRDefault="00E85AA7" w:rsidP="00F63164">
            <w:pPr>
              <w:widowControl/>
              <w:jc w:val="left"/>
              <w:rPr>
                <w:rFonts w:ascii="Times New Roman" w:eastAsia="微软雅黑" w:hAnsi="Times New Roman"/>
                <w:color w:val="000000"/>
                <w:sz w:val="20"/>
                <w:szCs w:val="20"/>
              </w:rPr>
            </w:pPr>
          </w:p>
        </w:tc>
        <w:tc>
          <w:tcPr>
            <w:tcW w:w="2551" w:type="dxa"/>
            <w:textDirection w:val="tbRlV"/>
          </w:tcPr>
          <w:p w14:paraId="59F9C426"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 xml:space="preserve">Retrospective </w:t>
            </w:r>
          </w:p>
          <w:p w14:paraId="5DE6C017" w14:textId="77777777" w:rsidR="00E85AA7" w:rsidRDefault="00E85AA7" w:rsidP="00F63164">
            <w:pPr>
              <w:widowControl/>
              <w:jc w:val="left"/>
              <w:rPr>
                <w:rFonts w:ascii="Times New Roman" w:eastAsia="微软雅黑" w:hAnsi="Times New Roman"/>
                <w:sz w:val="20"/>
                <w:szCs w:val="20"/>
              </w:rPr>
            </w:pPr>
          </w:p>
        </w:tc>
        <w:tc>
          <w:tcPr>
            <w:tcW w:w="425" w:type="dxa"/>
            <w:textDirection w:val="tbRlV"/>
          </w:tcPr>
          <w:p w14:paraId="78642DD6"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Type</w:t>
            </w:r>
          </w:p>
        </w:tc>
      </w:tr>
      <w:tr w:rsidR="00E85AA7" w14:paraId="7D50D881" w14:textId="77777777" w:rsidTr="00F63164">
        <w:trPr>
          <w:trHeight w:val="1264"/>
        </w:trPr>
        <w:tc>
          <w:tcPr>
            <w:tcW w:w="392" w:type="dxa"/>
            <w:vMerge/>
            <w:shd w:val="clear" w:color="auto" w:fill="FBE4D5"/>
            <w:textDirection w:val="tbRlV"/>
          </w:tcPr>
          <w:p w14:paraId="3630C31E" w14:textId="77777777" w:rsidR="00E85AA7" w:rsidRDefault="00E85AA7" w:rsidP="00F63164">
            <w:pPr>
              <w:widowControl/>
              <w:jc w:val="left"/>
              <w:rPr>
                <w:rFonts w:ascii="Times New Roman" w:eastAsia="微软雅黑" w:hAnsi="Times New Roman"/>
                <w:b/>
                <w:bCs/>
                <w:color w:val="000000"/>
                <w:sz w:val="20"/>
                <w:szCs w:val="20"/>
              </w:rPr>
            </w:pPr>
          </w:p>
        </w:tc>
        <w:tc>
          <w:tcPr>
            <w:tcW w:w="3961" w:type="dxa"/>
            <w:shd w:val="clear" w:color="auto" w:fill="FBE4D5"/>
            <w:textDirection w:val="tbRlV"/>
          </w:tcPr>
          <w:p w14:paraId="07BA137E" w14:textId="77777777" w:rsidR="00E85AA7" w:rsidRDefault="00E85AA7" w:rsidP="00F63164">
            <w:pPr>
              <w:widowControl/>
              <w:jc w:val="left"/>
              <w:rPr>
                <w:rFonts w:ascii="Times New Roman" w:hAnsi="Times New Roman"/>
                <w:color w:val="000000"/>
                <w:kern w:val="0"/>
                <w:sz w:val="20"/>
                <w:szCs w:val="20"/>
              </w:rPr>
            </w:pPr>
            <w:r>
              <w:rPr>
                <w:rFonts w:ascii="Times New Roman" w:hAnsi="Times New Roman"/>
                <w:color w:val="000000"/>
                <w:sz w:val="20"/>
                <w:szCs w:val="20"/>
              </w:rPr>
              <w:t>27 patients (19F,8M)</w:t>
            </w:r>
          </w:p>
          <w:p w14:paraId="088A8817" w14:textId="77777777" w:rsidR="00E85AA7" w:rsidRDefault="00E85AA7" w:rsidP="00F63164">
            <w:pPr>
              <w:widowControl/>
              <w:jc w:val="left"/>
              <w:rPr>
                <w:rFonts w:ascii="Times New Roman" w:eastAsia="微软雅黑" w:hAnsi="Times New Roman"/>
                <w:sz w:val="20"/>
                <w:szCs w:val="20"/>
              </w:rPr>
            </w:pPr>
          </w:p>
        </w:tc>
        <w:tc>
          <w:tcPr>
            <w:tcW w:w="2661" w:type="dxa"/>
            <w:shd w:val="clear" w:color="auto" w:fill="FBE4D5"/>
            <w:textDirection w:val="tbRlV"/>
          </w:tcPr>
          <w:p w14:paraId="4593A07D"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31 patients</w:t>
            </w:r>
          </w:p>
          <w:p w14:paraId="4B80B5D9" w14:textId="77777777" w:rsidR="00E85AA7" w:rsidRDefault="00E85AA7" w:rsidP="00F63164">
            <w:pPr>
              <w:widowControl/>
              <w:jc w:val="left"/>
              <w:rPr>
                <w:rFonts w:ascii="Times New Roman" w:eastAsia="微软雅黑" w:hAnsi="Times New Roman"/>
                <w:color w:val="000000"/>
                <w:sz w:val="20"/>
                <w:szCs w:val="20"/>
              </w:rPr>
            </w:pPr>
          </w:p>
        </w:tc>
        <w:tc>
          <w:tcPr>
            <w:tcW w:w="2551" w:type="dxa"/>
            <w:shd w:val="clear" w:color="auto" w:fill="FBE4D5"/>
            <w:textDirection w:val="tbRlV"/>
          </w:tcPr>
          <w:p w14:paraId="23CD28E4"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116 patients (73F,43M</w:t>
            </w:r>
            <w:proofErr w:type="gramStart"/>
            <w:r>
              <w:rPr>
                <w:rFonts w:ascii="Times New Roman" w:eastAsia="微软雅黑" w:hAnsi="Times New Roman"/>
                <w:color w:val="000000"/>
                <w:sz w:val="20"/>
                <w:szCs w:val="20"/>
              </w:rPr>
              <w:t xml:space="preserve">);   </w:t>
            </w:r>
            <w:proofErr w:type="gramEnd"/>
            <w:r>
              <w:rPr>
                <w:rFonts w:ascii="Times New Roman" w:eastAsia="微软雅黑" w:hAnsi="Times New Roman"/>
                <w:color w:val="000000"/>
                <w:sz w:val="20"/>
                <w:szCs w:val="20"/>
              </w:rPr>
              <w:t xml:space="preserve">  mean age: 36.57±11.53 years </w:t>
            </w:r>
          </w:p>
          <w:p w14:paraId="10A66B41" w14:textId="77777777" w:rsidR="00E85AA7" w:rsidRDefault="00E85AA7" w:rsidP="00F63164">
            <w:pPr>
              <w:widowControl/>
              <w:jc w:val="left"/>
              <w:rPr>
                <w:rFonts w:ascii="Times New Roman" w:eastAsia="微软雅黑" w:hAnsi="Times New Roman"/>
                <w:sz w:val="20"/>
                <w:szCs w:val="20"/>
              </w:rPr>
            </w:pPr>
          </w:p>
        </w:tc>
        <w:tc>
          <w:tcPr>
            <w:tcW w:w="425" w:type="dxa"/>
            <w:shd w:val="clear" w:color="auto" w:fill="FBE4D5"/>
            <w:textDirection w:val="tbRlV"/>
          </w:tcPr>
          <w:p w14:paraId="5B6D4779"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Population</w:t>
            </w:r>
          </w:p>
          <w:p w14:paraId="0A5BC2E7" w14:textId="77777777" w:rsidR="00E85AA7" w:rsidRDefault="00E85AA7" w:rsidP="00F63164">
            <w:pPr>
              <w:widowControl/>
              <w:ind w:left="113" w:right="113"/>
              <w:jc w:val="left"/>
              <w:rPr>
                <w:rFonts w:ascii="Times New Roman" w:eastAsia="微软雅黑" w:hAnsi="Times New Roman"/>
                <w:color w:val="000000"/>
                <w:sz w:val="20"/>
                <w:szCs w:val="20"/>
              </w:rPr>
            </w:pPr>
          </w:p>
        </w:tc>
      </w:tr>
      <w:tr w:rsidR="00E85AA7" w14:paraId="5C8802DF" w14:textId="77777777" w:rsidTr="00F63164">
        <w:trPr>
          <w:trHeight w:val="1263"/>
        </w:trPr>
        <w:tc>
          <w:tcPr>
            <w:tcW w:w="392" w:type="dxa"/>
            <w:vMerge/>
            <w:textDirection w:val="tbRlV"/>
          </w:tcPr>
          <w:p w14:paraId="218EBCBC" w14:textId="77777777" w:rsidR="00E85AA7" w:rsidRDefault="00E85AA7" w:rsidP="00F63164">
            <w:pPr>
              <w:widowControl/>
              <w:jc w:val="left"/>
              <w:rPr>
                <w:rFonts w:ascii="Times New Roman" w:eastAsia="微软雅黑" w:hAnsi="Times New Roman"/>
                <w:b/>
                <w:bCs/>
                <w:sz w:val="20"/>
                <w:szCs w:val="20"/>
              </w:rPr>
            </w:pPr>
          </w:p>
        </w:tc>
        <w:tc>
          <w:tcPr>
            <w:tcW w:w="3961" w:type="dxa"/>
            <w:textDirection w:val="tbRlV"/>
          </w:tcPr>
          <w:p w14:paraId="7BEB331D" w14:textId="77777777" w:rsidR="00E85AA7" w:rsidRDefault="00E85AA7" w:rsidP="00F63164">
            <w:pPr>
              <w:widowControl/>
              <w:jc w:val="left"/>
              <w:rPr>
                <w:rFonts w:ascii="Times New Roman" w:eastAsia="微软雅黑" w:hAnsi="Times New Roman"/>
                <w:sz w:val="20"/>
                <w:szCs w:val="20"/>
              </w:rPr>
            </w:pPr>
            <w:proofErr w:type="gramStart"/>
            <w:r>
              <w:rPr>
                <w:rFonts w:ascii="Times New Roman" w:eastAsia="微软雅黑" w:hAnsi="Times New Roman"/>
                <w:sz w:val="20"/>
                <w:szCs w:val="20"/>
              </w:rPr>
              <w:t>Aligners;  upper</w:t>
            </w:r>
            <w:proofErr w:type="gramEnd"/>
            <w:r>
              <w:rPr>
                <w:rFonts w:ascii="Times New Roman" w:eastAsia="微软雅黑" w:hAnsi="Times New Roman"/>
                <w:sz w:val="20"/>
                <w:szCs w:val="20"/>
              </w:rPr>
              <w:t xml:space="preserve"> molars distalization; attachments, and class II elastics</w:t>
            </w:r>
          </w:p>
          <w:p w14:paraId="0914CFEE" w14:textId="77777777" w:rsidR="00E85AA7" w:rsidRDefault="00E85AA7" w:rsidP="00F63164">
            <w:pPr>
              <w:widowControl/>
              <w:jc w:val="left"/>
              <w:rPr>
                <w:rFonts w:ascii="Times New Roman" w:eastAsia="微软雅黑" w:hAnsi="Times New Roman"/>
                <w:sz w:val="20"/>
                <w:szCs w:val="20"/>
              </w:rPr>
            </w:pPr>
          </w:p>
        </w:tc>
        <w:tc>
          <w:tcPr>
            <w:tcW w:w="2661" w:type="dxa"/>
            <w:textDirection w:val="tbRlV"/>
          </w:tcPr>
          <w:p w14:paraId="7E79A29E"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Maxillary expansion with Invisalign</w:t>
            </w:r>
          </w:p>
          <w:p w14:paraId="1B607A57" w14:textId="77777777" w:rsidR="00E85AA7" w:rsidRDefault="00E85AA7" w:rsidP="00F63164">
            <w:pPr>
              <w:widowControl/>
              <w:jc w:val="left"/>
              <w:rPr>
                <w:rFonts w:ascii="Times New Roman" w:eastAsia="微软雅黑" w:hAnsi="Times New Roman"/>
                <w:color w:val="000000"/>
                <w:sz w:val="20"/>
                <w:szCs w:val="20"/>
              </w:rPr>
            </w:pPr>
          </w:p>
        </w:tc>
        <w:tc>
          <w:tcPr>
            <w:tcW w:w="2551" w:type="dxa"/>
            <w:textDirection w:val="tbRlV"/>
          </w:tcPr>
          <w:p w14:paraId="5F4227A8"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Ex30 aligner material; expansion of the posterior upper teeth</w:t>
            </w:r>
          </w:p>
          <w:p w14:paraId="07F83FE3" w14:textId="77777777" w:rsidR="00E85AA7" w:rsidRDefault="00E85AA7" w:rsidP="00F63164">
            <w:pPr>
              <w:widowControl/>
              <w:jc w:val="left"/>
              <w:rPr>
                <w:rFonts w:ascii="Times New Roman" w:eastAsia="微软雅黑" w:hAnsi="Times New Roman"/>
                <w:sz w:val="20"/>
                <w:szCs w:val="20"/>
              </w:rPr>
            </w:pPr>
          </w:p>
        </w:tc>
        <w:tc>
          <w:tcPr>
            <w:tcW w:w="425" w:type="dxa"/>
            <w:textDirection w:val="tbRlV"/>
          </w:tcPr>
          <w:p w14:paraId="59B79180"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 xml:space="preserve">Intervention </w:t>
            </w:r>
          </w:p>
          <w:p w14:paraId="7255B184" w14:textId="77777777" w:rsidR="00E85AA7" w:rsidRDefault="00E85AA7" w:rsidP="00F63164">
            <w:pPr>
              <w:widowControl/>
              <w:ind w:left="113" w:right="113"/>
              <w:jc w:val="left"/>
              <w:rPr>
                <w:rFonts w:ascii="Times New Roman" w:eastAsia="微软雅黑" w:hAnsi="Times New Roman"/>
                <w:color w:val="000000"/>
                <w:sz w:val="20"/>
                <w:szCs w:val="20"/>
              </w:rPr>
            </w:pPr>
          </w:p>
        </w:tc>
      </w:tr>
      <w:tr w:rsidR="00E85AA7" w14:paraId="36E678D6" w14:textId="77777777" w:rsidTr="00F63164">
        <w:trPr>
          <w:trHeight w:val="1273"/>
        </w:trPr>
        <w:tc>
          <w:tcPr>
            <w:tcW w:w="392" w:type="dxa"/>
            <w:vMerge/>
            <w:shd w:val="clear" w:color="auto" w:fill="FBE4D5"/>
            <w:textDirection w:val="tbRlV"/>
          </w:tcPr>
          <w:p w14:paraId="68E310D5" w14:textId="77777777" w:rsidR="00E85AA7" w:rsidRDefault="00E85AA7" w:rsidP="00F63164">
            <w:pPr>
              <w:widowControl/>
              <w:jc w:val="left"/>
              <w:rPr>
                <w:rFonts w:ascii="Times New Roman" w:eastAsia="微软雅黑" w:hAnsi="Times New Roman"/>
                <w:b/>
                <w:bCs/>
                <w:sz w:val="20"/>
                <w:szCs w:val="20"/>
              </w:rPr>
            </w:pPr>
          </w:p>
        </w:tc>
        <w:tc>
          <w:tcPr>
            <w:tcW w:w="3961" w:type="dxa"/>
            <w:shd w:val="clear" w:color="auto" w:fill="FBE4D5"/>
            <w:textDirection w:val="tbRlV"/>
          </w:tcPr>
          <w:p w14:paraId="6A09A3D4"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 xml:space="preserve">Maxillary and mandibular models were compared </w:t>
            </w:r>
          </w:p>
        </w:tc>
        <w:tc>
          <w:tcPr>
            <w:tcW w:w="2661" w:type="dxa"/>
            <w:shd w:val="clear" w:color="auto" w:fill="FBE4D5"/>
            <w:textDirection w:val="tbRlV"/>
          </w:tcPr>
          <w:p w14:paraId="0EDEDDCD"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 xml:space="preserve">Comparison between the pretreatment, posttreatment and virtual posttreatment models </w:t>
            </w:r>
          </w:p>
          <w:p w14:paraId="16EFB686" w14:textId="77777777" w:rsidR="00E85AA7" w:rsidRDefault="00E85AA7" w:rsidP="00F63164">
            <w:pPr>
              <w:widowControl/>
              <w:jc w:val="left"/>
              <w:rPr>
                <w:rFonts w:ascii="Times New Roman" w:eastAsia="微软雅黑" w:hAnsi="Times New Roman"/>
                <w:color w:val="000000"/>
                <w:sz w:val="20"/>
                <w:szCs w:val="20"/>
              </w:rPr>
            </w:pPr>
          </w:p>
        </w:tc>
        <w:tc>
          <w:tcPr>
            <w:tcW w:w="2551" w:type="dxa"/>
            <w:shd w:val="clear" w:color="auto" w:fill="FBE4D5"/>
            <w:textDirection w:val="tbRlV"/>
          </w:tcPr>
          <w:p w14:paraId="0539FD3D"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Comparisons between the actual and the planned models</w:t>
            </w:r>
          </w:p>
        </w:tc>
        <w:tc>
          <w:tcPr>
            <w:tcW w:w="425" w:type="dxa"/>
            <w:shd w:val="clear" w:color="auto" w:fill="FBE4D5"/>
            <w:textDirection w:val="tbRlV"/>
          </w:tcPr>
          <w:p w14:paraId="1CB4B660"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Comparison</w:t>
            </w:r>
          </w:p>
          <w:p w14:paraId="5BC5309A" w14:textId="77777777" w:rsidR="00E85AA7" w:rsidRDefault="00E85AA7" w:rsidP="00F63164">
            <w:pPr>
              <w:widowControl/>
              <w:ind w:left="113" w:right="113"/>
              <w:jc w:val="left"/>
              <w:rPr>
                <w:rFonts w:ascii="Times New Roman" w:eastAsia="微软雅黑" w:hAnsi="Times New Roman"/>
                <w:color w:val="000000"/>
                <w:sz w:val="20"/>
                <w:szCs w:val="20"/>
              </w:rPr>
            </w:pPr>
          </w:p>
        </w:tc>
      </w:tr>
      <w:tr w:rsidR="00E85AA7" w14:paraId="2CFAD0A7" w14:textId="77777777" w:rsidTr="00F63164">
        <w:trPr>
          <w:trHeight w:val="2114"/>
        </w:trPr>
        <w:tc>
          <w:tcPr>
            <w:tcW w:w="392" w:type="dxa"/>
            <w:vMerge/>
            <w:textDirection w:val="tbRlV"/>
          </w:tcPr>
          <w:p w14:paraId="42B66B01" w14:textId="77777777" w:rsidR="00E85AA7" w:rsidRDefault="00E85AA7" w:rsidP="00F63164">
            <w:pPr>
              <w:widowControl/>
              <w:jc w:val="left"/>
              <w:rPr>
                <w:rFonts w:ascii="Times New Roman" w:eastAsia="微软雅黑" w:hAnsi="Times New Roman"/>
                <w:b/>
                <w:bCs/>
                <w:sz w:val="20"/>
                <w:szCs w:val="20"/>
              </w:rPr>
            </w:pPr>
          </w:p>
        </w:tc>
        <w:tc>
          <w:tcPr>
            <w:tcW w:w="3961" w:type="dxa"/>
            <w:textDirection w:val="tbRlV"/>
          </w:tcPr>
          <w:p w14:paraId="6B33E738"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Regarding transverse dimensions, significant differences between T0 and T2 were observed for all measurements in the upper arch and the lower arch</w:t>
            </w:r>
          </w:p>
          <w:p w14:paraId="413A31BA" w14:textId="77777777" w:rsidR="00E85AA7" w:rsidRDefault="00E85AA7" w:rsidP="00F63164">
            <w:pPr>
              <w:widowControl/>
              <w:jc w:val="left"/>
              <w:rPr>
                <w:rFonts w:ascii="Times New Roman" w:eastAsia="微软雅黑" w:hAnsi="Times New Roman"/>
                <w:sz w:val="20"/>
                <w:szCs w:val="20"/>
              </w:rPr>
            </w:pPr>
          </w:p>
        </w:tc>
        <w:tc>
          <w:tcPr>
            <w:tcW w:w="2661" w:type="dxa"/>
            <w:textDirection w:val="tbRlV"/>
          </w:tcPr>
          <w:p w14:paraId="70927313"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 xml:space="preserve">Expansion efficiency from canine to second molar: 68%, 70%, 68%, 55% and 29%. The posterior teeth showed significantly more buccal inclination than the planned position </w:t>
            </w:r>
          </w:p>
          <w:p w14:paraId="3D559D2F" w14:textId="77777777" w:rsidR="00E85AA7" w:rsidRDefault="00E85AA7" w:rsidP="00F63164">
            <w:pPr>
              <w:widowControl/>
              <w:jc w:val="left"/>
              <w:rPr>
                <w:rFonts w:ascii="Times New Roman" w:eastAsia="微软雅黑" w:hAnsi="Times New Roman"/>
                <w:color w:val="000000"/>
                <w:sz w:val="20"/>
                <w:szCs w:val="20"/>
              </w:rPr>
            </w:pPr>
          </w:p>
        </w:tc>
        <w:tc>
          <w:tcPr>
            <w:tcW w:w="2551" w:type="dxa"/>
            <w:textDirection w:val="tbRlV"/>
          </w:tcPr>
          <w:p w14:paraId="187BE287"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 xml:space="preserve">Statistically significant differences between the posttreatment models and the predicted models were found </w:t>
            </w:r>
          </w:p>
          <w:p w14:paraId="63AE0F56" w14:textId="77777777" w:rsidR="00E85AA7" w:rsidRDefault="00E85AA7" w:rsidP="00F63164">
            <w:pPr>
              <w:widowControl/>
              <w:jc w:val="left"/>
              <w:rPr>
                <w:rFonts w:ascii="Times New Roman" w:eastAsia="微软雅黑" w:hAnsi="Times New Roman"/>
                <w:sz w:val="20"/>
                <w:szCs w:val="20"/>
              </w:rPr>
            </w:pPr>
          </w:p>
        </w:tc>
        <w:tc>
          <w:tcPr>
            <w:tcW w:w="425" w:type="dxa"/>
            <w:textDirection w:val="tbRlV"/>
          </w:tcPr>
          <w:p w14:paraId="278F3C39"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Results</w:t>
            </w:r>
          </w:p>
          <w:p w14:paraId="3D06125A" w14:textId="77777777" w:rsidR="00E85AA7" w:rsidRDefault="00E85AA7" w:rsidP="00F63164">
            <w:pPr>
              <w:widowControl/>
              <w:ind w:left="113" w:right="113"/>
              <w:jc w:val="left"/>
              <w:rPr>
                <w:rFonts w:ascii="Times New Roman" w:eastAsia="微软雅黑" w:hAnsi="Times New Roman"/>
                <w:color w:val="000000"/>
                <w:sz w:val="20"/>
                <w:szCs w:val="20"/>
              </w:rPr>
            </w:pPr>
          </w:p>
        </w:tc>
      </w:tr>
      <w:tr w:rsidR="00E85AA7" w14:paraId="0B87B2E0" w14:textId="77777777" w:rsidTr="00F63164">
        <w:trPr>
          <w:trHeight w:val="3482"/>
        </w:trPr>
        <w:tc>
          <w:tcPr>
            <w:tcW w:w="392" w:type="dxa"/>
            <w:vMerge/>
            <w:tcBorders>
              <w:bottom w:val="nil"/>
            </w:tcBorders>
            <w:shd w:val="clear" w:color="auto" w:fill="FBE4D5"/>
            <w:textDirection w:val="tbRlV"/>
          </w:tcPr>
          <w:p w14:paraId="2D2354DC" w14:textId="77777777" w:rsidR="00E85AA7" w:rsidRDefault="00E85AA7" w:rsidP="00F63164">
            <w:pPr>
              <w:widowControl/>
              <w:jc w:val="left"/>
              <w:rPr>
                <w:rFonts w:ascii="Times New Roman" w:eastAsia="微软雅黑" w:hAnsi="Times New Roman"/>
                <w:b/>
                <w:bCs/>
                <w:sz w:val="20"/>
                <w:szCs w:val="20"/>
              </w:rPr>
            </w:pPr>
          </w:p>
        </w:tc>
        <w:tc>
          <w:tcPr>
            <w:tcW w:w="3961" w:type="dxa"/>
            <w:tcBorders>
              <w:bottom w:val="nil"/>
            </w:tcBorders>
            <w:shd w:val="clear" w:color="auto" w:fill="FBE4D5"/>
            <w:textDirection w:val="tbRlV"/>
          </w:tcPr>
          <w:p w14:paraId="3F7B4C9F"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Invisalign class II treatment results in a significant increase in arch width at the molar and premolar level in both arches. The mandibular intercanine distance did not undergo any significant change. This orthodontic approach might produce functional and stable outcomes</w:t>
            </w:r>
          </w:p>
          <w:p w14:paraId="78373B49" w14:textId="77777777" w:rsidR="00E85AA7" w:rsidRDefault="00E85AA7" w:rsidP="00F63164">
            <w:pPr>
              <w:widowControl/>
              <w:jc w:val="left"/>
              <w:rPr>
                <w:rFonts w:ascii="Times New Roman" w:eastAsia="微软雅黑" w:hAnsi="Times New Roman"/>
                <w:sz w:val="20"/>
                <w:szCs w:val="20"/>
              </w:rPr>
            </w:pPr>
          </w:p>
        </w:tc>
        <w:tc>
          <w:tcPr>
            <w:tcW w:w="2661" w:type="dxa"/>
            <w:tcBorders>
              <w:bottom w:val="nil"/>
            </w:tcBorders>
            <w:shd w:val="clear" w:color="auto" w:fill="FBE4D5"/>
            <w:textDirection w:val="tbRlV"/>
          </w:tcPr>
          <w:p w14:paraId="79EA6351"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The expansion of maxillary arch was achieved by the buccal movement of the posterior teeth with limited buccal inclination. The efficiency of expansion declines from first premolars to second molars. The planned inter-molar width had a significant influence on the efficiency of premolar expansion</w:t>
            </w:r>
          </w:p>
          <w:p w14:paraId="2FF107BF" w14:textId="77777777" w:rsidR="00E85AA7" w:rsidRDefault="00E85AA7" w:rsidP="00F63164">
            <w:pPr>
              <w:widowControl/>
              <w:jc w:val="left"/>
              <w:rPr>
                <w:rFonts w:ascii="Times New Roman" w:eastAsia="微软雅黑" w:hAnsi="Times New Roman"/>
                <w:color w:val="000000"/>
                <w:sz w:val="20"/>
                <w:szCs w:val="20"/>
              </w:rPr>
            </w:pPr>
          </w:p>
        </w:tc>
        <w:tc>
          <w:tcPr>
            <w:tcW w:w="2551" w:type="dxa"/>
            <w:tcBorders>
              <w:bottom w:val="nil"/>
            </w:tcBorders>
            <w:shd w:val="clear" w:color="auto" w:fill="FBE4D5"/>
            <w:textDirection w:val="tbRlV"/>
          </w:tcPr>
          <w:p w14:paraId="4CC304D3"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The expansion planned by ClinCheck was not predictable on all varibles of gingival and cuspid width</w:t>
            </w:r>
          </w:p>
          <w:p w14:paraId="709CF5B4" w14:textId="77777777" w:rsidR="00E85AA7" w:rsidRDefault="00E85AA7" w:rsidP="00F63164">
            <w:pPr>
              <w:widowControl/>
              <w:jc w:val="left"/>
              <w:rPr>
                <w:rFonts w:ascii="Times New Roman" w:eastAsia="微软雅黑" w:hAnsi="Times New Roman"/>
                <w:sz w:val="20"/>
                <w:szCs w:val="20"/>
              </w:rPr>
            </w:pPr>
          </w:p>
        </w:tc>
        <w:tc>
          <w:tcPr>
            <w:tcW w:w="425" w:type="dxa"/>
            <w:tcBorders>
              <w:bottom w:val="nil"/>
            </w:tcBorders>
            <w:shd w:val="clear" w:color="auto" w:fill="FBE4D5"/>
            <w:textDirection w:val="tbRlV"/>
          </w:tcPr>
          <w:p w14:paraId="508AFF8A"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Conclusion</w:t>
            </w:r>
          </w:p>
          <w:p w14:paraId="7F7A226D" w14:textId="77777777" w:rsidR="00E85AA7" w:rsidRDefault="00E85AA7" w:rsidP="00F63164">
            <w:pPr>
              <w:widowControl/>
              <w:ind w:left="113" w:right="113"/>
              <w:jc w:val="left"/>
              <w:rPr>
                <w:rFonts w:ascii="Times New Roman" w:eastAsia="微软雅黑" w:hAnsi="Times New Roman"/>
                <w:color w:val="000000"/>
                <w:sz w:val="20"/>
                <w:szCs w:val="20"/>
              </w:rPr>
            </w:pPr>
          </w:p>
        </w:tc>
      </w:tr>
      <w:tr w:rsidR="00E85AA7" w14:paraId="1B83E1C8" w14:textId="77777777" w:rsidTr="00F63164">
        <w:trPr>
          <w:trHeight w:val="1125"/>
        </w:trPr>
        <w:tc>
          <w:tcPr>
            <w:tcW w:w="392" w:type="dxa"/>
            <w:vMerge w:val="restart"/>
            <w:tcBorders>
              <w:top w:val="nil"/>
            </w:tcBorders>
            <w:textDirection w:val="tbRlV"/>
          </w:tcPr>
          <w:p w14:paraId="6FE5F7D7" w14:textId="77777777" w:rsidR="00E85AA7" w:rsidRDefault="00E85AA7" w:rsidP="00F63164">
            <w:pPr>
              <w:widowControl/>
              <w:jc w:val="left"/>
              <w:rPr>
                <w:rFonts w:ascii="Times New Roman" w:eastAsia="微软雅黑" w:hAnsi="Times New Roman"/>
                <w:b/>
                <w:bCs/>
                <w:color w:val="000000"/>
                <w:sz w:val="20"/>
                <w:szCs w:val="20"/>
              </w:rPr>
            </w:pPr>
            <w:r>
              <w:rPr>
                <w:rFonts w:ascii="Times New Roman" w:eastAsia="微软雅黑" w:hAnsi="Times New Roman"/>
                <w:b/>
                <w:bCs/>
                <w:color w:val="000000"/>
                <w:sz w:val="20"/>
                <w:szCs w:val="20"/>
              </w:rPr>
              <w:lastRenderedPageBreak/>
              <w:t xml:space="preserve">F, female; M, male; </w:t>
            </w:r>
            <w:r>
              <w:rPr>
                <w:rFonts w:ascii="Times New Roman" w:eastAsia="微软雅黑" w:hAnsi="Times New Roman" w:hint="eastAsia"/>
                <w:b/>
                <w:bCs/>
                <w:color w:val="000000"/>
                <w:sz w:val="20"/>
                <w:szCs w:val="20"/>
              </w:rPr>
              <w:t>I</w:t>
            </w:r>
            <w:r>
              <w:rPr>
                <w:rFonts w:ascii="Times New Roman" w:eastAsia="微软雅黑" w:hAnsi="Times New Roman"/>
                <w:b/>
                <w:bCs/>
                <w:color w:val="000000"/>
                <w:sz w:val="20"/>
                <w:szCs w:val="20"/>
              </w:rPr>
              <w:t>PR, interproximal reduction</w:t>
            </w:r>
          </w:p>
        </w:tc>
        <w:tc>
          <w:tcPr>
            <w:tcW w:w="3961" w:type="dxa"/>
            <w:tcBorders>
              <w:top w:val="nil"/>
            </w:tcBorders>
            <w:textDirection w:val="tbRlV"/>
          </w:tcPr>
          <w:p w14:paraId="6461E359" w14:textId="77777777" w:rsidR="00E85AA7" w:rsidRDefault="00E85AA7" w:rsidP="00F63164">
            <w:pPr>
              <w:widowControl/>
              <w:jc w:val="left"/>
              <w:rPr>
                <w:rFonts w:ascii="Times New Roman" w:hAnsi="Times New Roman"/>
                <w:color w:val="000000"/>
                <w:kern w:val="0"/>
                <w:sz w:val="20"/>
                <w:szCs w:val="20"/>
              </w:rPr>
            </w:pPr>
            <w:r>
              <w:rPr>
                <w:rFonts w:ascii="Times New Roman" w:hAnsi="Times New Roman"/>
                <w:color w:val="000000"/>
                <w:sz w:val="20"/>
                <w:szCs w:val="20"/>
              </w:rPr>
              <w:t>Zhou et al.</w:t>
            </w:r>
            <w:r>
              <w:rPr>
                <w:rFonts w:ascii="Times New Roman" w:hAnsi="Times New Roman"/>
                <w:color w:val="000000"/>
                <w:sz w:val="20"/>
                <w:szCs w:val="20"/>
              </w:rPr>
              <w:fldChar w:fldCharType="begin"/>
            </w:r>
            <w:r>
              <w:rPr>
                <w:rFonts w:ascii="Times New Roman" w:hAnsi="Times New Roman"/>
                <w:color w:val="000000"/>
                <w:sz w:val="20"/>
                <w:szCs w:val="20"/>
              </w:rPr>
              <w:instrText xml:space="preserve"> ADDIN EN.CITE </w:instrText>
            </w:r>
            <w:r>
              <w:rPr>
                <w:rFonts w:ascii="Times New Roman" w:hAnsi="Times New Roman"/>
                <w:color w:val="000000"/>
                <w:sz w:val="20"/>
                <w:szCs w:val="20"/>
              </w:rPr>
              <w:fldChar w:fldCharType="begin"/>
            </w:r>
            <w:r>
              <w:rPr>
                <w:rFonts w:ascii="Times New Roman" w:hAnsi="Times New Roman"/>
                <w:color w:val="000000"/>
                <w:sz w:val="20"/>
                <w:szCs w:val="20"/>
              </w:rPr>
              <w:instrText xml:space="preserve"> ADDIN EN.CITE.DATA </w:instrText>
            </w:r>
            <w:r>
              <w:rPr>
                <w:rFonts w:ascii="Times New Roman" w:hAnsi="Times New Roman"/>
                <w:color w:val="000000"/>
                <w:sz w:val="20"/>
                <w:szCs w:val="20"/>
              </w:rPr>
              <w:fldChar w:fldCharType="end"/>
            </w:r>
            <w:r>
              <w:rPr>
                <w:rFonts w:ascii="Times New Roman" w:hAnsi="Times New Roman"/>
                <w:color w:val="000000"/>
                <w:sz w:val="20"/>
                <w:szCs w:val="20"/>
              </w:rPr>
              <w:fldChar w:fldCharType="separate"/>
            </w:r>
            <w:r>
              <w:rPr>
                <w:rFonts w:ascii="Times New Roman" w:hAnsi="Times New Roman"/>
                <w:color w:val="000000"/>
                <w:sz w:val="20"/>
                <w:szCs w:val="20"/>
                <w:vertAlign w:val="superscript"/>
                <w:lang w:val="en-US" w:eastAsia="zh-CN"/>
              </w:rPr>
              <w:t>[20]</w:t>
            </w:r>
            <w:r>
              <w:rPr>
                <w:rFonts w:ascii="Times New Roman" w:hAnsi="Times New Roman"/>
                <w:color w:val="000000"/>
                <w:sz w:val="20"/>
                <w:szCs w:val="20"/>
              </w:rPr>
              <w:fldChar w:fldCharType="end"/>
            </w:r>
            <w:r>
              <w:rPr>
                <w:rFonts w:ascii="Times New Roman" w:hAnsi="Times New Roman"/>
                <w:color w:val="000000"/>
                <w:sz w:val="20"/>
                <w:szCs w:val="20"/>
              </w:rPr>
              <w:t xml:space="preserve"> (2020)</w:t>
            </w:r>
          </w:p>
          <w:p w14:paraId="1A5BAB12" w14:textId="77777777" w:rsidR="00E85AA7" w:rsidRDefault="00E85AA7" w:rsidP="00F63164">
            <w:pPr>
              <w:widowControl/>
              <w:jc w:val="left"/>
              <w:rPr>
                <w:rFonts w:ascii="Times New Roman" w:eastAsia="微软雅黑" w:hAnsi="Times New Roman"/>
                <w:sz w:val="20"/>
                <w:szCs w:val="20"/>
              </w:rPr>
            </w:pPr>
          </w:p>
        </w:tc>
        <w:tc>
          <w:tcPr>
            <w:tcW w:w="2661" w:type="dxa"/>
            <w:tcBorders>
              <w:top w:val="nil"/>
            </w:tcBorders>
            <w:textDirection w:val="tbRlV"/>
          </w:tcPr>
          <w:p w14:paraId="49BE8DEE"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Morales- Burruezo et al.</w:t>
            </w:r>
            <w:r>
              <w:rPr>
                <w:rFonts w:ascii="Times New Roman" w:eastAsia="微软雅黑" w:hAnsi="Times New Roman"/>
                <w:color w:val="000000"/>
                <w:sz w:val="20"/>
                <w:szCs w:val="20"/>
              </w:rPr>
              <w:fldChar w:fldCharType="begin"/>
            </w:r>
            <w:r>
              <w:rPr>
                <w:rFonts w:ascii="Times New Roman" w:eastAsia="微软雅黑" w:hAnsi="Times New Roman"/>
                <w:color w:val="000000"/>
                <w:sz w:val="20"/>
                <w:szCs w:val="20"/>
              </w:rPr>
              <w:instrText xml:space="preserve"> ADDIN EN.CITE </w:instrText>
            </w:r>
            <w:r>
              <w:rPr>
                <w:rFonts w:ascii="Times New Roman" w:eastAsia="微软雅黑" w:hAnsi="Times New Roman"/>
                <w:color w:val="000000"/>
                <w:sz w:val="20"/>
                <w:szCs w:val="20"/>
              </w:rPr>
              <w:fldChar w:fldCharType="begin"/>
            </w:r>
            <w:r>
              <w:rPr>
                <w:rFonts w:ascii="Times New Roman" w:eastAsia="微软雅黑" w:hAnsi="Times New Roman"/>
                <w:color w:val="000000"/>
                <w:sz w:val="20"/>
                <w:szCs w:val="20"/>
              </w:rPr>
              <w:instrText xml:space="preserve"> ADDIN EN.CITE.DATA </w:instrText>
            </w:r>
            <w:r>
              <w:rPr>
                <w:rFonts w:ascii="Times New Roman" w:eastAsia="微软雅黑" w:hAnsi="Times New Roman"/>
                <w:color w:val="000000"/>
                <w:sz w:val="20"/>
                <w:szCs w:val="20"/>
              </w:rPr>
              <w:fldChar w:fldCharType="end"/>
            </w:r>
            <w:r>
              <w:rPr>
                <w:rFonts w:ascii="Times New Roman" w:eastAsia="微软雅黑" w:hAnsi="Times New Roman"/>
                <w:color w:val="000000"/>
                <w:sz w:val="20"/>
                <w:szCs w:val="20"/>
              </w:rPr>
              <w:fldChar w:fldCharType="separate"/>
            </w:r>
            <w:r>
              <w:rPr>
                <w:rFonts w:ascii="Times New Roman" w:eastAsia="微软雅黑" w:hAnsi="Times New Roman"/>
                <w:color w:val="000000"/>
                <w:sz w:val="20"/>
                <w:szCs w:val="20"/>
                <w:vertAlign w:val="superscript"/>
                <w:lang w:val="en-US" w:eastAsia="zh-CN"/>
              </w:rPr>
              <w:t>[21]</w:t>
            </w:r>
            <w:r>
              <w:rPr>
                <w:rFonts w:ascii="Times New Roman" w:eastAsia="微软雅黑" w:hAnsi="Times New Roman"/>
                <w:color w:val="000000"/>
                <w:sz w:val="20"/>
                <w:szCs w:val="20"/>
              </w:rPr>
              <w:fldChar w:fldCharType="end"/>
            </w:r>
            <w:r>
              <w:rPr>
                <w:rFonts w:ascii="Times New Roman" w:eastAsia="微软雅黑" w:hAnsi="Times New Roman"/>
                <w:color w:val="000000"/>
                <w:sz w:val="20"/>
                <w:szCs w:val="20"/>
              </w:rPr>
              <w:t xml:space="preserve"> (2020)</w:t>
            </w:r>
          </w:p>
          <w:p w14:paraId="2E57CCBD" w14:textId="77777777" w:rsidR="00E85AA7" w:rsidRDefault="00E85AA7" w:rsidP="00F63164">
            <w:pPr>
              <w:widowControl/>
              <w:jc w:val="left"/>
              <w:rPr>
                <w:rFonts w:ascii="Times New Roman" w:eastAsia="微软雅黑" w:hAnsi="Times New Roman"/>
                <w:sz w:val="20"/>
                <w:szCs w:val="20"/>
              </w:rPr>
            </w:pPr>
          </w:p>
        </w:tc>
        <w:tc>
          <w:tcPr>
            <w:tcW w:w="2551" w:type="dxa"/>
            <w:tcBorders>
              <w:top w:val="nil"/>
            </w:tcBorders>
            <w:textDirection w:val="tbRlV"/>
          </w:tcPr>
          <w:p w14:paraId="79562A00"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Haouili et al.</w:t>
            </w:r>
            <w:r>
              <w:rPr>
                <w:rFonts w:ascii="Times New Roman" w:eastAsia="微软雅黑" w:hAnsi="Times New Roman"/>
                <w:sz w:val="20"/>
                <w:szCs w:val="20"/>
              </w:rPr>
              <w:fldChar w:fldCharType="begin"/>
            </w:r>
            <w:r>
              <w:rPr>
                <w:rFonts w:ascii="Times New Roman" w:eastAsia="微软雅黑" w:hAnsi="Times New Roman"/>
                <w:sz w:val="20"/>
                <w:szCs w:val="20"/>
              </w:rPr>
              <w:instrText xml:space="preserve"> ADDIN EN.CITE &lt;EndNote&gt;&lt;Cite&gt;&lt;Author&gt;Haouili&lt;/Author&gt;&lt;Year&gt;2020&lt;/Year&gt;&lt;RecNum&gt;218&lt;/RecNum&gt;&lt;DisplayText&gt;&lt;style face="superscript"&gt;[9]&lt;/style&gt;&lt;/DisplayText&gt;&lt;record&gt;&lt;rec-number&gt;218&lt;/rec-number&gt;&lt;foreign-keys&gt;&lt;key app="EN" db-id="09t5tvz5l9xermetrx05d05iexwr0fadrsea" timestamp="1669472371"&gt;218&lt;/key&gt;&lt;/foreign-keys&gt;&lt;ref-type name="Journal Article"&gt;17&lt;/ref-type&gt;&lt;contributors&gt;&lt;authors&gt;&lt;author&gt;Haouili, Nada&lt;/author&gt;&lt;author&gt;Kravitz, Neal D.&lt;/author&gt;&lt;author&gt;Vaid, Nikhilesh R.&lt;/author&gt;&lt;author&gt;Ferguson, Donald J.&lt;/author&gt;&lt;author&gt;Makki, Laith&lt;/author&gt;&lt;/authors&gt;&lt;/contributors&gt;&lt;auth-address&gt;Department of Orthodontics, European University College, Dubai Healthcare City, Dubai, United Arab Emirates.&amp;#xD;Private practice, South Riding, Va. Electronic address: nealkravitz@gmail.com.&lt;/auth-address&gt;&lt;titles&gt;&lt;title&gt;Has Invisalign improved? A prospective follow-up study on the efficacy of tooth movement with Invisalign&lt;/title&gt;&lt;secondary-title&gt;American Journal of Orthodontics and Dentofacial Orthopedics : Official Publication of the American Association of Orthodontists, Its Constituent Societies, and the American Board of Orthodontics&lt;/secondary-title&gt;&lt;alt-title&gt;Am J Orthod Dentofacial Orthop&lt;/alt-title&gt;&lt;/titles&gt;&lt;periodical&gt;&lt;full-title&gt;American journal of orthodontics and dentofacial orthopedics : official publication of the American Association of Orthodontists, its constituent societies, and the American Board of Orthodontics&lt;/full-title&gt;&lt;/periodical&gt;&lt;alt-periodical&gt;&lt;full-title&gt;Am J Orthod Dentofacial Orthop&lt;/full-title&gt;&lt;/alt-periodical&gt;&lt;pages&gt;420-425&lt;/pages&gt;&lt;volume&gt;158&lt;/volume&gt;&lt;number&gt;3&lt;/number&gt;&lt;dates&gt;&lt;year&gt;2020&lt;/year&gt;&lt;/dates&gt;&lt;isbn&gt;1097-6752&lt;/isbn&gt;&lt;accession-num&gt;32620479&lt;/accession-num&gt;&lt;label&gt;2.711&lt;/label&gt;&lt;urls&gt;&lt;related-urls&gt;&lt;url&gt;https://pubmed.ncbi.nlm.nih.gov/32620479&lt;/url&gt;&lt;/related-urls&gt;&lt;/urls&gt;&lt;electronic-resource-num&gt;10.1016/j.ajodo.2019.12.015&lt;/electronic-resource-num&gt;&lt;remote-database-name&gt;PubMed&lt;/remote-database-name&gt;&lt;language&gt;eng&lt;/language&gt;&lt;/record&gt;&lt;/Cite&gt;&lt;/EndNote&gt;</w:instrText>
            </w:r>
            <w:r>
              <w:rPr>
                <w:rFonts w:ascii="Times New Roman" w:eastAsia="微软雅黑" w:hAnsi="Times New Roman"/>
                <w:sz w:val="20"/>
                <w:szCs w:val="20"/>
              </w:rPr>
              <w:fldChar w:fldCharType="separate"/>
            </w:r>
            <w:r>
              <w:rPr>
                <w:rFonts w:ascii="Times New Roman" w:eastAsia="微软雅黑" w:hAnsi="Times New Roman"/>
                <w:sz w:val="20"/>
                <w:szCs w:val="20"/>
                <w:vertAlign w:val="superscript"/>
                <w:lang w:val="en-US" w:eastAsia="zh-CN"/>
              </w:rPr>
              <w:t>[9]</w:t>
            </w:r>
            <w:r>
              <w:rPr>
                <w:rFonts w:ascii="Times New Roman" w:eastAsia="微软雅黑" w:hAnsi="Times New Roman"/>
                <w:sz w:val="20"/>
                <w:szCs w:val="20"/>
              </w:rPr>
              <w:fldChar w:fldCharType="end"/>
            </w:r>
            <w:r>
              <w:rPr>
                <w:rFonts w:ascii="Times New Roman" w:eastAsia="微软雅黑" w:hAnsi="Times New Roman"/>
                <w:sz w:val="20"/>
                <w:szCs w:val="20"/>
              </w:rPr>
              <w:t xml:space="preserve"> (2020)</w:t>
            </w:r>
          </w:p>
          <w:p w14:paraId="79963CCE" w14:textId="77777777" w:rsidR="00E85AA7" w:rsidRDefault="00E85AA7" w:rsidP="00F63164">
            <w:pPr>
              <w:widowControl/>
              <w:jc w:val="left"/>
              <w:rPr>
                <w:rFonts w:ascii="Times New Roman" w:eastAsia="微软雅黑" w:hAnsi="Times New Roman"/>
                <w:sz w:val="20"/>
                <w:szCs w:val="20"/>
              </w:rPr>
            </w:pPr>
          </w:p>
        </w:tc>
        <w:tc>
          <w:tcPr>
            <w:tcW w:w="425" w:type="dxa"/>
            <w:tcBorders>
              <w:top w:val="nil"/>
            </w:tcBorders>
            <w:textDirection w:val="tbRlV"/>
          </w:tcPr>
          <w:p w14:paraId="13A79FF4"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 xml:space="preserve">Author </w:t>
            </w:r>
          </w:p>
          <w:p w14:paraId="20B00386" w14:textId="77777777" w:rsidR="00E85AA7" w:rsidRDefault="00E85AA7" w:rsidP="00F63164">
            <w:pPr>
              <w:widowControl/>
              <w:ind w:left="113" w:right="113"/>
              <w:jc w:val="left"/>
              <w:rPr>
                <w:rFonts w:ascii="Times New Roman" w:eastAsia="微软雅黑" w:hAnsi="Times New Roman"/>
                <w:color w:val="000000"/>
                <w:sz w:val="20"/>
                <w:szCs w:val="20"/>
              </w:rPr>
            </w:pPr>
          </w:p>
        </w:tc>
      </w:tr>
      <w:tr w:rsidR="00E85AA7" w14:paraId="4651F575" w14:textId="77777777" w:rsidTr="00F63164">
        <w:trPr>
          <w:trHeight w:val="1538"/>
        </w:trPr>
        <w:tc>
          <w:tcPr>
            <w:tcW w:w="392" w:type="dxa"/>
            <w:vMerge/>
            <w:shd w:val="clear" w:color="auto" w:fill="FBE4D5"/>
            <w:textDirection w:val="tbRlV"/>
          </w:tcPr>
          <w:p w14:paraId="2D796EAE" w14:textId="77777777" w:rsidR="00E85AA7" w:rsidRDefault="00E85AA7" w:rsidP="00F63164">
            <w:pPr>
              <w:widowControl/>
              <w:jc w:val="left"/>
              <w:rPr>
                <w:rFonts w:ascii="Times New Roman" w:eastAsia="微软雅黑" w:hAnsi="Times New Roman"/>
                <w:b/>
                <w:bCs/>
                <w:color w:val="000000"/>
                <w:sz w:val="20"/>
                <w:szCs w:val="20"/>
              </w:rPr>
            </w:pPr>
          </w:p>
        </w:tc>
        <w:tc>
          <w:tcPr>
            <w:tcW w:w="3961" w:type="dxa"/>
            <w:shd w:val="clear" w:color="auto" w:fill="FBE4D5"/>
            <w:textDirection w:val="tbRlV"/>
          </w:tcPr>
          <w:p w14:paraId="2697C575" w14:textId="77777777" w:rsidR="00E85AA7" w:rsidRDefault="00E85AA7" w:rsidP="00F63164">
            <w:pPr>
              <w:widowControl/>
              <w:jc w:val="left"/>
              <w:rPr>
                <w:rFonts w:ascii="Times New Roman" w:hAnsi="Times New Roman"/>
                <w:color w:val="000000"/>
                <w:kern w:val="0"/>
                <w:sz w:val="20"/>
                <w:szCs w:val="20"/>
              </w:rPr>
            </w:pPr>
            <w:r>
              <w:rPr>
                <w:rFonts w:ascii="Times New Roman" w:hAnsi="Times New Roman"/>
                <w:color w:val="000000"/>
                <w:sz w:val="20"/>
                <w:szCs w:val="20"/>
              </w:rPr>
              <w:t>Efficiency of upper arch expansion with the Invisalign system</w:t>
            </w:r>
          </w:p>
          <w:p w14:paraId="277ECE7B" w14:textId="77777777" w:rsidR="00E85AA7" w:rsidRDefault="00E85AA7" w:rsidP="00F63164">
            <w:pPr>
              <w:widowControl/>
              <w:jc w:val="left"/>
              <w:rPr>
                <w:rFonts w:ascii="Times New Roman" w:eastAsia="微软雅黑" w:hAnsi="Times New Roman"/>
                <w:sz w:val="20"/>
                <w:szCs w:val="20"/>
              </w:rPr>
            </w:pPr>
          </w:p>
        </w:tc>
        <w:tc>
          <w:tcPr>
            <w:tcW w:w="2661" w:type="dxa"/>
            <w:shd w:val="clear" w:color="auto" w:fill="FBE4D5"/>
            <w:textDirection w:val="tbRlV"/>
          </w:tcPr>
          <w:p w14:paraId="46C40845"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Arch expansion with the Invisalign system: Efficacy and predictability</w:t>
            </w:r>
          </w:p>
          <w:p w14:paraId="697E12C2" w14:textId="77777777" w:rsidR="00E85AA7" w:rsidRDefault="00E85AA7" w:rsidP="00F63164">
            <w:pPr>
              <w:widowControl/>
              <w:jc w:val="left"/>
              <w:rPr>
                <w:rFonts w:ascii="Times New Roman" w:eastAsia="微软雅黑" w:hAnsi="Times New Roman"/>
                <w:sz w:val="20"/>
                <w:szCs w:val="20"/>
              </w:rPr>
            </w:pPr>
          </w:p>
        </w:tc>
        <w:tc>
          <w:tcPr>
            <w:tcW w:w="2551" w:type="dxa"/>
            <w:shd w:val="clear" w:color="auto" w:fill="FBE4D5"/>
            <w:textDirection w:val="tbRlV"/>
          </w:tcPr>
          <w:p w14:paraId="24A2988F"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Has Invisalign improved? A prospective follow-up study on the efficacy of tooth movement with Invisalign</w:t>
            </w:r>
          </w:p>
          <w:p w14:paraId="0CC37800" w14:textId="77777777" w:rsidR="00E85AA7" w:rsidRDefault="00E85AA7" w:rsidP="00F63164">
            <w:pPr>
              <w:widowControl/>
              <w:jc w:val="left"/>
              <w:rPr>
                <w:rFonts w:ascii="Times New Roman" w:eastAsia="微软雅黑" w:hAnsi="Times New Roman"/>
                <w:sz w:val="20"/>
                <w:szCs w:val="20"/>
              </w:rPr>
            </w:pPr>
          </w:p>
        </w:tc>
        <w:tc>
          <w:tcPr>
            <w:tcW w:w="425" w:type="dxa"/>
            <w:shd w:val="clear" w:color="auto" w:fill="FBE4D5"/>
            <w:textDirection w:val="tbRlV"/>
          </w:tcPr>
          <w:p w14:paraId="41DF4781"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Title</w:t>
            </w:r>
          </w:p>
          <w:p w14:paraId="2DC6FFD9" w14:textId="77777777" w:rsidR="00E85AA7" w:rsidRDefault="00E85AA7" w:rsidP="00F63164">
            <w:pPr>
              <w:widowControl/>
              <w:ind w:left="113" w:right="113"/>
              <w:jc w:val="left"/>
              <w:rPr>
                <w:rFonts w:ascii="Times New Roman" w:eastAsia="微软雅黑" w:hAnsi="Times New Roman"/>
                <w:color w:val="000000"/>
                <w:sz w:val="20"/>
                <w:szCs w:val="20"/>
              </w:rPr>
            </w:pPr>
          </w:p>
        </w:tc>
      </w:tr>
      <w:tr w:rsidR="00E85AA7" w14:paraId="035F528A" w14:textId="77777777" w:rsidTr="00F63164">
        <w:trPr>
          <w:trHeight w:val="1134"/>
        </w:trPr>
        <w:tc>
          <w:tcPr>
            <w:tcW w:w="392" w:type="dxa"/>
            <w:vMerge/>
            <w:textDirection w:val="tbRlV"/>
          </w:tcPr>
          <w:p w14:paraId="51426A3C" w14:textId="77777777" w:rsidR="00E85AA7" w:rsidRDefault="00E85AA7" w:rsidP="00F63164">
            <w:pPr>
              <w:widowControl/>
              <w:jc w:val="left"/>
              <w:rPr>
                <w:rFonts w:ascii="Times New Roman" w:eastAsia="微软雅黑" w:hAnsi="Times New Roman"/>
                <w:b/>
                <w:bCs/>
                <w:color w:val="000000"/>
                <w:sz w:val="20"/>
                <w:szCs w:val="20"/>
              </w:rPr>
            </w:pPr>
          </w:p>
        </w:tc>
        <w:tc>
          <w:tcPr>
            <w:tcW w:w="3961" w:type="dxa"/>
            <w:textDirection w:val="tbRlV"/>
          </w:tcPr>
          <w:p w14:paraId="7BF26CBD"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 xml:space="preserve">Retrospective </w:t>
            </w:r>
          </w:p>
          <w:p w14:paraId="1E4292E9" w14:textId="77777777" w:rsidR="00E85AA7" w:rsidRDefault="00E85AA7" w:rsidP="00F63164">
            <w:pPr>
              <w:widowControl/>
              <w:jc w:val="left"/>
              <w:rPr>
                <w:rFonts w:ascii="Times New Roman" w:eastAsia="微软雅黑" w:hAnsi="Times New Roman"/>
                <w:sz w:val="20"/>
                <w:szCs w:val="20"/>
              </w:rPr>
            </w:pPr>
          </w:p>
        </w:tc>
        <w:tc>
          <w:tcPr>
            <w:tcW w:w="2661" w:type="dxa"/>
            <w:textDirection w:val="tbRlV"/>
          </w:tcPr>
          <w:p w14:paraId="7B0ABF0C"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 xml:space="preserve">Retrospective </w:t>
            </w:r>
          </w:p>
          <w:p w14:paraId="6650175C" w14:textId="77777777" w:rsidR="00E85AA7" w:rsidRDefault="00E85AA7" w:rsidP="00F63164">
            <w:pPr>
              <w:widowControl/>
              <w:jc w:val="left"/>
              <w:rPr>
                <w:rFonts w:ascii="Times New Roman" w:eastAsia="微软雅黑" w:hAnsi="Times New Roman"/>
                <w:sz w:val="20"/>
                <w:szCs w:val="20"/>
              </w:rPr>
            </w:pPr>
          </w:p>
        </w:tc>
        <w:tc>
          <w:tcPr>
            <w:tcW w:w="2551" w:type="dxa"/>
            <w:textDirection w:val="tbRlV"/>
          </w:tcPr>
          <w:p w14:paraId="299D02C2"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Prospe</w:t>
            </w:r>
            <w:r>
              <w:rPr>
                <w:rFonts w:ascii="Times New Roman" w:eastAsia="微软雅黑" w:hAnsi="Times New Roman" w:hint="eastAsia"/>
                <w:color w:val="000000"/>
                <w:sz w:val="20"/>
                <w:szCs w:val="20"/>
              </w:rPr>
              <w:t>ct</w:t>
            </w:r>
            <w:r>
              <w:rPr>
                <w:rFonts w:ascii="Times New Roman" w:eastAsia="微软雅黑" w:hAnsi="Times New Roman"/>
                <w:color w:val="000000"/>
                <w:sz w:val="20"/>
                <w:szCs w:val="20"/>
              </w:rPr>
              <w:t>ive</w:t>
            </w:r>
          </w:p>
          <w:p w14:paraId="077F9A42" w14:textId="77777777" w:rsidR="00E85AA7" w:rsidRDefault="00E85AA7" w:rsidP="00F63164">
            <w:pPr>
              <w:widowControl/>
              <w:jc w:val="left"/>
              <w:rPr>
                <w:rFonts w:ascii="Times New Roman" w:eastAsia="微软雅黑" w:hAnsi="Times New Roman"/>
                <w:sz w:val="20"/>
                <w:szCs w:val="20"/>
              </w:rPr>
            </w:pPr>
          </w:p>
        </w:tc>
        <w:tc>
          <w:tcPr>
            <w:tcW w:w="425" w:type="dxa"/>
            <w:textDirection w:val="tbRlV"/>
          </w:tcPr>
          <w:p w14:paraId="454D77EB"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 xml:space="preserve">Type </w:t>
            </w:r>
          </w:p>
          <w:p w14:paraId="47FE5713" w14:textId="77777777" w:rsidR="00E85AA7" w:rsidRDefault="00E85AA7" w:rsidP="00F63164">
            <w:pPr>
              <w:widowControl/>
              <w:ind w:left="113" w:right="113"/>
              <w:jc w:val="left"/>
              <w:rPr>
                <w:rFonts w:ascii="Times New Roman" w:eastAsia="微软雅黑" w:hAnsi="Times New Roman"/>
                <w:color w:val="000000"/>
                <w:sz w:val="20"/>
                <w:szCs w:val="20"/>
              </w:rPr>
            </w:pPr>
          </w:p>
        </w:tc>
      </w:tr>
      <w:tr w:rsidR="00E85AA7" w14:paraId="483B7515" w14:textId="77777777" w:rsidTr="00F63164">
        <w:trPr>
          <w:trHeight w:val="1125"/>
        </w:trPr>
        <w:tc>
          <w:tcPr>
            <w:tcW w:w="392" w:type="dxa"/>
            <w:vMerge/>
            <w:shd w:val="clear" w:color="auto" w:fill="FBE4D5"/>
            <w:textDirection w:val="tbRlV"/>
          </w:tcPr>
          <w:p w14:paraId="7AEE3B6A" w14:textId="77777777" w:rsidR="00E85AA7" w:rsidRDefault="00E85AA7" w:rsidP="00F63164">
            <w:pPr>
              <w:widowControl/>
              <w:jc w:val="left"/>
              <w:rPr>
                <w:rFonts w:ascii="Times New Roman" w:eastAsia="微软雅黑" w:hAnsi="Times New Roman"/>
                <w:b/>
                <w:bCs/>
                <w:color w:val="000000"/>
                <w:sz w:val="20"/>
                <w:szCs w:val="20"/>
              </w:rPr>
            </w:pPr>
          </w:p>
        </w:tc>
        <w:tc>
          <w:tcPr>
            <w:tcW w:w="3961" w:type="dxa"/>
            <w:shd w:val="clear" w:color="auto" w:fill="FBE4D5"/>
            <w:textDirection w:val="tbRlV"/>
          </w:tcPr>
          <w:p w14:paraId="206A560F"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20 patients (15F,5M); 28.5±6.3 years old</w:t>
            </w:r>
          </w:p>
          <w:p w14:paraId="2A743D5D" w14:textId="77777777" w:rsidR="00E85AA7" w:rsidRDefault="00E85AA7" w:rsidP="00F63164">
            <w:pPr>
              <w:widowControl/>
              <w:jc w:val="left"/>
              <w:rPr>
                <w:rFonts w:ascii="Times New Roman" w:eastAsia="微软雅黑" w:hAnsi="Times New Roman"/>
                <w:sz w:val="20"/>
                <w:szCs w:val="20"/>
              </w:rPr>
            </w:pPr>
          </w:p>
        </w:tc>
        <w:tc>
          <w:tcPr>
            <w:tcW w:w="2661" w:type="dxa"/>
            <w:shd w:val="clear" w:color="auto" w:fill="FBE4D5"/>
            <w:textDirection w:val="tbRlV"/>
          </w:tcPr>
          <w:p w14:paraId="4862F04D"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114 adult patients (18-75 years old)</w:t>
            </w:r>
          </w:p>
          <w:p w14:paraId="16A999CF" w14:textId="77777777" w:rsidR="00E85AA7" w:rsidRDefault="00E85AA7" w:rsidP="00F63164">
            <w:pPr>
              <w:widowControl/>
              <w:jc w:val="left"/>
              <w:rPr>
                <w:rFonts w:ascii="Times New Roman" w:eastAsia="微软雅黑" w:hAnsi="Times New Roman"/>
                <w:sz w:val="20"/>
                <w:szCs w:val="20"/>
              </w:rPr>
            </w:pPr>
          </w:p>
        </w:tc>
        <w:tc>
          <w:tcPr>
            <w:tcW w:w="2551" w:type="dxa"/>
            <w:shd w:val="clear" w:color="auto" w:fill="FBE4D5"/>
            <w:textDirection w:val="tbRlV"/>
          </w:tcPr>
          <w:p w14:paraId="037E59E4"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38 patients</w:t>
            </w:r>
          </w:p>
          <w:p w14:paraId="214B4271" w14:textId="77777777" w:rsidR="00E85AA7" w:rsidRDefault="00E85AA7" w:rsidP="00F63164">
            <w:pPr>
              <w:widowControl/>
              <w:jc w:val="left"/>
              <w:rPr>
                <w:rFonts w:ascii="Times New Roman" w:eastAsia="微软雅黑" w:hAnsi="Times New Roman"/>
                <w:sz w:val="20"/>
                <w:szCs w:val="20"/>
              </w:rPr>
            </w:pPr>
          </w:p>
        </w:tc>
        <w:tc>
          <w:tcPr>
            <w:tcW w:w="425" w:type="dxa"/>
            <w:shd w:val="clear" w:color="auto" w:fill="FBE4D5"/>
            <w:textDirection w:val="tbRlV"/>
          </w:tcPr>
          <w:p w14:paraId="5F40AEE2"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Population</w:t>
            </w:r>
          </w:p>
          <w:p w14:paraId="4F81F908" w14:textId="77777777" w:rsidR="00E85AA7" w:rsidRDefault="00E85AA7" w:rsidP="00F63164">
            <w:pPr>
              <w:widowControl/>
              <w:ind w:left="113" w:right="113"/>
              <w:jc w:val="left"/>
              <w:rPr>
                <w:rFonts w:ascii="Times New Roman" w:eastAsia="微软雅黑" w:hAnsi="Times New Roman"/>
                <w:color w:val="000000"/>
                <w:sz w:val="20"/>
                <w:szCs w:val="20"/>
              </w:rPr>
            </w:pPr>
          </w:p>
        </w:tc>
      </w:tr>
      <w:tr w:rsidR="00E85AA7" w14:paraId="29C8FCD8" w14:textId="77777777" w:rsidTr="00F63164">
        <w:trPr>
          <w:trHeight w:val="1263"/>
        </w:trPr>
        <w:tc>
          <w:tcPr>
            <w:tcW w:w="392" w:type="dxa"/>
            <w:vMerge/>
            <w:textDirection w:val="tbRlV"/>
          </w:tcPr>
          <w:p w14:paraId="2C0783EB" w14:textId="77777777" w:rsidR="00E85AA7" w:rsidRDefault="00E85AA7" w:rsidP="00F63164">
            <w:pPr>
              <w:widowControl/>
              <w:jc w:val="left"/>
              <w:rPr>
                <w:rFonts w:ascii="Times New Roman" w:eastAsia="微软雅黑" w:hAnsi="Times New Roman"/>
                <w:b/>
                <w:bCs/>
                <w:sz w:val="20"/>
                <w:szCs w:val="20"/>
              </w:rPr>
            </w:pPr>
          </w:p>
        </w:tc>
        <w:tc>
          <w:tcPr>
            <w:tcW w:w="3961" w:type="dxa"/>
            <w:textDirection w:val="tbRlV"/>
          </w:tcPr>
          <w:p w14:paraId="375C8751"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Arch expansion with Invisalign system; nonexraction; without IPR</w:t>
            </w:r>
          </w:p>
          <w:p w14:paraId="73C00A0F" w14:textId="77777777" w:rsidR="00E85AA7" w:rsidRDefault="00E85AA7" w:rsidP="00F63164">
            <w:pPr>
              <w:widowControl/>
              <w:jc w:val="left"/>
              <w:rPr>
                <w:rFonts w:ascii="Times New Roman" w:eastAsia="微软雅黑" w:hAnsi="Times New Roman"/>
                <w:sz w:val="20"/>
                <w:szCs w:val="20"/>
              </w:rPr>
            </w:pPr>
          </w:p>
        </w:tc>
        <w:tc>
          <w:tcPr>
            <w:tcW w:w="2661" w:type="dxa"/>
            <w:textDirection w:val="tbRlV"/>
          </w:tcPr>
          <w:p w14:paraId="294EE746"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Maxillary expansion with SmartTrack aligners; intermaxillary elastics without distalization or mesialization of the dental arches</w:t>
            </w:r>
          </w:p>
          <w:p w14:paraId="530B2BCA" w14:textId="77777777" w:rsidR="00E85AA7" w:rsidRDefault="00E85AA7" w:rsidP="00F63164">
            <w:pPr>
              <w:widowControl/>
              <w:jc w:val="left"/>
              <w:rPr>
                <w:rFonts w:ascii="Times New Roman" w:eastAsia="微软雅黑" w:hAnsi="Times New Roman"/>
                <w:sz w:val="20"/>
                <w:szCs w:val="20"/>
              </w:rPr>
            </w:pPr>
          </w:p>
        </w:tc>
        <w:tc>
          <w:tcPr>
            <w:tcW w:w="2551" w:type="dxa"/>
            <w:textDirection w:val="tbRlV"/>
          </w:tcPr>
          <w:p w14:paraId="6E9BC989" w14:textId="77777777" w:rsidR="00E85AA7" w:rsidRDefault="00E85AA7" w:rsidP="00F63164">
            <w:pPr>
              <w:widowControl/>
              <w:jc w:val="left"/>
              <w:rPr>
                <w:rFonts w:ascii="Times New Roman" w:eastAsia="微软雅黑" w:hAnsi="Times New Roman"/>
                <w:color w:val="212121"/>
                <w:sz w:val="20"/>
                <w:szCs w:val="20"/>
              </w:rPr>
            </w:pPr>
            <w:r>
              <w:rPr>
                <w:rFonts w:ascii="Times New Roman" w:eastAsia="微软雅黑" w:hAnsi="Times New Roman"/>
                <w:color w:val="212121"/>
                <w:sz w:val="20"/>
                <w:szCs w:val="20"/>
              </w:rPr>
              <w:t>Treated with Invisalign</w:t>
            </w:r>
          </w:p>
          <w:p w14:paraId="698F6ED9" w14:textId="77777777" w:rsidR="00E85AA7" w:rsidRDefault="00E85AA7" w:rsidP="00F63164">
            <w:pPr>
              <w:widowControl/>
              <w:jc w:val="left"/>
              <w:rPr>
                <w:rFonts w:ascii="Times New Roman" w:eastAsia="微软雅黑" w:hAnsi="Times New Roman"/>
                <w:sz w:val="20"/>
                <w:szCs w:val="20"/>
              </w:rPr>
            </w:pPr>
          </w:p>
        </w:tc>
        <w:tc>
          <w:tcPr>
            <w:tcW w:w="425" w:type="dxa"/>
            <w:textDirection w:val="tbRlV"/>
          </w:tcPr>
          <w:p w14:paraId="3E9C7231"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 xml:space="preserve">Intervention </w:t>
            </w:r>
          </w:p>
          <w:p w14:paraId="12D5A934" w14:textId="77777777" w:rsidR="00E85AA7" w:rsidRDefault="00E85AA7" w:rsidP="00F63164">
            <w:pPr>
              <w:widowControl/>
              <w:ind w:left="113" w:right="113"/>
              <w:jc w:val="left"/>
              <w:rPr>
                <w:rFonts w:ascii="Times New Roman" w:eastAsia="微软雅黑" w:hAnsi="Times New Roman"/>
                <w:color w:val="000000"/>
                <w:sz w:val="20"/>
                <w:szCs w:val="20"/>
              </w:rPr>
            </w:pPr>
          </w:p>
        </w:tc>
      </w:tr>
      <w:tr w:rsidR="00E85AA7" w14:paraId="35AABB37" w14:textId="77777777" w:rsidTr="00F63164">
        <w:trPr>
          <w:trHeight w:val="1551"/>
        </w:trPr>
        <w:tc>
          <w:tcPr>
            <w:tcW w:w="392" w:type="dxa"/>
            <w:vMerge/>
            <w:shd w:val="clear" w:color="auto" w:fill="FBE4D5"/>
            <w:textDirection w:val="tbRlV"/>
          </w:tcPr>
          <w:p w14:paraId="1E98B2DA" w14:textId="77777777" w:rsidR="00E85AA7" w:rsidRDefault="00E85AA7" w:rsidP="00F63164">
            <w:pPr>
              <w:widowControl/>
              <w:jc w:val="left"/>
              <w:rPr>
                <w:rFonts w:ascii="Times New Roman" w:eastAsia="微软雅黑" w:hAnsi="Times New Roman"/>
                <w:b/>
                <w:bCs/>
                <w:sz w:val="20"/>
                <w:szCs w:val="20"/>
              </w:rPr>
            </w:pPr>
          </w:p>
        </w:tc>
        <w:tc>
          <w:tcPr>
            <w:tcW w:w="3961" w:type="dxa"/>
            <w:shd w:val="clear" w:color="auto" w:fill="FBE4D5"/>
            <w:textDirection w:val="tbRlV"/>
          </w:tcPr>
          <w:p w14:paraId="63121A81"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 xml:space="preserve">Pre- and posttreatment models were compared </w:t>
            </w:r>
          </w:p>
        </w:tc>
        <w:tc>
          <w:tcPr>
            <w:tcW w:w="2661" w:type="dxa"/>
            <w:shd w:val="clear" w:color="auto" w:fill="FBE4D5"/>
            <w:textDirection w:val="tbRlV"/>
          </w:tcPr>
          <w:p w14:paraId="488FA160"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 xml:space="preserve">The initial models, the predicted models and the actual models were compared </w:t>
            </w:r>
          </w:p>
          <w:p w14:paraId="492EC9E6" w14:textId="77777777" w:rsidR="00E85AA7" w:rsidRDefault="00E85AA7" w:rsidP="00F63164">
            <w:pPr>
              <w:widowControl/>
              <w:jc w:val="left"/>
              <w:rPr>
                <w:rFonts w:ascii="Times New Roman" w:eastAsia="微软雅黑" w:hAnsi="Times New Roman"/>
                <w:sz w:val="20"/>
                <w:szCs w:val="20"/>
              </w:rPr>
            </w:pPr>
          </w:p>
        </w:tc>
        <w:tc>
          <w:tcPr>
            <w:tcW w:w="2551" w:type="dxa"/>
            <w:shd w:val="clear" w:color="auto" w:fill="FBE4D5"/>
            <w:textDirection w:val="tbRlV"/>
          </w:tcPr>
          <w:p w14:paraId="23045738"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Comparison between posttreatment and virtual posttreatment models</w:t>
            </w:r>
          </w:p>
          <w:p w14:paraId="7892D0F0" w14:textId="77777777" w:rsidR="00E85AA7" w:rsidRDefault="00E85AA7" w:rsidP="00F63164">
            <w:pPr>
              <w:widowControl/>
              <w:jc w:val="left"/>
              <w:rPr>
                <w:rFonts w:ascii="Times New Roman" w:eastAsia="微软雅黑" w:hAnsi="Times New Roman"/>
                <w:sz w:val="20"/>
                <w:szCs w:val="20"/>
              </w:rPr>
            </w:pPr>
          </w:p>
        </w:tc>
        <w:tc>
          <w:tcPr>
            <w:tcW w:w="425" w:type="dxa"/>
            <w:shd w:val="clear" w:color="auto" w:fill="FBE4D5"/>
            <w:textDirection w:val="tbRlV"/>
          </w:tcPr>
          <w:p w14:paraId="33667FF9"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Comparison</w:t>
            </w:r>
          </w:p>
          <w:p w14:paraId="7E4845CD" w14:textId="77777777" w:rsidR="00E85AA7" w:rsidRDefault="00E85AA7" w:rsidP="00F63164">
            <w:pPr>
              <w:widowControl/>
              <w:ind w:left="113" w:right="113"/>
              <w:jc w:val="left"/>
              <w:rPr>
                <w:rFonts w:ascii="Times New Roman" w:eastAsia="微软雅黑" w:hAnsi="Times New Roman"/>
                <w:color w:val="000000"/>
                <w:sz w:val="20"/>
                <w:szCs w:val="20"/>
              </w:rPr>
            </w:pPr>
          </w:p>
        </w:tc>
      </w:tr>
      <w:tr w:rsidR="00E85AA7" w14:paraId="5CEAFA93" w14:textId="77777777" w:rsidTr="00F63164">
        <w:trPr>
          <w:trHeight w:val="2395"/>
        </w:trPr>
        <w:tc>
          <w:tcPr>
            <w:tcW w:w="392" w:type="dxa"/>
            <w:vMerge/>
            <w:textDirection w:val="tbRlV"/>
          </w:tcPr>
          <w:p w14:paraId="71DCFCA0" w14:textId="77777777" w:rsidR="00E85AA7" w:rsidRDefault="00E85AA7" w:rsidP="00F63164">
            <w:pPr>
              <w:widowControl/>
              <w:jc w:val="left"/>
              <w:rPr>
                <w:rFonts w:ascii="Times New Roman" w:eastAsia="微软雅黑" w:hAnsi="Times New Roman"/>
                <w:b/>
                <w:bCs/>
                <w:sz w:val="20"/>
                <w:szCs w:val="20"/>
              </w:rPr>
            </w:pPr>
          </w:p>
        </w:tc>
        <w:tc>
          <w:tcPr>
            <w:tcW w:w="3961" w:type="dxa"/>
            <w:textDirection w:val="tbRlV"/>
          </w:tcPr>
          <w:p w14:paraId="45D4898D"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The efficiencies of crown expansion movement from canine to first molar were 79.75%, 76.10%, 73.27%, and 68.31%, respectively. No significant change was observed in maxillary basal bone width.</w:t>
            </w:r>
          </w:p>
        </w:tc>
        <w:tc>
          <w:tcPr>
            <w:tcW w:w="2661" w:type="dxa"/>
            <w:textDirection w:val="tbRlV"/>
          </w:tcPr>
          <w:p w14:paraId="05ADB0C8"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Widths underwent significant advances; the widths obtained the same efficacy between no crossbite group and crossbite group; the plan's estimations were significantly higher than the actual outcomes</w:t>
            </w:r>
          </w:p>
          <w:p w14:paraId="736391DD" w14:textId="77777777" w:rsidR="00E85AA7" w:rsidRDefault="00E85AA7" w:rsidP="00F63164">
            <w:pPr>
              <w:widowControl/>
              <w:jc w:val="left"/>
              <w:rPr>
                <w:rFonts w:ascii="Times New Roman" w:eastAsia="微软雅黑" w:hAnsi="Times New Roman"/>
                <w:sz w:val="20"/>
                <w:szCs w:val="20"/>
              </w:rPr>
            </w:pPr>
          </w:p>
        </w:tc>
        <w:tc>
          <w:tcPr>
            <w:tcW w:w="2551" w:type="dxa"/>
            <w:textDirection w:val="tbRlV"/>
          </w:tcPr>
          <w:p w14:paraId="4DDFC7BE" w14:textId="77777777" w:rsidR="00E85AA7" w:rsidRDefault="00E85AA7" w:rsidP="00F63164">
            <w:pPr>
              <w:widowControl/>
              <w:jc w:val="left"/>
              <w:rPr>
                <w:rFonts w:ascii="Times New Roman" w:eastAsia="微软雅黑" w:hAnsi="Times New Roman"/>
                <w:color w:val="212121"/>
                <w:sz w:val="20"/>
                <w:szCs w:val="20"/>
              </w:rPr>
            </w:pPr>
            <w:r>
              <w:rPr>
                <w:rFonts w:ascii="Times New Roman" w:eastAsia="微软雅黑" w:hAnsi="Times New Roman"/>
                <w:color w:val="212121"/>
                <w:sz w:val="20"/>
                <w:szCs w:val="20"/>
              </w:rPr>
              <w:t>The mean accuracy of Invisalign for all tooth movements was 50%. The highest overall accuracy was achieved with a buccal-lingual crown tip (56%)</w:t>
            </w:r>
          </w:p>
          <w:p w14:paraId="1CFE92A0" w14:textId="77777777" w:rsidR="00E85AA7" w:rsidRDefault="00E85AA7" w:rsidP="00F63164">
            <w:pPr>
              <w:widowControl/>
              <w:jc w:val="left"/>
              <w:rPr>
                <w:rFonts w:ascii="Times New Roman" w:eastAsia="微软雅黑" w:hAnsi="Times New Roman"/>
                <w:sz w:val="20"/>
                <w:szCs w:val="20"/>
              </w:rPr>
            </w:pPr>
          </w:p>
        </w:tc>
        <w:tc>
          <w:tcPr>
            <w:tcW w:w="425" w:type="dxa"/>
            <w:textDirection w:val="tbRlV"/>
          </w:tcPr>
          <w:p w14:paraId="6D4BCC5A"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Results</w:t>
            </w:r>
          </w:p>
          <w:p w14:paraId="0FEB9CCC" w14:textId="77777777" w:rsidR="00E85AA7" w:rsidRDefault="00E85AA7" w:rsidP="00F63164">
            <w:pPr>
              <w:widowControl/>
              <w:ind w:left="113" w:right="113"/>
              <w:jc w:val="left"/>
              <w:rPr>
                <w:rFonts w:ascii="Times New Roman" w:eastAsia="微软雅黑" w:hAnsi="Times New Roman"/>
                <w:color w:val="000000"/>
                <w:sz w:val="20"/>
                <w:szCs w:val="20"/>
              </w:rPr>
            </w:pPr>
          </w:p>
        </w:tc>
      </w:tr>
      <w:tr w:rsidR="00E85AA7" w14:paraId="07765BF9" w14:textId="77777777" w:rsidTr="00F63164">
        <w:trPr>
          <w:trHeight w:val="3676"/>
        </w:trPr>
        <w:tc>
          <w:tcPr>
            <w:tcW w:w="392" w:type="dxa"/>
            <w:vMerge/>
            <w:tcBorders>
              <w:bottom w:val="nil"/>
            </w:tcBorders>
            <w:shd w:val="clear" w:color="auto" w:fill="FBE4D5"/>
            <w:textDirection w:val="tbRlV"/>
          </w:tcPr>
          <w:p w14:paraId="3D9BC9A5" w14:textId="77777777" w:rsidR="00E85AA7" w:rsidRDefault="00E85AA7" w:rsidP="00F63164">
            <w:pPr>
              <w:widowControl/>
              <w:jc w:val="left"/>
              <w:rPr>
                <w:rFonts w:ascii="Times New Roman" w:eastAsia="微软雅黑" w:hAnsi="Times New Roman"/>
                <w:b/>
                <w:bCs/>
                <w:sz w:val="20"/>
                <w:szCs w:val="20"/>
              </w:rPr>
            </w:pPr>
          </w:p>
        </w:tc>
        <w:tc>
          <w:tcPr>
            <w:tcW w:w="3961" w:type="dxa"/>
            <w:tcBorders>
              <w:bottom w:val="nil"/>
            </w:tcBorders>
            <w:shd w:val="clear" w:color="auto" w:fill="FBE4D5"/>
            <w:textDirection w:val="tbRlV"/>
          </w:tcPr>
          <w:p w14:paraId="1C939C88"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The Invisalign system can increase arch width by tipping movement of posterior teeth. The efficiency of bodily buccal expansion for maxillary first molars averaged 36.35%. It's necessary to preset sufficient buccal root torque of posterior teeth according to the preset amount of expansion and initial torque</w:t>
            </w:r>
          </w:p>
          <w:p w14:paraId="65E8BBDC" w14:textId="77777777" w:rsidR="00E85AA7" w:rsidRDefault="00E85AA7" w:rsidP="00F63164">
            <w:pPr>
              <w:widowControl/>
              <w:jc w:val="left"/>
              <w:rPr>
                <w:rFonts w:ascii="Times New Roman" w:eastAsia="微软雅黑" w:hAnsi="Times New Roman"/>
                <w:sz w:val="20"/>
                <w:szCs w:val="20"/>
              </w:rPr>
            </w:pPr>
          </w:p>
        </w:tc>
        <w:tc>
          <w:tcPr>
            <w:tcW w:w="2661" w:type="dxa"/>
            <w:tcBorders>
              <w:bottom w:val="nil"/>
            </w:tcBorders>
            <w:shd w:val="clear" w:color="auto" w:fill="FBE4D5"/>
            <w:textDirection w:val="tbRlV"/>
          </w:tcPr>
          <w:p w14:paraId="2C7BD871"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Aligners are effective for producing arch expansion, being more effective in premolar area and less effective in canine and second molar area. Overcorrection should be considered at the virtual planning stage</w:t>
            </w:r>
          </w:p>
          <w:p w14:paraId="262B21A6" w14:textId="77777777" w:rsidR="00E85AA7" w:rsidRDefault="00E85AA7" w:rsidP="00F63164">
            <w:pPr>
              <w:widowControl/>
              <w:jc w:val="left"/>
              <w:rPr>
                <w:rFonts w:ascii="Times New Roman" w:eastAsia="微软雅黑" w:hAnsi="Times New Roman"/>
                <w:sz w:val="20"/>
                <w:szCs w:val="20"/>
              </w:rPr>
            </w:pPr>
          </w:p>
        </w:tc>
        <w:tc>
          <w:tcPr>
            <w:tcW w:w="2551" w:type="dxa"/>
            <w:tcBorders>
              <w:bottom w:val="nil"/>
            </w:tcBorders>
            <w:shd w:val="clear" w:color="auto" w:fill="FBE4D5"/>
            <w:textDirection w:val="tbRlV"/>
          </w:tcPr>
          <w:p w14:paraId="5FB6926D"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There was a marked improvement in the overall accuracy.</w:t>
            </w:r>
          </w:p>
          <w:p w14:paraId="7A1C577B" w14:textId="77777777" w:rsidR="00E85AA7" w:rsidRDefault="00E85AA7" w:rsidP="00F63164">
            <w:pPr>
              <w:widowControl/>
              <w:jc w:val="left"/>
              <w:rPr>
                <w:rFonts w:ascii="Times New Roman" w:eastAsia="微软雅黑" w:hAnsi="Times New Roman"/>
                <w:sz w:val="20"/>
                <w:szCs w:val="20"/>
              </w:rPr>
            </w:pPr>
          </w:p>
        </w:tc>
        <w:tc>
          <w:tcPr>
            <w:tcW w:w="425" w:type="dxa"/>
            <w:tcBorders>
              <w:bottom w:val="nil"/>
            </w:tcBorders>
            <w:shd w:val="clear" w:color="auto" w:fill="FBE4D5"/>
            <w:textDirection w:val="tbRlV"/>
          </w:tcPr>
          <w:p w14:paraId="2C54FB80"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Conclusion</w:t>
            </w:r>
          </w:p>
          <w:p w14:paraId="5341340B" w14:textId="77777777" w:rsidR="00E85AA7" w:rsidRDefault="00E85AA7" w:rsidP="00F63164">
            <w:pPr>
              <w:widowControl/>
              <w:ind w:left="113" w:right="113"/>
              <w:jc w:val="left"/>
              <w:rPr>
                <w:rFonts w:ascii="Times New Roman" w:eastAsia="微软雅黑" w:hAnsi="Times New Roman"/>
                <w:color w:val="000000"/>
                <w:sz w:val="20"/>
                <w:szCs w:val="20"/>
              </w:rPr>
            </w:pPr>
          </w:p>
        </w:tc>
      </w:tr>
      <w:tr w:rsidR="00E85AA7" w14:paraId="0E35DC14" w14:textId="77777777" w:rsidTr="00F63164">
        <w:trPr>
          <w:trHeight w:val="1124"/>
        </w:trPr>
        <w:tc>
          <w:tcPr>
            <w:tcW w:w="392" w:type="dxa"/>
            <w:vMerge w:val="restart"/>
            <w:tcBorders>
              <w:top w:val="nil"/>
            </w:tcBorders>
            <w:textDirection w:val="tbRlV"/>
          </w:tcPr>
          <w:p w14:paraId="62B307FE" w14:textId="77777777" w:rsidR="00E85AA7" w:rsidRDefault="00E85AA7" w:rsidP="00F63164">
            <w:pPr>
              <w:widowControl/>
              <w:jc w:val="left"/>
              <w:rPr>
                <w:rFonts w:ascii="Times New Roman" w:eastAsia="微软雅黑" w:hAnsi="Times New Roman"/>
                <w:b/>
                <w:bCs/>
                <w:color w:val="000000"/>
                <w:sz w:val="20"/>
                <w:szCs w:val="20"/>
              </w:rPr>
            </w:pPr>
            <w:r>
              <w:rPr>
                <w:rFonts w:ascii="Times New Roman" w:eastAsia="微软雅黑" w:hAnsi="Times New Roman"/>
                <w:b/>
                <w:bCs/>
                <w:color w:val="000000"/>
                <w:sz w:val="20"/>
                <w:szCs w:val="20"/>
              </w:rPr>
              <w:lastRenderedPageBreak/>
              <w:t xml:space="preserve">F, female; M, male; </w:t>
            </w:r>
            <w:r>
              <w:rPr>
                <w:rFonts w:ascii="Times New Roman" w:eastAsia="微软雅黑" w:hAnsi="Times New Roman" w:hint="eastAsia"/>
                <w:b/>
                <w:bCs/>
                <w:color w:val="000000"/>
                <w:sz w:val="20"/>
                <w:szCs w:val="20"/>
              </w:rPr>
              <w:t>I</w:t>
            </w:r>
            <w:r>
              <w:rPr>
                <w:rFonts w:ascii="Times New Roman" w:eastAsia="微软雅黑" w:hAnsi="Times New Roman"/>
                <w:b/>
                <w:bCs/>
                <w:color w:val="000000"/>
                <w:sz w:val="20"/>
                <w:szCs w:val="20"/>
              </w:rPr>
              <w:t>PR, interproximal reduction</w:t>
            </w:r>
          </w:p>
        </w:tc>
        <w:tc>
          <w:tcPr>
            <w:tcW w:w="3961" w:type="dxa"/>
            <w:tcBorders>
              <w:top w:val="nil"/>
            </w:tcBorders>
            <w:textDirection w:val="tbRlV"/>
          </w:tcPr>
          <w:p w14:paraId="09467F62" w14:textId="77777777" w:rsidR="00E85AA7" w:rsidRDefault="00E85AA7" w:rsidP="00F63164">
            <w:pPr>
              <w:widowControl/>
              <w:jc w:val="left"/>
              <w:rPr>
                <w:rFonts w:ascii="Times New Roman" w:hAnsi="Times New Roman"/>
                <w:color w:val="000000"/>
                <w:kern w:val="0"/>
                <w:sz w:val="20"/>
                <w:szCs w:val="20"/>
              </w:rPr>
            </w:pPr>
            <w:r>
              <w:rPr>
                <w:rFonts w:ascii="Times New Roman" w:hAnsi="Times New Roman"/>
                <w:color w:val="000000"/>
                <w:sz w:val="20"/>
                <w:szCs w:val="20"/>
              </w:rPr>
              <w:t>Bernardez et al.</w:t>
            </w:r>
            <w:r>
              <w:rPr>
                <w:rFonts w:ascii="Times New Roman" w:hAnsi="Times New Roman"/>
                <w:color w:val="000000"/>
                <w:sz w:val="20"/>
                <w:szCs w:val="20"/>
              </w:rPr>
              <w:fldChar w:fldCharType="begin"/>
            </w:r>
            <w:r>
              <w:rPr>
                <w:rFonts w:ascii="Times New Roman" w:hAnsi="Times New Roman"/>
                <w:color w:val="000000"/>
                <w:sz w:val="20"/>
                <w:szCs w:val="20"/>
              </w:rPr>
              <w:instrText xml:space="preserve"> ADDIN EN.CITE &lt;EndNote&gt;&lt;Cite&gt;&lt;Author&gt;Vidal-Bernardez&lt;/Author&gt;&lt;Year&gt;2021&lt;/Year&gt;&lt;RecNum&gt;17&lt;/RecNum&gt;&lt;DisplayText&gt;&lt;style face="superscript"&gt;[4]&lt;/style&gt;&lt;/DisplayText&gt;&lt;record&gt;&lt;rec-number&gt;17&lt;/rec-number&gt;&lt;foreign-keys&gt;&lt;key app="EN" db-id="09t5tvz5l9xermetrx05d05iexwr0fadrsea" timestamp="1661397324"&gt;17&lt;/key&gt;&lt;key app="ENWeb" db-id=""&gt;0&lt;/key&gt;&lt;/foreign-keys&gt;&lt;ref-type name="Journal Article"&gt;17&lt;/ref-type&gt;&lt;contributors&gt;&lt;authors&gt;&lt;author&gt;Vidal-Bernardez, M. L.&lt;/author&gt;&lt;author&gt;Vilches-Arenas, A.&lt;/author&gt;&lt;author&gt;Sonnemberg, B.&lt;/author&gt;&lt;author&gt;Solano-Reina, E.&lt;/author&gt;&lt;author&gt;Solano-Mendoza, B.&lt;/author&gt;&lt;/authors&gt;&lt;/contributors&gt;&lt;auth-address&gt;Master&amp;apos;s Program in Orthodontics, University of Seville, Seville, Spain.&amp;#xD;Department of Preventive Medicine and Public Health, Virgen Macarena University Hospital, University of Seville, Seville, Spain.&amp;#xD;Private Clinic. Stuttgart, Germany.&amp;#xD;Chairman, Department of Orthodontics, School of Dentistry, University of Seville, Seville, Spain.&amp;#xD;Lecturer, Master&amp;apos;s Program in Orthodontics, University of Seville, Seville, Spain.&lt;/auth-address&gt;&lt;titles&gt;&lt;title&gt;Efficacy and predictability of maxillary and mandibular expansion with the Invisalign(R) system&lt;/title&gt;&lt;secondary-title&gt;J Clin Exp Dent&lt;/secondary-title&gt;&lt;/titles&gt;&lt;periodical&gt;&lt;full-title&gt;J Clin Exp Dent&lt;/full-title&gt;&lt;/periodical&gt;&lt;pages&gt;e669-e677&lt;/pages&gt;&lt;volume&gt;13&lt;/volume&gt;&lt;number&gt;7&lt;/number&gt;&lt;edition&gt;2021/07/27&lt;/edition&gt;&lt;dates&gt;&lt;year&gt;2021&lt;/year&gt;&lt;pub-dates&gt;&lt;date&gt;Jul&lt;/date&gt;&lt;/pub-dates&gt;&lt;/dates&gt;&lt;isbn&gt;1989-5488 (Print)&amp;#xD;1989-5488 (Linking)&lt;/isbn&gt;&lt;accession-num&gt;34306530&lt;/accession-num&gt;&lt;urls&gt;&lt;related-urls&gt;&lt;url&gt;https://www.ncbi.nlm.nih.gov/pubmed/34306530&lt;/url&gt;&lt;/related-urls&gt;&lt;/urls&gt;&lt;custom2&gt;PMC8291161 study.&lt;/custom2&gt;&lt;electronic-resource-num&gt;10.4317/jced.58315&lt;/electronic-resource-num&gt;&lt;/record&gt;&lt;/Cite&gt;&lt;/EndNote&gt;</w:instrText>
            </w:r>
            <w:r>
              <w:rPr>
                <w:rFonts w:ascii="Times New Roman" w:hAnsi="Times New Roman"/>
                <w:color w:val="000000"/>
                <w:sz w:val="20"/>
                <w:szCs w:val="20"/>
              </w:rPr>
              <w:fldChar w:fldCharType="separate"/>
            </w:r>
            <w:r>
              <w:rPr>
                <w:rFonts w:ascii="Times New Roman" w:hAnsi="Times New Roman"/>
                <w:color w:val="000000"/>
                <w:sz w:val="20"/>
                <w:szCs w:val="20"/>
                <w:vertAlign w:val="superscript"/>
                <w:lang w:val="en-US" w:eastAsia="zh-CN"/>
              </w:rPr>
              <w:t>[4]</w:t>
            </w:r>
            <w:r>
              <w:rPr>
                <w:rFonts w:ascii="Times New Roman" w:hAnsi="Times New Roman"/>
                <w:color w:val="000000"/>
                <w:sz w:val="20"/>
                <w:szCs w:val="20"/>
              </w:rPr>
              <w:fldChar w:fldCharType="end"/>
            </w:r>
            <w:r>
              <w:rPr>
                <w:rFonts w:ascii="Times New Roman" w:hAnsi="Times New Roman"/>
                <w:color w:val="000000"/>
                <w:sz w:val="20"/>
                <w:szCs w:val="20"/>
              </w:rPr>
              <w:t xml:space="preserve"> (2021)</w:t>
            </w:r>
          </w:p>
          <w:p w14:paraId="7091797D" w14:textId="77777777" w:rsidR="00E85AA7" w:rsidRDefault="00E85AA7" w:rsidP="00F63164">
            <w:pPr>
              <w:widowControl/>
              <w:jc w:val="left"/>
              <w:rPr>
                <w:rFonts w:ascii="Times New Roman" w:eastAsia="微软雅黑" w:hAnsi="Times New Roman"/>
                <w:sz w:val="20"/>
                <w:szCs w:val="20"/>
              </w:rPr>
            </w:pPr>
          </w:p>
        </w:tc>
        <w:tc>
          <w:tcPr>
            <w:tcW w:w="2661" w:type="dxa"/>
            <w:tcBorders>
              <w:top w:val="nil"/>
            </w:tcBorders>
            <w:textDirection w:val="tbRlV"/>
          </w:tcPr>
          <w:p w14:paraId="17EE94AB"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Riede et  al.</w:t>
            </w:r>
            <w:r>
              <w:rPr>
                <w:rFonts w:ascii="Times New Roman" w:eastAsia="微软雅黑" w:hAnsi="Times New Roman"/>
                <w:color w:val="000000"/>
                <w:sz w:val="20"/>
                <w:szCs w:val="20"/>
              </w:rPr>
              <w:fldChar w:fldCharType="begin"/>
            </w:r>
            <w:r>
              <w:rPr>
                <w:rFonts w:ascii="Times New Roman" w:eastAsia="微软雅黑" w:hAnsi="Times New Roman"/>
                <w:color w:val="000000"/>
                <w:sz w:val="20"/>
                <w:szCs w:val="20"/>
              </w:rPr>
              <w:instrText xml:space="preserve"> ADDIN EN.CITE &lt;EndNote&gt;&lt;Cite&gt;&lt;Author&gt;Riede&lt;/Author&gt;&lt;Year&gt;2021&lt;/Year&gt;&lt;RecNum&gt;207&lt;/RecNum&gt;&lt;DisplayText&gt;&lt;style face="superscript"&gt;[22]&lt;/style&gt;&lt;/DisplayText&gt;&lt;record&gt;&lt;rec-number&gt;207&lt;/rec-number&gt;&lt;foreign-keys&gt;&lt;key app="EN" db-id="09t5tvz5l9xermetrx05d05iexwr0fadrsea" timestamp="1669467660"&gt;207&lt;/key&gt;&lt;/foreign-keys&gt;&lt;ref-type name="Journal Article"&gt;17&lt;/ref-type&gt;&lt;contributors&gt;&lt;authors&gt;&lt;author&gt;Riede, Ulrike&lt;/author&gt;&lt;author&gt;Wai, Sandra&lt;/author&gt;&lt;author&gt;Neururer, Sabrina&lt;/author&gt;&lt;author&gt;Reistenhofer, Bärbel&lt;/author&gt;&lt;author&gt;Riede, Gregor&lt;/author&gt;&lt;author&gt;Besser, Katharina&lt;/author&gt;&lt;author&gt;Crismani, Adriano&lt;/author&gt;&lt;/authors&gt;&lt;/contributors&gt;&lt;auth-address&gt;Department of Orthodontics, Medical University of Innsbruck, Innsbruck, Austria. ulrike.palenberg@i-med.ac.at.&amp;#xD;Department of Orthodontics, Medical University of Innsbruck, Innsbruck, Austria.&amp;#xD;Department of Medical Statistics, Informatics and Health Economics, Medical University of Innsbruck, Innsbruck, Austria.&amp;#xD;Private Practice of Orthodontics, Vienna, Austria.&amp;#xD;Private Practice of Oral and Maxillofacial Surgery, Jenbach, Austria.&lt;/auth-address&gt;&lt;titles&gt;&lt;title&gt;Maxillary expansion or contraction and occlusal contact adjustment: effectiveness of current aligner treatment&lt;/title&gt;&lt;secondary-title&gt;Clinical Oral Investigations&lt;/secondary-title&gt;&lt;alt-title&gt;Clin Oral Investig&lt;/alt-title&gt;&lt;/titles&gt;&lt;periodical&gt;&lt;full-title&gt;Clinical Oral Investigations&lt;/full-title&gt;&lt;/periodical&gt;&lt;alt-periodical&gt;&lt;full-title&gt;Clin Oral Investig&lt;/full-title&gt;&lt;/alt-periodical&gt;&lt;pages&gt;4671-4679&lt;/pages&gt;&lt;volume&gt;25&lt;/volume&gt;&lt;number&gt;7&lt;/number&gt;&lt;dates&gt;&lt;year&gt;2021&lt;/year&gt;&lt;/dates&gt;&lt;isbn&gt;1436-3771&lt;/isbn&gt;&lt;accession-num&gt;33474622&lt;/accession-num&gt;&lt;label&gt;3.606&lt;/label&gt;&lt;urls&gt;&lt;related-urls&gt;&lt;url&gt;https://pubmed.ncbi.nlm.nih.gov/33474622&lt;/url&gt;&lt;url&gt;https://link.springer.com/article/10.1007/s00784-021-03780-4&lt;/url&gt;&lt;/related-urls&gt;&lt;/urls&gt;&lt;electronic-resource-num&gt;10.1007/s00784-021-03780-4&lt;/electronic-resource-num&gt;&lt;remote-database-name&gt;PubMed&lt;/remote-database-name&gt;&lt;language&gt;eng&lt;/language&gt;&lt;/record&gt;&lt;/Cite&gt;&lt;/EndNote&gt;</w:instrText>
            </w:r>
            <w:r>
              <w:rPr>
                <w:rFonts w:ascii="Times New Roman" w:eastAsia="微软雅黑" w:hAnsi="Times New Roman"/>
                <w:color w:val="000000"/>
                <w:sz w:val="20"/>
                <w:szCs w:val="20"/>
              </w:rPr>
              <w:fldChar w:fldCharType="separate"/>
            </w:r>
            <w:r>
              <w:rPr>
                <w:rFonts w:ascii="Times New Roman" w:eastAsia="微软雅黑" w:hAnsi="Times New Roman"/>
                <w:color w:val="000000"/>
                <w:sz w:val="20"/>
                <w:szCs w:val="20"/>
                <w:vertAlign w:val="superscript"/>
                <w:lang w:val="en-US" w:eastAsia="zh-CN"/>
              </w:rPr>
              <w:t>[22]</w:t>
            </w:r>
            <w:r>
              <w:rPr>
                <w:rFonts w:ascii="Times New Roman" w:eastAsia="微软雅黑" w:hAnsi="Times New Roman"/>
                <w:color w:val="000000"/>
                <w:sz w:val="20"/>
                <w:szCs w:val="20"/>
              </w:rPr>
              <w:fldChar w:fldCharType="end"/>
            </w:r>
            <w:r>
              <w:rPr>
                <w:rFonts w:ascii="Times New Roman" w:eastAsia="微软雅黑" w:hAnsi="Times New Roman"/>
                <w:color w:val="000000"/>
                <w:sz w:val="20"/>
                <w:szCs w:val="20"/>
              </w:rPr>
              <w:t xml:space="preserve"> (2021)</w:t>
            </w:r>
          </w:p>
          <w:p w14:paraId="36CA1919" w14:textId="77777777" w:rsidR="00E85AA7" w:rsidRDefault="00E85AA7" w:rsidP="00F63164">
            <w:pPr>
              <w:widowControl/>
              <w:jc w:val="left"/>
              <w:rPr>
                <w:rFonts w:ascii="Times New Roman" w:eastAsia="微软雅黑" w:hAnsi="Times New Roman"/>
                <w:sz w:val="20"/>
                <w:szCs w:val="20"/>
              </w:rPr>
            </w:pPr>
          </w:p>
        </w:tc>
        <w:tc>
          <w:tcPr>
            <w:tcW w:w="2551" w:type="dxa"/>
            <w:tcBorders>
              <w:top w:val="nil"/>
            </w:tcBorders>
            <w:textDirection w:val="tbRlV"/>
          </w:tcPr>
          <w:p w14:paraId="023197AC"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Lione et  al.</w:t>
            </w:r>
            <w:r>
              <w:rPr>
                <w:rFonts w:ascii="Times New Roman" w:eastAsia="微软雅黑" w:hAnsi="Times New Roman"/>
                <w:color w:val="000000"/>
                <w:sz w:val="20"/>
                <w:szCs w:val="20"/>
              </w:rPr>
              <w:fldChar w:fldCharType="begin"/>
            </w:r>
            <w:r>
              <w:rPr>
                <w:rFonts w:ascii="Times New Roman" w:eastAsia="微软雅黑" w:hAnsi="Times New Roman"/>
                <w:color w:val="000000"/>
                <w:sz w:val="20"/>
                <w:szCs w:val="20"/>
              </w:rPr>
              <w:instrText xml:space="preserve"> ADDIN EN.CITE &lt;EndNote&gt;&lt;Cite&gt;&lt;Author&gt;Lione&lt;/Author&gt;&lt;Year&gt;2021&lt;/Year&gt;&lt;RecNum&gt;13&lt;/RecNum&gt;&lt;DisplayText&gt;&lt;style face="superscript"&gt;[23]&lt;/style&gt;&lt;/DisplayText&gt;&lt;record&gt;&lt;rec-number&gt;13&lt;/rec-number&gt;&lt;foreign-keys&gt;&lt;key app="EN" db-id="09t5tvz5l9xermetrx05d05iexwr0fadrsea" timestamp="1661397243"&gt;13&lt;/key&gt;&lt;key app="ENWeb" db-id=""&gt;0&lt;/key&gt;&lt;/foreign-keys&gt;&lt;ref-type name="Journal Article"&gt;17&lt;/ref-type&gt;&lt;contributors&gt;&lt;authors&gt;&lt;author&gt;Lione, R.&lt;/author&gt;&lt;author&gt;Paoloni, V.&lt;/author&gt;&lt;author&gt;Bartolommei, L.&lt;/author&gt;&lt;author&gt;Gazzani, F.&lt;/author&gt;&lt;author&gt;Meuli, S.&lt;/author&gt;&lt;author&gt;Pavoni, C.&lt;/author&gt;&lt;author&gt;Cozza, P.&lt;/author&gt;&lt;/authors&gt;&lt;/contributors&gt;&lt;titles&gt;&lt;title&gt;Maxillary arch development with Invisalign system&lt;/title&gt;&lt;secondary-title&gt;Angle Orthod&lt;/secondary-title&gt;&lt;/titles&gt;&lt;periodical&gt;&lt;full-title&gt;Angle Orthod&lt;/full-title&gt;&lt;/periodical&gt;&lt;pages&gt;433-440&lt;/pages&gt;&lt;volume&gt;91&lt;/volume&gt;&lt;number&gt;4&lt;/number&gt;&lt;edition&gt;2021/02/12&lt;/edition&gt;&lt;keywords&gt;&lt;keyword&gt;Adult&lt;/keyword&gt;&lt;keyword&gt;Dental Arch&lt;/keyword&gt;&lt;keyword&gt;Female&lt;/keyword&gt;&lt;keyword&gt;Humans&lt;/keyword&gt;&lt;keyword&gt;Male&lt;/keyword&gt;&lt;keyword&gt;*Malocclusion/therapy&lt;/keyword&gt;&lt;keyword&gt;Maxilla&lt;/keyword&gt;&lt;keyword&gt;*Orthodontic Appliances, Removable&lt;/keyword&gt;&lt;keyword&gt;Palatal Expansion Technique&lt;/keyword&gt;&lt;keyword&gt;Tooth Movement Techniques&lt;/keyword&gt;&lt;keyword&gt;*Clear aligner technique&lt;/keyword&gt;&lt;keyword&gt;*Dental movement&lt;/keyword&gt;&lt;keyword&gt;*Digital cast analysis&lt;/keyword&gt;&lt;keyword&gt;*Maxillary expansion&lt;/keyword&gt;&lt;/keywords&gt;&lt;dates&gt;&lt;year&gt;2021&lt;/year&gt;&lt;pub-dates&gt;&lt;date&gt;Jul 1&lt;/date&gt;&lt;/pub-dates&gt;&lt;/dates&gt;&lt;isbn&gt;1945-7103 (Electronic)&amp;#xD;0003-3219 (Linking)&lt;/isbn&gt;&lt;accession-num&gt;33570617&lt;/accession-num&gt;&lt;urls&gt;&lt;related-urls&gt;&lt;url&gt;https://www.ncbi.nlm.nih.gov/pubmed/33570617&lt;/url&gt;&lt;/related-urls&gt;&lt;/urls&gt;&lt;custom2&gt;PMC8259755&lt;/custom2&gt;&lt;electronic-resource-num&gt;10.2319/080520-687.1&lt;/electronic-resource-num&gt;&lt;/record&gt;&lt;/Cite&gt;&lt;/EndNote&gt;</w:instrText>
            </w:r>
            <w:r>
              <w:rPr>
                <w:rFonts w:ascii="Times New Roman" w:eastAsia="微软雅黑" w:hAnsi="Times New Roman"/>
                <w:color w:val="000000"/>
                <w:sz w:val="20"/>
                <w:szCs w:val="20"/>
              </w:rPr>
              <w:fldChar w:fldCharType="separate"/>
            </w:r>
            <w:r>
              <w:rPr>
                <w:rFonts w:ascii="Times New Roman" w:eastAsia="微软雅黑" w:hAnsi="Times New Roman"/>
                <w:color w:val="000000"/>
                <w:sz w:val="20"/>
                <w:szCs w:val="20"/>
                <w:vertAlign w:val="superscript"/>
                <w:lang w:val="en-US" w:eastAsia="zh-CN"/>
              </w:rPr>
              <w:t>[23]</w:t>
            </w:r>
            <w:r>
              <w:rPr>
                <w:rFonts w:ascii="Times New Roman" w:eastAsia="微软雅黑" w:hAnsi="Times New Roman"/>
                <w:color w:val="000000"/>
                <w:sz w:val="20"/>
                <w:szCs w:val="20"/>
              </w:rPr>
              <w:fldChar w:fldCharType="end"/>
            </w:r>
            <w:r>
              <w:rPr>
                <w:rFonts w:ascii="Times New Roman" w:eastAsia="微软雅黑" w:hAnsi="Times New Roman"/>
                <w:color w:val="000000"/>
                <w:sz w:val="20"/>
                <w:szCs w:val="20"/>
              </w:rPr>
              <w:t xml:space="preserve"> (2021)</w:t>
            </w:r>
          </w:p>
          <w:p w14:paraId="43944ED1" w14:textId="77777777" w:rsidR="00E85AA7" w:rsidRDefault="00E85AA7" w:rsidP="00F63164">
            <w:pPr>
              <w:widowControl/>
              <w:jc w:val="left"/>
              <w:rPr>
                <w:rFonts w:ascii="Times New Roman" w:eastAsia="微软雅黑" w:hAnsi="Times New Roman"/>
                <w:sz w:val="20"/>
                <w:szCs w:val="20"/>
              </w:rPr>
            </w:pPr>
          </w:p>
        </w:tc>
        <w:tc>
          <w:tcPr>
            <w:tcW w:w="425" w:type="dxa"/>
            <w:tcBorders>
              <w:top w:val="nil"/>
            </w:tcBorders>
            <w:textDirection w:val="tbRlV"/>
          </w:tcPr>
          <w:p w14:paraId="2BA07DA6"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 xml:space="preserve">Author </w:t>
            </w:r>
          </w:p>
          <w:p w14:paraId="47010BFE" w14:textId="77777777" w:rsidR="00E85AA7" w:rsidRDefault="00E85AA7" w:rsidP="00F63164">
            <w:pPr>
              <w:widowControl/>
              <w:ind w:left="113" w:right="113"/>
              <w:jc w:val="left"/>
              <w:rPr>
                <w:rFonts w:ascii="Times New Roman" w:eastAsia="微软雅黑" w:hAnsi="Times New Roman"/>
                <w:color w:val="000000"/>
                <w:sz w:val="20"/>
                <w:szCs w:val="20"/>
              </w:rPr>
            </w:pPr>
          </w:p>
        </w:tc>
      </w:tr>
      <w:tr w:rsidR="00E85AA7" w14:paraId="13049C76" w14:textId="77777777" w:rsidTr="00F63164">
        <w:trPr>
          <w:trHeight w:val="1410"/>
        </w:trPr>
        <w:tc>
          <w:tcPr>
            <w:tcW w:w="392" w:type="dxa"/>
            <w:vMerge/>
            <w:shd w:val="clear" w:color="auto" w:fill="FBE4D5"/>
            <w:textDirection w:val="tbRlV"/>
          </w:tcPr>
          <w:p w14:paraId="4348A5B6" w14:textId="77777777" w:rsidR="00E85AA7" w:rsidRDefault="00E85AA7" w:rsidP="00F63164">
            <w:pPr>
              <w:widowControl/>
              <w:jc w:val="left"/>
              <w:rPr>
                <w:rFonts w:ascii="Times New Roman" w:eastAsia="微软雅黑" w:hAnsi="Times New Roman"/>
                <w:b/>
                <w:bCs/>
                <w:color w:val="000000"/>
                <w:sz w:val="20"/>
                <w:szCs w:val="20"/>
              </w:rPr>
            </w:pPr>
          </w:p>
        </w:tc>
        <w:tc>
          <w:tcPr>
            <w:tcW w:w="3961" w:type="dxa"/>
            <w:shd w:val="clear" w:color="auto" w:fill="FBE4D5"/>
            <w:textDirection w:val="tbRlV"/>
          </w:tcPr>
          <w:p w14:paraId="550A04AB"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The predictability of transverse changes with Invisalign</w:t>
            </w:r>
          </w:p>
          <w:p w14:paraId="7C61EDE2" w14:textId="77777777" w:rsidR="00E85AA7" w:rsidRDefault="00E85AA7" w:rsidP="00F63164">
            <w:pPr>
              <w:widowControl/>
              <w:jc w:val="left"/>
              <w:rPr>
                <w:rFonts w:ascii="Times New Roman" w:eastAsia="微软雅黑" w:hAnsi="Times New Roman"/>
                <w:sz w:val="20"/>
                <w:szCs w:val="20"/>
              </w:rPr>
            </w:pPr>
          </w:p>
        </w:tc>
        <w:tc>
          <w:tcPr>
            <w:tcW w:w="2661" w:type="dxa"/>
            <w:shd w:val="clear" w:color="auto" w:fill="FBE4D5"/>
            <w:textDirection w:val="tbRlV"/>
          </w:tcPr>
          <w:p w14:paraId="53EFE82B"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Maxillary expansion or contraction and occlusal contact adjustment: effectiveness of current aligner treatment</w:t>
            </w:r>
          </w:p>
          <w:p w14:paraId="35AA9735" w14:textId="77777777" w:rsidR="00E85AA7" w:rsidRDefault="00E85AA7" w:rsidP="00F63164">
            <w:pPr>
              <w:widowControl/>
              <w:jc w:val="left"/>
              <w:rPr>
                <w:rFonts w:ascii="Times New Roman" w:eastAsia="微软雅黑" w:hAnsi="Times New Roman"/>
                <w:sz w:val="20"/>
                <w:szCs w:val="20"/>
              </w:rPr>
            </w:pPr>
          </w:p>
        </w:tc>
        <w:tc>
          <w:tcPr>
            <w:tcW w:w="2551" w:type="dxa"/>
            <w:shd w:val="clear" w:color="auto" w:fill="FBE4D5"/>
            <w:textDirection w:val="tbRlV"/>
          </w:tcPr>
          <w:p w14:paraId="6C77A112"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 xml:space="preserve">Maxillary arch development with Invisalign system </w:t>
            </w:r>
          </w:p>
          <w:p w14:paraId="446B210E" w14:textId="77777777" w:rsidR="00E85AA7" w:rsidRDefault="00E85AA7" w:rsidP="00F63164">
            <w:pPr>
              <w:widowControl/>
              <w:jc w:val="left"/>
              <w:rPr>
                <w:rFonts w:ascii="Times New Roman" w:eastAsia="微软雅黑" w:hAnsi="Times New Roman"/>
                <w:sz w:val="20"/>
                <w:szCs w:val="20"/>
              </w:rPr>
            </w:pPr>
          </w:p>
        </w:tc>
        <w:tc>
          <w:tcPr>
            <w:tcW w:w="425" w:type="dxa"/>
            <w:shd w:val="clear" w:color="auto" w:fill="FBE4D5"/>
            <w:textDirection w:val="tbRlV"/>
          </w:tcPr>
          <w:p w14:paraId="5CDFF71E"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Title</w:t>
            </w:r>
          </w:p>
          <w:p w14:paraId="17181C5B" w14:textId="77777777" w:rsidR="00E85AA7" w:rsidRDefault="00E85AA7" w:rsidP="00F63164">
            <w:pPr>
              <w:widowControl/>
              <w:ind w:left="113" w:right="113"/>
              <w:jc w:val="left"/>
              <w:rPr>
                <w:rFonts w:ascii="Times New Roman" w:eastAsia="微软雅黑" w:hAnsi="Times New Roman"/>
                <w:color w:val="000000"/>
                <w:sz w:val="20"/>
                <w:szCs w:val="20"/>
              </w:rPr>
            </w:pPr>
          </w:p>
        </w:tc>
      </w:tr>
      <w:tr w:rsidR="00E85AA7" w14:paraId="5D260C06" w14:textId="77777777" w:rsidTr="00F63164">
        <w:trPr>
          <w:trHeight w:val="1117"/>
        </w:trPr>
        <w:tc>
          <w:tcPr>
            <w:tcW w:w="392" w:type="dxa"/>
            <w:vMerge/>
            <w:textDirection w:val="tbRlV"/>
          </w:tcPr>
          <w:p w14:paraId="32F326B2" w14:textId="77777777" w:rsidR="00E85AA7" w:rsidRDefault="00E85AA7" w:rsidP="00F63164">
            <w:pPr>
              <w:widowControl/>
              <w:jc w:val="left"/>
              <w:rPr>
                <w:rFonts w:ascii="Times New Roman" w:eastAsia="微软雅黑" w:hAnsi="Times New Roman"/>
                <w:b/>
                <w:bCs/>
                <w:color w:val="000000"/>
                <w:sz w:val="20"/>
                <w:szCs w:val="20"/>
              </w:rPr>
            </w:pPr>
          </w:p>
        </w:tc>
        <w:tc>
          <w:tcPr>
            <w:tcW w:w="3961" w:type="dxa"/>
            <w:textDirection w:val="tbRlV"/>
          </w:tcPr>
          <w:p w14:paraId="35204D9C"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 xml:space="preserve">Retrospective </w:t>
            </w:r>
          </w:p>
          <w:p w14:paraId="334E366F" w14:textId="77777777" w:rsidR="00E85AA7" w:rsidRDefault="00E85AA7" w:rsidP="00F63164">
            <w:pPr>
              <w:widowControl/>
              <w:jc w:val="left"/>
              <w:rPr>
                <w:rFonts w:ascii="Times New Roman" w:eastAsia="微软雅黑" w:hAnsi="Times New Roman"/>
                <w:sz w:val="20"/>
                <w:szCs w:val="20"/>
              </w:rPr>
            </w:pPr>
          </w:p>
        </w:tc>
        <w:tc>
          <w:tcPr>
            <w:tcW w:w="2661" w:type="dxa"/>
            <w:textDirection w:val="tbRlV"/>
          </w:tcPr>
          <w:p w14:paraId="5A8B1537"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 xml:space="preserve">Retrospective </w:t>
            </w:r>
          </w:p>
          <w:p w14:paraId="24B9D778" w14:textId="77777777" w:rsidR="00E85AA7" w:rsidRDefault="00E85AA7" w:rsidP="00F63164">
            <w:pPr>
              <w:widowControl/>
              <w:jc w:val="left"/>
              <w:rPr>
                <w:rFonts w:ascii="Times New Roman" w:eastAsia="微软雅黑" w:hAnsi="Times New Roman"/>
                <w:sz w:val="20"/>
                <w:szCs w:val="20"/>
              </w:rPr>
            </w:pPr>
          </w:p>
        </w:tc>
        <w:tc>
          <w:tcPr>
            <w:tcW w:w="2551" w:type="dxa"/>
            <w:textDirection w:val="tbRlV"/>
          </w:tcPr>
          <w:p w14:paraId="088BCD12"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Prospective</w:t>
            </w:r>
          </w:p>
          <w:p w14:paraId="7646E109" w14:textId="77777777" w:rsidR="00E85AA7" w:rsidRDefault="00E85AA7" w:rsidP="00F63164">
            <w:pPr>
              <w:widowControl/>
              <w:jc w:val="left"/>
              <w:rPr>
                <w:rFonts w:ascii="Times New Roman" w:eastAsia="微软雅黑" w:hAnsi="Times New Roman"/>
                <w:sz w:val="20"/>
                <w:szCs w:val="20"/>
              </w:rPr>
            </w:pPr>
          </w:p>
        </w:tc>
        <w:tc>
          <w:tcPr>
            <w:tcW w:w="425" w:type="dxa"/>
            <w:textDirection w:val="tbRlV"/>
          </w:tcPr>
          <w:p w14:paraId="18340AA3"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 xml:space="preserve">Type </w:t>
            </w:r>
          </w:p>
          <w:p w14:paraId="1F88C624" w14:textId="77777777" w:rsidR="00E85AA7" w:rsidRDefault="00E85AA7" w:rsidP="00F63164">
            <w:pPr>
              <w:widowControl/>
              <w:ind w:left="113" w:right="113"/>
              <w:jc w:val="left"/>
              <w:rPr>
                <w:rFonts w:ascii="Times New Roman" w:eastAsia="微软雅黑" w:hAnsi="Times New Roman"/>
                <w:color w:val="000000"/>
                <w:sz w:val="20"/>
                <w:szCs w:val="20"/>
              </w:rPr>
            </w:pPr>
          </w:p>
        </w:tc>
      </w:tr>
      <w:tr w:rsidR="00E85AA7" w14:paraId="05F7E00A" w14:textId="77777777" w:rsidTr="00F63164">
        <w:trPr>
          <w:trHeight w:val="1124"/>
        </w:trPr>
        <w:tc>
          <w:tcPr>
            <w:tcW w:w="392" w:type="dxa"/>
            <w:vMerge/>
            <w:shd w:val="clear" w:color="auto" w:fill="FBE4D5"/>
            <w:textDirection w:val="tbRlV"/>
          </w:tcPr>
          <w:p w14:paraId="17A81DD2" w14:textId="77777777" w:rsidR="00E85AA7" w:rsidRDefault="00E85AA7" w:rsidP="00F63164">
            <w:pPr>
              <w:widowControl/>
              <w:jc w:val="left"/>
              <w:rPr>
                <w:rFonts w:ascii="Times New Roman" w:eastAsia="微软雅黑" w:hAnsi="Times New Roman"/>
                <w:b/>
                <w:bCs/>
                <w:color w:val="000000"/>
                <w:sz w:val="20"/>
                <w:szCs w:val="20"/>
              </w:rPr>
            </w:pPr>
          </w:p>
        </w:tc>
        <w:tc>
          <w:tcPr>
            <w:tcW w:w="3961" w:type="dxa"/>
            <w:shd w:val="clear" w:color="auto" w:fill="FBE4D5"/>
            <w:textDirection w:val="tbRlV"/>
          </w:tcPr>
          <w:p w14:paraId="278CBA63"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64 upper arches and 51 lower arches</w:t>
            </w:r>
          </w:p>
          <w:p w14:paraId="5CD72B2D" w14:textId="77777777" w:rsidR="00E85AA7" w:rsidRDefault="00E85AA7" w:rsidP="00F63164">
            <w:pPr>
              <w:widowControl/>
              <w:jc w:val="left"/>
              <w:rPr>
                <w:rFonts w:ascii="Times New Roman" w:eastAsia="微软雅黑" w:hAnsi="Times New Roman"/>
                <w:sz w:val="20"/>
                <w:szCs w:val="20"/>
              </w:rPr>
            </w:pPr>
          </w:p>
        </w:tc>
        <w:tc>
          <w:tcPr>
            <w:tcW w:w="2661" w:type="dxa"/>
            <w:shd w:val="clear" w:color="auto" w:fill="FBE4D5"/>
            <w:textDirection w:val="tbRlV"/>
          </w:tcPr>
          <w:p w14:paraId="45A03490"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30 patients(23F,7M</w:t>
            </w:r>
            <w:proofErr w:type="gramStart"/>
            <w:r>
              <w:rPr>
                <w:rFonts w:ascii="Times New Roman" w:eastAsia="微软雅黑" w:hAnsi="Times New Roman"/>
                <w:color w:val="000000"/>
                <w:sz w:val="20"/>
                <w:szCs w:val="20"/>
              </w:rPr>
              <w:t xml:space="preserve">);   </w:t>
            </w:r>
            <w:proofErr w:type="gramEnd"/>
            <w:r>
              <w:rPr>
                <w:rFonts w:ascii="Times New Roman" w:eastAsia="微软雅黑" w:hAnsi="Times New Roman"/>
                <w:color w:val="000000"/>
                <w:sz w:val="20"/>
                <w:szCs w:val="20"/>
              </w:rPr>
              <w:t xml:space="preserve"> mean age 25.7(15-43) years</w:t>
            </w:r>
          </w:p>
          <w:p w14:paraId="2E0D62A3" w14:textId="77777777" w:rsidR="00E85AA7" w:rsidRDefault="00E85AA7" w:rsidP="00F63164">
            <w:pPr>
              <w:widowControl/>
              <w:jc w:val="left"/>
              <w:rPr>
                <w:rFonts w:ascii="Times New Roman" w:eastAsia="微软雅黑" w:hAnsi="Times New Roman"/>
                <w:sz w:val="20"/>
                <w:szCs w:val="20"/>
              </w:rPr>
            </w:pPr>
          </w:p>
        </w:tc>
        <w:tc>
          <w:tcPr>
            <w:tcW w:w="2551" w:type="dxa"/>
            <w:shd w:val="clear" w:color="auto" w:fill="FBE4D5"/>
            <w:textDirection w:val="tbRlV"/>
          </w:tcPr>
          <w:p w14:paraId="528DD763" w14:textId="77777777" w:rsidR="00E85AA7" w:rsidRDefault="00E85AA7" w:rsidP="00F63164">
            <w:pPr>
              <w:widowControl/>
              <w:jc w:val="left"/>
              <w:rPr>
                <w:rFonts w:ascii="Times New Roman" w:eastAsia="微软雅黑" w:hAnsi="Times New Roman" w:hint="eastAsia"/>
                <w:color w:val="000000"/>
                <w:sz w:val="20"/>
                <w:szCs w:val="20"/>
              </w:rPr>
            </w:pPr>
            <w:r>
              <w:rPr>
                <w:rFonts w:ascii="Times New Roman" w:eastAsia="微软雅黑" w:hAnsi="Times New Roman"/>
                <w:color w:val="000000"/>
                <w:sz w:val="20"/>
                <w:szCs w:val="20"/>
              </w:rPr>
              <w:t>28 patients (16F,12M); mean age</w:t>
            </w:r>
          </w:p>
          <w:p w14:paraId="268CD871"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31.9±5.4 years</w:t>
            </w:r>
          </w:p>
          <w:p w14:paraId="04583AF9" w14:textId="77777777" w:rsidR="00E85AA7" w:rsidRDefault="00E85AA7" w:rsidP="00F63164">
            <w:pPr>
              <w:widowControl/>
              <w:jc w:val="left"/>
              <w:rPr>
                <w:rFonts w:ascii="Times New Roman" w:eastAsia="微软雅黑" w:hAnsi="Times New Roman"/>
                <w:sz w:val="20"/>
                <w:szCs w:val="20"/>
              </w:rPr>
            </w:pPr>
          </w:p>
        </w:tc>
        <w:tc>
          <w:tcPr>
            <w:tcW w:w="425" w:type="dxa"/>
            <w:shd w:val="clear" w:color="auto" w:fill="FBE4D5"/>
            <w:textDirection w:val="tbRlV"/>
          </w:tcPr>
          <w:p w14:paraId="47DB26B7"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Population</w:t>
            </w:r>
          </w:p>
          <w:p w14:paraId="3D692687" w14:textId="77777777" w:rsidR="00E85AA7" w:rsidRDefault="00E85AA7" w:rsidP="00F63164">
            <w:pPr>
              <w:widowControl/>
              <w:ind w:left="113" w:right="113"/>
              <w:jc w:val="left"/>
              <w:rPr>
                <w:rFonts w:ascii="Times New Roman" w:eastAsia="微软雅黑" w:hAnsi="Times New Roman"/>
                <w:color w:val="000000"/>
                <w:sz w:val="20"/>
                <w:szCs w:val="20"/>
              </w:rPr>
            </w:pPr>
          </w:p>
        </w:tc>
      </w:tr>
      <w:tr w:rsidR="00E85AA7" w14:paraId="4837B1F5" w14:textId="77777777" w:rsidTr="00F63164">
        <w:trPr>
          <w:trHeight w:val="1273"/>
        </w:trPr>
        <w:tc>
          <w:tcPr>
            <w:tcW w:w="392" w:type="dxa"/>
            <w:vMerge/>
            <w:textDirection w:val="tbRlV"/>
          </w:tcPr>
          <w:p w14:paraId="115A8EB1" w14:textId="77777777" w:rsidR="00E85AA7" w:rsidRDefault="00E85AA7" w:rsidP="00F63164">
            <w:pPr>
              <w:widowControl/>
              <w:jc w:val="left"/>
              <w:rPr>
                <w:rFonts w:ascii="Times New Roman" w:eastAsia="微软雅黑" w:hAnsi="Times New Roman"/>
                <w:b/>
                <w:bCs/>
                <w:color w:val="131413"/>
                <w:sz w:val="20"/>
                <w:szCs w:val="20"/>
              </w:rPr>
            </w:pPr>
          </w:p>
        </w:tc>
        <w:tc>
          <w:tcPr>
            <w:tcW w:w="3961" w:type="dxa"/>
            <w:textDirection w:val="tbRlV"/>
          </w:tcPr>
          <w:p w14:paraId="5A20D279" w14:textId="77777777" w:rsidR="00E85AA7" w:rsidRDefault="00E85AA7" w:rsidP="00F63164">
            <w:pPr>
              <w:widowControl/>
              <w:jc w:val="left"/>
              <w:rPr>
                <w:rFonts w:ascii="Times New Roman" w:eastAsia="微软雅黑" w:hAnsi="Times New Roman"/>
                <w:color w:val="131413"/>
                <w:sz w:val="20"/>
                <w:szCs w:val="20"/>
              </w:rPr>
            </w:pPr>
            <w:r>
              <w:rPr>
                <w:rFonts w:ascii="Times New Roman" w:eastAsia="微软雅黑" w:hAnsi="Times New Roman"/>
                <w:color w:val="131413"/>
                <w:sz w:val="20"/>
                <w:szCs w:val="20"/>
              </w:rPr>
              <w:t>Invisalign treatment; models without attachments</w:t>
            </w:r>
          </w:p>
          <w:p w14:paraId="3837524F" w14:textId="77777777" w:rsidR="00E85AA7" w:rsidRDefault="00E85AA7" w:rsidP="00F63164">
            <w:pPr>
              <w:widowControl/>
              <w:jc w:val="left"/>
              <w:rPr>
                <w:rFonts w:ascii="Times New Roman" w:eastAsia="微软雅黑" w:hAnsi="Times New Roman"/>
                <w:sz w:val="20"/>
                <w:szCs w:val="20"/>
              </w:rPr>
            </w:pPr>
          </w:p>
        </w:tc>
        <w:tc>
          <w:tcPr>
            <w:tcW w:w="2661" w:type="dxa"/>
            <w:textDirection w:val="tbRlV"/>
          </w:tcPr>
          <w:p w14:paraId="3D5D7F2F" w14:textId="77777777" w:rsidR="00E85AA7" w:rsidRDefault="00E85AA7" w:rsidP="00F63164">
            <w:pPr>
              <w:widowControl/>
              <w:jc w:val="left"/>
              <w:rPr>
                <w:rFonts w:ascii="Times New Roman" w:eastAsia="微软雅黑" w:hAnsi="Times New Roman"/>
                <w:color w:val="131413"/>
                <w:sz w:val="20"/>
                <w:szCs w:val="20"/>
              </w:rPr>
            </w:pPr>
            <w:r>
              <w:rPr>
                <w:rFonts w:ascii="Times New Roman" w:eastAsia="微软雅黑" w:hAnsi="Times New Roman"/>
                <w:color w:val="131413"/>
                <w:sz w:val="20"/>
                <w:szCs w:val="20"/>
              </w:rPr>
              <w:t>Invisalign aligner treatment exclusively with the SmartTrack material; nonextraction</w:t>
            </w:r>
          </w:p>
          <w:p w14:paraId="46E509C9" w14:textId="77777777" w:rsidR="00E85AA7" w:rsidRDefault="00E85AA7" w:rsidP="00F63164">
            <w:pPr>
              <w:widowControl/>
              <w:jc w:val="left"/>
              <w:rPr>
                <w:rFonts w:ascii="Times New Roman" w:eastAsia="微软雅黑" w:hAnsi="Times New Roman"/>
                <w:sz w:val="20"/>
                <w:szCs w:val="20"/>
              </w:rPr>
            </w:pPr>
          </w:p>
        </w:tc>
        <w:tc>
          <w:tcPr>
            <w:tcW w:w="2551" w:type="dxa"/>
            <w:textDirection w:val="tbRlV"/>
          </w:tcPr>
          <w:p w14:paraId="5BB54A72"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Nonextraction; invisalign system;</w:t>
            </w:r>
          </w:p>
          <w:p w14:paraId="54F5DCDE"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Invisalign attachments</w:t>
            </w:r>
          </w:p>
          <w:p w14:paraId="7727083D" w14:textId="77777777" w:rsidR="00E85AA7" w:rsidRDefault="00E85AA7" w:rsidP="00F63164">
            <w:pPr>
              <w:widowControl/>
              <w:jc w:val="left"/>
              <w:rPr>
                <w:rFonts w:ascii="Times New Roman" w:eastAsia="微软雅黑" w:hAnsi="Times New Roman"/>
                <w:sz w:val="20"/>
                <w:szCs w:val="20"/>
              </w:rPr>
            </w:pPr>
          </w:p>
        </w:tc>
        <w:tc>
          <w:tcPr>
            <w:tcW w:w="425" w:type="dxa"/>
            <w:textDirection w:val="tbRlV"/>
          </w:tcPr>
          <w:p w14:paraId="2F73F2F7"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 xml:space="preserve">Intervention </w:t>
            </w:r>
          </w:p>
          <w:p w14:paraId="0E3CA94D" w14:textId="77777777" w:rsidR="00E85AA7" w:rsidRDefault="00E85AA7" w:rsidP="00F63164">
            <w:pPr>
              <w:widowControl/>
              <w:ind w:left="113" w:right="113"/>
              <w:jc w:val="left"/>
              <w:rPr>
                <w:rFonts w:ascii="Times New Roman" w:eastAsia="微软雅黑" w:hAnsi="Times New Roman"/>
                <w:color w:val="000000"/>
                <w:sz w:val="20"/>
                <w:szCs w:val="20"/>
              </w:rPr>
            </w:pPr>
          </w:p>
        </w:tc>
      </w:tr>
      <w:tr w:rsidR="00E85AA7" w14:paraId="64AB251B" w14:textId="77777777" w:rsidTr="00F63164">
        <w:trPr>
          <w:trHeight w:val="1263"/>
        </w:trPr>
        <w:tc>
          <w:tcPr>
            <w:tcW w:w="392" w:type="dxa"/>
            <w:vMerge/>
            <w:shd w:val="clear" w:color="auto" w:fill="FBE4D5"/>
            <w:textDirection w:val="tbRlV"/>
          </w:tcPr>
          <w:p w14:paraId="1BB2ECAE" w14:textId="77777777" w:rsidR="00E85AA7" w:rsidRDefault="00E85AA7" w:rsidP="00F63164">
            <w:pPr>
              <w:widowControl/>
              <w:jc w:val="left"/>
              <w:rPr>
                <w:rFonts w:ascii="Times New Roman" w:eastAsia="微软雅黑" w:hAnsi="Times New Roman"/>
                <w:b/>
                <w:bCs/>
                <w:sz w:val="20"/>
                <w:szCs w:val="20"/>
              </w:rPr>
            </w:pPr>
          </w:p>
        </w:tc>
        <w:tc>
          <w:tcPr>
            <w:tcW w:w="3961" w:type="dxa"/>
            <w:shd w:val="clear" w:color="auto" w:fill="FBE4D5"/>
            <w:textDirection w:val="tbRlV"/>
          </w:tcPr>
          <w:p w14:paraId="3A2E9F89"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Pretreatment, predicted, and posttreatment models were compared</w:t>
            </w:r>
          </w:p>
          <w:p w14:paraId="29AB19D2" w14:textId="77777777" w:rsidR="00E85AA7" w:rsidRDefault="00E85AA7" w:rsidP="00F63164">
            <w:pPr>
              <w:widowControl/>
              <w:jc w:val="left"/>
              <w:rPr>
                <w:rFonts w:ascii="Times New Roman" w:eastAsia="微软雅黑" w:hAnsi="Times New Roman"/>
                <w:sz w:val="20"/>
                <w:szCs w:val="20"/>
              </w:rPr>
            </w:pPr>
          </w:p>
        </w:tc>
        <w:tc>
          <w:tcPr>
            <w:tcW w:w="2661" w:type="dxa"/>
            <w:shd w:val="clear" w:color="auto" w:fill="FBE4D5"/>
            <w:textDirection w:val="tbRlV"/>
          </w:tcPr>
          <w:p w14:paraId="240A58F8"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Comparison between th</w:t>
            </w:r>
            <w:r>
              <w:rPr>
                <w:rFonts w:ascii="Times New Roman" w:eastAsia="微软雅黑" w:hAnsi="Times New Roman" w:hint="eastAsia"/>
                <w:sz w:val="20"/>
                <w:szCs w:val="20"/>
              </w:rPr>
              <w:t>e</w:t>
            </w:r>
            <w:r>
              <w:rPr>
                <w:rFonts w:ascii="Times New Roman" w:eastAsia="微软雅黑" w:hAnsi="Times New Roman"/>
                <w:sz w:val="20"/>
                <w:szCs w:val="20"/>
              </w:rPr>
              <w:t xml:space="preserve"> pretreatment, posttreatment and virtual posttreatment models </w:t>
            </w:r>
          </w:p>
        </w:tc>
        <w:tc>
          <w:tcPr>
            <w:tcW w:w="2551" w:type="dxa"/>
            <w:shd w:val="clear" w:color="auto" w:fill="FBE4D5"/>
            <w:textDirection w:val="tbRlV"/>
          </w:tcPr>
          <w:p w14:paraId="3C03E71A"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Pretreatment, predicted, and posttreatment models were compared</w:t>
            </w:r>
          </w:p>
          <w:p w14:paraId="7CC5B572" w14:textId="77777777" w:rsidR="00E85AA7" w:rsidRDefault="00E85AA7" w:rsidP="00F63164">
            <w:pPr>
              <w:widowControl/>
              <w:jc w:val="left"/>
              <w:rPr>
                <w:rFonts w:ascii="Times New Roman" w:eastAsia="微软雅黑" w:hAnsi="Times New Roman"/>
                <w:sz w:val="20"/>
                <w:szCs w:val="20"/>
              </w:rPr>
            </w:pPr>
          </w:p>
        </w:tc>
        <w:tc>
          <w:tcPr>
            <w:tcW w:w="425" w:type="dxa"/>
            <w:shd w:val="clear" w:color="auto" w:fill="FBE4D5"/>
            <w:textDirection w:val="tbRlV"/>
          </w:tcPr>
          <w:p w14:paraId="47CED0EC"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Comparison</w:t>
            </w:r>
          </w:p>
          <w:p w14:paraId="6431C6F9" w14:textId="77777777" w:rsidR="00E85AA7" w:rsidRDefault="00E85AA7" w:rsidP="00F63164">
            <w:pPr>
              <w:widowControl/>
              <w:ind w:left="113" w:right="113"/>
              <w:jc w:val="left"/>
              <w:rPr>
                <w:rFonts w:ascii="Times New Roman" w:eastAsia="微软雅黑" w:hAnsi="Times New Roman"/>
                <w:color w:val="000000"/>
                <w:sz w:val="20"/>
                <w:szCs w:val="20"/>
              </w:rPr>
            </w:pPr>
          </w:p>
        </w:tc>
      </w:tr>
      <w:tr w:rsidR="00E85AA7" w14:paraId="7A619A36" w14:textId="77777777" w:rsidTr="00F63164">
        <w:trPr>
          <w:trHeight w:val="1837"/>
        </w:trPr>
        <w:tc>
          <w:tcPr>
            <w:tcW w:w="392" w:type="dxa"/>
            <w:vMerge/>
            <w:textDirection w:val="tbRlV"/>
          </w:tcPr>
          <w:p w14:paraId="14BB772B" w14:textId="77777777" w:rsidR="00E85AA7" w:rsidRDefault="00E85AA7" w:rsidP="00F63164">
            <w:pPr>
              <w:widowControl/>
              <w:jc w:val="left"/>
              <w:rPr>
                <w:rFonts w:ascii="Times New Roman" w:eastAsia="微软雅黑" w:hAnsi="Times New Roman"/>
                <w:b/>
                <w:bCs/>
                <w:color w:val="000000"/>
                <w:sz w:val="20"/>
                <w:szCs w:val="20"/>
              </w:rPr>
            </w:pPr>
          </w:p>
        </w:tc>
        <w:tc>
          <w:tcPr>
            <w:tcW w:w="3961" w:type="dxa"/>
            <w:textDirection w:val="tbRlV"/>
          </w:tcPr>
          <w:p w14:paraId="76D777D9"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The efficacy showed   statistically significant difference. About 98-100% planned expansion amount was achieved at the coronal level and between 85-90% at the gingival level</w:t>
            </w:r>
          </w:p>
          <w:p w14:paraId="431DA7C2" w14:textId="77777777" w:rsidR="00E85AA7" w:rsidRDefault="00E85AA7" w:rsidP="00F63164">
            <w:pPr>
              <w:widowControl/>
              <w:jc w:val="left"/>
              <w:rPr>
                <w:rFonts w:ascii="Times New Roman" w:eastAsia="微软雅黑" w:hAnsi="Times New Roman"/>
                <w:sz w:val="20"/>
                <w:szCs w:val="20"/>
              </w:rPr>
            </w:pPr>
          </w:p>
        </w:tc>
        <w:tc>
          <w:tcPr>
            <w:tcW w:w="2661" w:type="dxa"/>
            <w:textDirection w:val="tbRlV"/>
          </w:tcPr>
          <w:p w14:paraId="63B994EB"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The largest undercorrection: for intermolar width at the gingival margins (2.9 mm) and for intercanine width at the gingival margins (3.7 mm)</w:t>
            </w:r>
          </w:p>
          <w:p w14:paraId="6192D43C" w14:textId="77777777" w:rsidR="00E85AA7" w:rsidRDefault="00E85AA7" w:rsidP="00F63164">
            <w:pPr>
              <w:widowControl/>
              <w:jc w:val="left"/>
              <w:rPr>
                <w:rFonts w:ascii="Times New Roman" w:eastAsia="微软雅黑" w:hAnsi="Times New Roman"/>
                <w:sz w:val="20"/>
                <w:szCs w:val="20"/>
              </w:rPr>
            </w:pPr>
          </w:p>
        </w:tc>
        <w:tc>
          <w:tcPr>
            <w:tcW w:w="2551" w:type="dxa"/>
            <w:textDirection w:val="tbRlV"/>
          </w:tcPr>
          <w:p w14:paraId="58E4EBF8"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 xml:space="preserve">A statistically significant difference between pretreatment values and final outcomes. The greatest increase was detected at the first and second </w:t>
            </w:r>
            <w:proofErr w:type="gramStart"/>
            <w:r>
              <w:rPr>
                <w:rFonts w:ascii="Times New Roman" w:eastAsia="微软雅黑" w:hAnsi="Times New Roman"/>
                <w:sz w:val="20"/>
                <w:szCs w:val="20"/>
              </w:rPr>
              <w:t>premolars  A</w:t>
            </w:r>
            <w:proofErr w:type="gramEnd"/>
            <w:r>
              <w:rPr>
                <w:rFonts w:ascii="Times New Roman" w:eastAsia="微软雅黑" w:hAnsi="Times New Roman"/>
                <w:sz w:val="20"/>
                <w:szCs w:val="20"/>
              </w:rPr>
              <w:t xml:space="preserve"> decreasing expansion gradient was observed moving from the anterior to posterior part of the arch.</w:t>
            </w:r>
          </w:p>
          <w:p w14:paraId="613D71B1" w14:textId="77777777" w:rsidR="00E85AA7" w:rsidRDefault="00E85AA7" w:rsidP="00F63164">
            <w:pPr>
              <w:widowControl/>
              <w:jc w:val="left"/>
              <w:rPr>
                <w:rFonts w:ascii="Times New Roman" w:eastAsia="微软雅黑" w:hAnsi="Times New Roman"/>
                <w:sz w:val="20"/>
                <w:szCs w:val="20"/>
              </w:rPr>
            </w:pPr>
          </w:p>
        </w:tc>
        <w:tc>
          <w:tcPr>
            <w:tcW w:w="425" w:type="dxa"/>
            <w:textDirection w:val="tbRlV"/>
          </w:tcPr>
          <w:p w14:paraId="0D3F8306"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Results</w:t>
            </w:r>
          </w:p>
          <w:p w14:paraId="589229FC" w14:textId="77777777" w:rsidR="00E85AA7" w:rsidRDefault="00E85AA7" w:rsidP="00F63164">
            <w:pPr>
              <w:widowControl/>
              <w:ind w:left="113" w:right="113"/>
              <w:jc w:val="left"/>
              <w:rPr>
                <w:rFonts w:ascii="Times New Roman" w:eastAsia="微软雅黑" w:hAnsi="Times New Roman"/>
                <w:color w:val="000000"/>
                <w:sz w:val="20"/>
                <w:szCs w:val="20"/>
              </w:rPr>
            </w:pPr>
          </w:p>
        </w:tc>
      </w:tr>
      <w:tr w:rsidR="00E85AA7" w14:paraId="02429E9A" w14:textId="77777777" w:rsidTr="00F63164">
        <w:trPr>
          <w:trHeight w:val="4042"/>
        </w:trPr>
        <w:tc>
          <w:tcPr>
            <w:tcW w:w="392" w:type="dxa"/>
            <w:vMerge/>
            <w:tcBorders>
              <w:bottom w:val="nil"/>
            </w:tcBorders>
            <w:shd w:val="clear" w:color="auto" w:fill="FBE4D5"/>
            <w:textDirection w:val="tbRlV"/>
          </w:tcPr>
          <w:p w14:paraId="0D65F884" w14:textId="77777777" w:rsidR="00E85AA7" w:rsidRDefault="00E85AA7" w:rsidP="00F63164">
            <w:pPr>
              <w:widowControl/>
              <w:jc w:val="left"/>
              <w:rPr>
                <w:rFonts w:ascii="Times New Roman" w:eastAsia="微软雅黑" w:hAnsi="Times New Roman"/>
                <w:b/>
                <w:bCs/>
                <w:color w:val="000000"/>
                <w:sz w:val="20"/>
                <w:szCs w:val="20"/>
              </w:rPr>
            </w:pPr>
          </w:p>
        </w:tc>
        <w:tc>
          <w:tcPr>
            <w:tcW w:w="3961" w:type="dxa"/>
            <w:tcBorders>
              <w:bottom w:val="nil"/>
            </w:tcBorders>
            <w:shd w:val="clear" w:color="auto" w:fill="FBE4D5"/>
            <w:textDirection w:val="tbRlV"/>
          </w:tcPr>
          <w:p w14:paraId="1BFB8CD6"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The Invisalign system aligners (SmartTrack material) offer high degree of predictability. The most predictable level of expansion was moderate, having being the lower arch more foreseeable at the gingival level than the upper arch.</w:t>
            </w:r>
          </w:p>
          <w:p w14:paraId="1C56C004" w14:textId="77777777" w:rsidR="00E85AA7" w:rsidRDefault="00E85AA7" w:rsidP="00F63164">
            <w:pPr>
              <w:widowControl/>
              <w:jc w:val="left"/>
              <w:rPr>
                <w:rFonts w:ascii="Times New Roman" w:eastAsia="微软雅黑" w:hAnsi="Times New Roman"/>
                <w:sz w:val="20"/>
                <w:szCs w:val="20"/>
              </w:rPr>
            </w:pPr>
          </w:p>
        </w:tc>
        <w:tc>
          <w:tcPr>
            <w:tcW w:w="2661" w:type="dxa"/>
            <w:tcBorders>
              <w:bottom w:val="nil"/>
            </w:tcBorders>
            <w:shd w:val="clear" w:color="auto" w:fill="FBE4D5"/>
            <w:textDirection w:val="tbRlV"/>
          </w:tcPr>
          <w:p w14:paraId="47111DDD"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45% effectiveness in achieving treatment objectives of transverse contraction or expansion. The effectiveness was generally not increased with SmartTrack compared to Ex30® material.</w:t>
            </w:r>
          </w:p>
          <w:p w14:paraId="76B37AE7" w14:textId="77777777" w:rsidR="00E85AA7" w:rsidRDefault="00E85AA7" w:rsidP="00F63164">
            <w:pPr>
              <w:widowControl/>
              <w:jc w:val="left"/>
              <w:rPr>
                <w:rFonts w:ascii="Times New Roman" w:eastAsia="微软雅黑" w:hAnsi="Times New Roman"/>
                <w:sz w:val="20"/>
                <w:szCs w:val="20"/>
              </w:rPr>
            </w:pPr>
          </w:p>
        </w:tc>
        <w:tc>
          <w:tcPr>
            <w:tcW w:w="2551" w:type="dxa"/>
            <w:tcBorders>
              <w:bottom w:val="nil"/>
            </w:tcBorders>
            <w:shd w:val="clear" w:color="auto" w:fill="FBE4D5"/>
            <w:textDirection w:val="tbRlV"/>
          </w:tcPr>
          <w:p w14:paraId="5E7EE508"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A progressive reduction in the expansion rate from the canine to the posterior regions, with the greatest net increase at the premolars. The Invisalign system can increase arch width by increasing the buccal tipping of maxillary teeth.</w:t>
            </w:r>
          </w:p>
          <w:p w14:paraId="45253A26" w14:textId="77777777" w:rsidR="00E85AA7" w:rsidRDefault="00E85AA7" w:rsidP="00F63164">
            <w:pPr>
              <w:widowControl/>
              <w:jc w:val="left"/>
              <w:rPr>
                <w:rFonts w:ascii="Times New Roman" w:eastAsia="微软雅黑" w:hAnsi="Times New Roman"/>
                <w:sz w:val="20"/>
                <w:szCs w:val="20"/>
              </w:rPr>
            </w:pPr>
          </w:p>
        </w:tc>
        <w:tc>
          <w:tcPr>
            <w:tcW w:w="425" w:type="dxa"/>
            <w:tcBorders>
              <w:bottom w:val="nil"/>
            </w:tcBorders>
            <w:shd w:val="clear" w:color="auto" w:fill="FBE4D5"/>
            <w:textDirection w:val="tbRlV"/>
          </w:tcPr>
          <w:p w14:paraId="4034A044"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Conclusion</w:t>
            </w:r>
          </w:p>
          <w:p w14:paraId="3DF53016" w14:textId="77777777" w:rsidR="00E85AA7" w:rsidRDefault="00E85AA7" w:rsidP="00F63164">
            <w:pPr>
              <w:widowControl/>
              <w:ind w:left="113" w:right="113"/>
              <w:jc w:val="left"/>
              <w:rPr>
                <w:rFonts w:ascii="Times New Roman" w:eastAsia="微软雅黑" w:hAnsi="Times New Roman"/>
                <w:color w:val="000000"/>
                <w:sz w:val="20"/>
                <w:szCs w:val="20"/>
              </w:rPr>
            </w:pPr>
          </w:p>
        </w:tc>
      </w:tr>
      <w:tr w:rsidR="00E85AA7" w14:paraId="3329AA0D" w14:textId="77777777" w:rsidTr="00F63164">
        <w:trPr>
          <w:trHeight w:val="1266"/>
        </w:trPr>
        <w:tc>
          <w:tcPr>
            <w:tcW w:w="392" w:type="dxa"/>
            <w:vMerge w:val="restart"/>
            <w:tcBorders>
              <w:top w:val="nil"/>
              <w:bottom w:val="nil"/>
            </w:tcBorders>
            <w:textDirection w:val="tbRlV"/>
          </w:tcPr>
          <w:p w14:paraId="50CB2EEB" w14:textId="77777777" w:rsidR="00E85AA7" w:rsidRDefault="00E85AA7" w:rsidP="00F63164">
            <w:pPr>
              <w:widowControl/>
              <w:jc w:val="left"/>
              <w:rPr>
                <w:rFonts w:ascii="Times New Roman" w:eastAsia="微软雅黑" w:hAnsi="Times New Roman"/>
                <w:b/>
                <w:bCs/>
                <w:sz w:val="20"/>
                <w:szCs w:val="20"/>
              </w:rPr>
            </w:pPr>
            <w:r>
              <w:rPr>
                <w:rFonts w:ascii="Times New Roman" w:eastAsia="微软雅黑" w:hAnsi="Times New Roman"/>
                <w:b/>
                <w:bCs/>
                <w:color w:val="000000"/>
                <w:sz w:val="20"/>
                <w:szCs w:val="20"/>
              </w:rPr>
              <w:lastRenderedPageBreak/>
              <w:t xml:space="preserve">F, female; M, male; </w:t>
            </w:r>
            <w:r>
              <w:rPr>
                <w:rFonts w:ascii="Times New Roman" w:eastAsia="微软雅黑" w:hAnsi="Times New Roman" w:hint="eastAsia"/>
                <w:b/>
                <w:bCs/>
                <w:color w:val="000000"/>
                <w:sz w:val="20"/>
                <w:szCs w:val="20"/>
              </w:rPr>
              <w:t>I</w:t>
            </w:r>
            <w:r>
              <w:rPr>
                <w:rFonts w:ascii="Times New Roman" w:eastAsia="微软雅黑" w:hAnsi="Times New Roman"/>
                <w:b/>
                <w:bCs/>
                <w:color w:val="000000"/>
                <w:sz w:val="20"/>
                <w:szCs w:val="20"/>
              </w:rPr>
              <w:t>PR, interproximal reduction</w:t>
            </w:r>
          </w:p>
        </w:tc>
        <w:tc>
          <w:tcPr>
            <w:tcW w:w="3961" w:type="dxa"/>
            <w:tcBorders>
              <w:top w:val="nil"/>
            </w:tcBorders>
            <w:textDirection w:val="tbRlV"/>
          </w:tcPr>
          <w:p w14:paraId="1DD3D753" w14:textId="77777777" w:rsidR="00E85AA7" w:rsidRDefault="00E85AA7" w:rsidP="00F63164">
            <w:pPr>
              <w:widowControl/>
              <w:jc w:val="left"/>
              <w:rPr>
                <w:rFonts w:ascii="Times New Roman" w:hAnsi="Times New Roman"/>
                <w:kern w:val="0"/>
                <w:sz w:val="20"/>
                <w:szCs w:val="20"/>
              </w:rPr>
            </w:pPr>
            <w:r>
              <w:rPr>
                <w:rFonts w:ascii="Times New Roman" w:hAnsi="Times New Roman"/>
                <w:sz w:val="20"/>
                <w:szCs w:val="20"/>
              </w:rPr>
              <w:t>Tien et al.</w:t>
            </w:r>
            <w:r>
              <w:rPr>
                <w:rFonts w:ascii="Times New Roman" w:hAnsi="Times New Roman"/>
                <w:sz w:val="20"/>
                <w:szCs w:val="20"/>
              </w:rPr>
              <w:fldChar w:fldCharType="begin"/>
            </w:r>
            <w:r>
              <w:rPr>
                <w:rFonts w:ascii="Times New Roman" w:hAnsi="Times New Roman"/>
                <w:sz w:val="20"/>
                <w:szCs w:val="20"/>
              </w:rPr>
              <w:instrText xml:space="preserve"> ADDIN EN.CITE </w:instrText>
            </w:r>
            <w:r>
              <w:rPr>
                <w:rFonts w:ascii="Times New Roman" w:hAnsi="Times New Roman"/>
                <w:sz w:val="20"/>
                <w:szCs w:val="20"/>
              </w:rPr>
              <w:fldChar w:fldCharType="begin"/>
            </w:r>
            <w:r>
              <w:rPr>
                <w:rFonts w:ascii="Times New Roman" w:hAnsi="Times New Roman"/>
                <w:sz w:val="20"/>
                <w:szCs w:val="20"/>
              </w:rPr>
              <w:instrText xml:space="preserve"> ADDIN EN.CITE.DATA </w:instrText>
            </w:r>
            <w:r>
              <w:rPr>
                <w:rFonts w:ascii="Times New Roman" w:hAnsi="Times New Roman"/>
                <w:sz w:val="20"/>
                <w:szCs w:val="20"/>
              </w:rPr>
              <w:fldChar w:fldCharType="end"/>
            </w:r>
            <w:r>
              <w:rPr>
                <w:rFonts w:ascii="Times New Roman" w:hAnsi="Times New Roman"/>
                <w:sz w:val="20"/>
                <w:szCs w:val="20"/>
              </w:rPr>
              <w:fldChar w:fldCharType="separate"/>
            </w:r>
            <w:r>
              <w:rPr>
                <w:rFonts w:ascii="Times New Roman" w:hAnsi="Times New Roman"/>
                <w:sz w:val="20"/>
                <w:szCs w:val="20"/>
                <w:vertAlign w:val="superscript"/>
                <w:lang w:val="en-US" w:eastAsia="zh-CN"/>
              </w:rPr>
              <w:t>[24]</w:t>
            </w:r>
            <w:r>
              <w:rPr>
                <w:rFonts w:ascii="Times New Roman" w:hAnsi="Times New Roman"/>
                <w:sz w:val="20"/>
                <w:szCs w:val="20"/>
              </w:rPr>
              <w:fldChar w:fldCharType="end"/>
            </w:r>
            <w:r>
              <w:rPr>
                <w:rFonts w:ascii="Times New Roman" w:hAnsi="Times New Roman"/>
                <w:sz w:val="20"/>
                <w:szCs w:val="20"/>
              </w:rPr>
              <w:t xml:space="preserve"> (2022)</w:t>
            </w:r>
          </w:p>
          <w:p w14:paraId="62F84F7C" w14:textId="77777777" w:rsidR="00E85AA7" w:rsidRDefault="00E85AA7" w:rsidP="00F63164">
            <w:pPr>
              <w:widowControl/>
              <w:jc w:val="left"/>
              <w:rPr>
                <w:rFonts w:ascii="Times New Roman" w:eastAsia="微软雅黑" w:hAnsi="Times New Roman"/>
                <w:color w:val="000000"/>
                <w:sz w:val="20"/>
                <w:szCs w:val="20"/>
              </w:rPr>
            </w:pPr>
          </w:p>
        </w:tc>
        <w:tc>
          <w:tcPr>
            <w:tcW w:w="2661" w:type="dxa"/>
            <w:tcBorders>
              <w:top w:val="nil"/>
            </w:tcBorders>
            <w:textDirection w:val="tbRlV"/>
          </w:tcPr>
          <w:p w14:paraId="6B0E3B0F"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Lione et al.</w:t>
            </w:r>
            <w:r>
              <w:rPr>
                <w:rFonts w:ascii="Times New Roman" w:eastAsia="微软雅黑" w:hAnsi="Times New Roman"/>
                <w:sz w:val="20"/>
                <w:szCs w:val="20"/>
              </w:rPr>
              <w:fldChar w:fldCharType="begin"/>
            </w:r>
            <w:r>
              <w:rPr>
                <w:rFonts w:ascii="Times New Roman" w:eastAsia="微软雅黑" w:hAnsi="Times New Roman"/>
                <w:sz w:val="20"/>
                <w:szCs w:val="20"/>
              </w:rPr>
              <w:instrText xml:space="preserve"> ADDIN EN.CITE &lt;EndNote&gt;&lt;Cite&gt;&lt;Author&gt;Lione&lt;/Author&gt;&lt;Year&gt;2022&lt;/Year&gt;&lt;RecNum&gt;212&lt;/RecNum&gt;&lt;DisplayText&gt;&lt;style face="superscript"&gt;[25]&lt;/style&gt;&lt;/DisplayText&gt;&lt;record&gt;&lt;rec-number&gt;212&lt;/rec-number&gt;&lt;foreign-keys&gt;&lt;key app="EN" db-id="09t5tvz5l9xermetrx05d05iexwr0fadrsea" timestamp="1669468267"&gt;212&lt;/key&gt;&lt;/foreign-keys&gt;&lt;ref-type name="Journal Article"&gt;17&lt;/ref-type&gt;&lt;contributors&gt;&lt;authors&gt;&lt;author&gt;Lione, Roberta&lt;/author&gt;&lt;author&gt;Paoloni, Valeria&lt;/author&gt;&lt;author&gt;De Razza, Francesca Chiara&lt;/author&gt;&lt;author&gt;Pavoni, Chiara&lt;/author&gt;&lt;author&gt;Cozza, Paola&lt;/author&gt;&lt;/authors&gt;&lt;/contributors&gt;&lt;auth-address&gt;Department of Systems Medicine, University of Rome Tor Vergata, 00133 Rome, Italy.&lt;/auth-address&gt;&lt;titles&gt;&lt;title&gt;Analysis of Maxillary First Molar Derotation with Invisalign Clear Aligners in Permanent Dentition&lt;/title&gt;&lt;secondary-title&gt;Life (Basel, Switzerland)&lt;/secondary-title&gt;&lt;alt-title&gt;Life (Basel)&lt;/alt-title&gt;&lt;/titles&gt;&lt;periodical&gt;&lt;full-title&gt;Life (Basel, Switzerland)&lt;/full-title&gt;&lt;abbr-1&gt;Life (Basel)&lt;/abbr-1&gt;&lt;/periodical&gt;&lt;alt-periodical&gt;&lt;full-title&gt;Life (Basel, Switzerland)&lt;/full-title&gt;&lt;abbr-1&gt;Life (Basel)&lt;/abbr-1&gt;&lt;/alt-periodical&gt;&lt;volume&gt;12&lt;/volume&gt;&lt;number&gt;10&lt;/number&gt;&lt;dates&gt;&lt;year&gt;2022&lt;/year&gt;&lt;/dates&gt;&lt;isbn&gt;2075-1729&lt;/isbn&gt;&lt;accession-num&gt;36294929&lt;/accession-num&gt;&lt;label&gt;3.251&lt;/label&gt;&lt;urls&gt;&lt;related-urls&gt;&lt;url&gt;https://pubmed.ncbi.nlm.nih.gov/36294929&lt;/url&gt;&lt;url&gt;https://mdpi-res.com/d_attachment/life/life-12-01495/article_deploy/life-12-01495-v2.pdf?version=1665720044&lt;/url&gt;&lt;/related-urls&gt;&lt;/urls&gt;&lt;electronic-resource-num&gt;10.3390/life12101495&lt;/electronic-resource-num&gt;&lt;remote-database-name&gt;PubMed&lt;/remote-database-name&gt;&lt;language&gt;eng&lt;/language&gt;&lt;/record&gt;&lt;/Cite&gt;&lt;/EndNote&gt;</w:instrText>
            </w:r>
            <w:r>
              <w:rPr>
                <w:rFonts w:ascii="Times New Roman" w:eastAsia="微软雅黑" w:hAnsi="Times New Roman"/>
                <w:sz w:val="20"/>
                <w:szCs w:val="20"/>
              </w:rPr>
              <w:fldChar w:fldCharType="separate"/>
            </w:r>
            <w:r>
              <w:rPr>
                <w:rFonts w:ascii="Times New Roman" w:eastAsia="微软雅黑" w:hAnsi="Times New Roman"/>
                <w:sz w:val="20"/>
                <w:szCs w:val="20"/>
                <w:vertAlign w:val="superscript"/>
                <w:lang w:val="en-US" w:eastAsia="zh-CN"/>
              </w:rPr>
              <w:t>[25]</w:t>
            </w:r>
            <w:r>
              <w:rPr>
                <w:rFonts w:ascii="Times New Roman" w:eastAsia="微软雅黑" w:hAnsi="Times New Roman"/>
                <w:sz w:val="20"/>
                <w:szCs w:val="20"/>
              </w:rPr>
              <w:fldChar w:fldCharType="end"/>
            </w:r>
            <w:r>
              <w:rPr>
                <w:rFonts w:ascii="Times New Roman" w:eastAsia="微软雅黑" w:hAnsi="Times New Roman"/>
                <w:sz w:val="20"/>
                <w:szCs w:val="20"/>
              </w:rPr>
              <w:t xml:space="preserve"> (2022)</w:t>
            </w:r>
          </w:p>
          <w:p w14:paraId="1BFCA7B0" w14:textId="77777777" w:rsidR="00E85AA7" w:rsidRDefault="00E85AA7" w:rsidP="00F63164">
            <w:pPr>
              <w:widowControl/>
              <w:jc w:val="left"/>
              <w:rPr>
                <w:rFonts w:ascii="Times New Roman" w:eastAsia="微软雅黑" w:hAnsi="Times New Roman"/>
                <w:sz w:val="20"/>
                <w:szCs w:val="20"/>
              </w:rPr>
            </w:pPr>
          </w:p>
        </w:tc>
        <w:tc>
          <w:tcPr>
            <w:tcW w:w="2551" w:type="dxa"/>
            <w:tcBorders>
              <w:top w:val="nil"/>
            </w:tcBorders>
            <w:textDirection w:val="tbRlV"/>
          </w:tcPr>
          <w:p w14:paraId="46B9BA84"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Goh et al.</w:t>
            </w:r>
            <w:r>
              <w:rPr>
                <w:rFonts w:ascii="Times New Roman" w:eastAsia="微软雅黑" w:hAnsi="Times New Roman"/>
                <w:sz w:val="20"/>
                <w:szCs w:val="20"/>
              </w:rPr>
              <w:fldChar w:fldCharType="begin"/>
            </w:r>
            <w:r>
              <w:rPr>
                <w:rFonts w:ascii="Times New Roman" w:eastAsia="微软雅黑" w:hAnsi="Times New Roman"/>
                <w:sz w:val="20"/>
                <w:szCs w:val="20"/>
              </w:rPr>
              <w:instrText xml:space="preserve"> ADDIN EN.CITE </w:instrText>
            </w:r>
            <w:r>
              <w:rPr>
                <w:rFonts w:ascii="Times New Roman" w:eastAsia="微软雅黑" w:hAnsi="Times New Roman"/>
                <w:sz w:val="20"/>
                <w:szCs w:val="20"/>
              </w:rPr>
              <w:fldChar w:fldCharType="begin"/>
            </w:r>
            <w:r>
              <w:rPr>
                <w:rFonts w:ascii="Times New Roman" w:eastAsia="微软雅黑" w:hAnsi="Times New Roman"/>
                <w:sz w:val="20"/>
                <w:szCs w:val="20"/>
              </w:rPr>
              <w:instrText xml:space="preserve"> ADDIN EN.CITE.DATA </w:instrText>
            </w:r>
            <w:r>
              <w:rPr>
                <w:rFonts w:ascii="Times New Roman" w:eastAsia="微软雅黑" w:hAnsi="Times New Roman"/>
                <w:sz w:val="20"/>
                <w:szCs w:val="20"/>
              </w:rPr>
              <w:fldChar w:fldCharType="end"/>
            </w:r>
            <w:r>
              <w:rPr>
                <w:rFonts w:ascii="Times New Roman" w:eastAsia="微软雅黑" w:hAnsi="Times New Roman"/>
                <w:sz w:val="20"/>
                <w:szCs w:val="20"/>
              </w:rPr>
              <w:fldChar w:fldCharType="separate"/>
            </w:r>
            <w:r>
              <w:rPr>
                <w:rFonts w:ascii="Times New Roman" w:eastAsia="微软雅黑" w:hAnsi="Times New Roman"/>
                <w:sz w:val="20"/>
                <w:szCs w:val="20"/>
                <w:vertAlign w:val="superscript"/>
                <w:lang w:val="en-US" w:eastAsia="zh-CN"/>
              </w:rPr>
              <w:t>[26]</w:t>
            </w:r>
            <w:r>
              <w:rPr>
                <w:rFonts w:ascii="Times New Roman" w:eastAsia="微软雅黑" w:hAnsi="Times New Roman"/>
                <w:sz w:val="20"/>
                <w:szCs w:val="20"/>
              </w:rPr>
              <w:fldChar w:fldCharType="end"/>
            </w:r>
            <w:r>
              <w:rPr>
                <w:rFonts w:ascii="Times New Roman" w:eastAsia="微软雅黑" w:hAnsi="Times New Roman"/>
                <w:sz w:val="20"/>
                <w:szCs w:val="20"/>
              </w:rPr>
              <w:t xml:space="preserve"> (2022)</w:t>
            </w:r>
          </w:p>
          <w:p w14:paraId="5E3540E7" w14:textId="77777777" w:rsidR="00E85AA7" w:rsidRDefault="00E85AA7" w:rsidP="00F63164">
            <w:pPr>
              <w:widowControl/>
              <w:jc w:val="left"/>
              <w:rPr>
                <w:rFonts w:ascii="Times New Roman" w:eastAsia="微软雅黑" w:hAnsi="Times New Roman"/>
                <w:sz w:val="20"/>
                <w:szCs w:val="20"/>
              </w:rPr>
            </w:pPr>
          </w:p>
        </w:tc>
        <w:tc>
          <w:tcPr>
            <w:tcW w:w="425" w:type="dxa"/>
            <w:tcBorders>
              <w:top w:val="nil"/>
            </w:tcBorders>
            <w:textDirection w:val="tbRlV"/>
          </w:tcPr>
          <w:p w14:paraId="3C07CDC9"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 xml:space="preserve">Author </w:t>
            </w:r>
          </w:p>
          <w:p w14:paraId="126E7921" w14:textId="77777777" w:rsidR="00E85AA7" w:rsidRDefault="00E85AA7" w:rsidP="00F63164">
            <w:pPr>
              <w:widowControl/>
              <w:ind w:left="113" w:right="113"/>
              <w:jc w:val="left"/>
              <w:rPr>
                <w:rFonts w:ascii="Times New Roman" w:eastAsia="微软雅黑" w:hAnsi="Times New Roman"/>
                <w:color w:val="000000"/>
                <w:sz w:val="20"/>
                <w:szCs w:val="20"/>
              </w:rPr>
            </w:pPr>
          </w:p>
        </w:tc>
      </w:tr>
      <w:tr w:rsidR="00E85AA7" w14:paraId="77B2EBEB" w14:textId="77777777" w:rsidTr="00F63164">
        <w:trPr>
          <w:trHeight w:val="1837"/>
        </w:trPr>
        <w:tc>
          <w:tcPr>
            <w:tcW w:w="392" w:type="dxa"/>
            <w:vMerge/>
            <w:tcBorders>
              <w:top w:val="nil"/>
              <w:bottom w:val="nil"/>
            </w:tcBorders>
            <w:shd w:val="clear" w:color="auto" w:fill="FBE4D5"/>
            <w:textDirection w:val="tbRlV"/>
          </w:tcPr>
          <w:p w14:paraId="606D7E00" w14:textId="77777777" w:rsidR="00E85AA7" w:rsidRDefault="00E85AA7" w:rsidP="00F63164">
            <w:pPr>
              <w:widowControl/>
              <w:jc w:val="left"/>
              <w:rPr>
                <w:rFonts w:ascii="Times New Roman" w:eastAsia="微软雅黑" w:hAnsi="Times New Roman"/>
                <w:b/>
                <w:bCs/>
                <w:sz w:val="20"/>
                <w:szCs w:val="20"/>
              </w:rPr>
            </w:pPr>
          </w:p>
        </w:tc>
        <w:tc>
          <w:tcPr>
            <w:tcW w:w="3961" w:type="dxa"/>
            <w:shd w:val="clear" w:color="auto" w:fill="FBE4D5"/>
            <w:textDirection w:val="tbRlV"/>
          </w:tcPr>
          <w:p w14:paraId="6387B890"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The predictability of transverse changes with Invisalign</w:t>
            </w:r>
          </w:p>
          <w:p w14:paraId="68C06219" w14:textId="77777777" w:rsidR="00E85AA7" w:rsidRDefault="00E85AA7" w:rsidP="00F63164">
            <w:pPr>
              <w:widowControl/>
              <w:jc w:val="left"/>
              <w:rPr>
                <w:rFonts w:ascii="Times New Roman" w:eastAsia="微软雅黑" w:hAnsi="Times New Roman"/>
                <w:color w:val="000000"/>
                <w:sz w:val="20"/>
                <w:szCs w:val="20"/>
              </w:rPr>
            </w:pPr>
          </w:p>
        </w:tc>
        <w:tc>
          <w:tcPr>
            <w:tcW w:w="2661" w:type="dxa"/>
            <w:shd w:val="clear" w:color="auto" w:fill="FBE4D5"/>
            <w:textDirection w:val="tbRlV"/>
          </w:tcPr>
          <w:p w14:paraId="3780479A"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Analysis of Maxillary First Molar Derotation with Invisalign Clear Aligners in Permanent Dentition</w:t>
            </w:r>
          </w:p>
          <w:p w14:paraId="4F47B5B6" w14:textId="77777777" w:rsidR="00E85AA7" w:rsidRDefault="00E85AA7" w:rsidP="00F63164">
            <w:pPr>
              <w:widowControl/>
              <w:jc w:val="left"/>
              <w:rPr>
                <w:rFonts w:ascii="Times New Roman" w:eastAsia="微软雅黑" w:hAnsi="Times New Roman"/>
                <w:sz w:val="20"/>
                <w:szCs w:val="20"/>
              </w:rPr>
            </w:pPr>
          </w:p>
        </w:tc>
        <w:tc>
          <w:tcPr>
            <w:tcW w:w="2551" w:type="dxa"/>
            <w:shd w:val="clear" w:color="auto" w:fill="FBE4D5"/>
            <w:textDirection w:val="tbRlV"/>
          </w:tcPr>
          <w:p w14:paraId="0D12EDFF"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The predictability of the mandibular curve of Wilson, buccolingual crown inclination, and transverse expansion expression with Invisalign treatment</w:t>
            </w:r>
          </w:p>
          <w:p w14:paraId="2A41122D" w14:textId="77777777" w:rsidR="00E85AA7" w:rsidRDefault="00E85AA7" w:rsidP="00F63164">
            <w:pPr>
              <w:widowControl/>
              <w:jc w:val="left"/>
              <w:rPr>
                <w:rFonts w:ascii="Times New Roman" w:eastAsia="微软雅黑" w:hAnsi="Times New Roman"/>
                <w:sz w:val="20"/>
                <w:szCs w:val="20"/>
              </w:rPr>
            </w:pPr>
          </w:p>
        </w:tc>
        <w:tc>
          <w:tcPr>
            <w:tcW w:w="425" w:type="dxa"/>
            <w:shd w:val="clear" w:color="auto" w:fill="FBE4D5"/>
            <w:textDirection w:val="tbRlV"/>
          </w:tcPr>
          <w:p w14:paraId="1D630737"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Title</w:t>
            </w:r>
          </w:p>
          <w:p w14:paraId="7B188BAA" w14:textId="77777777" w:rsidR="00E85AA7" w:rsidRDefault="00E85AA7" w:rsidP="00F63164">
            <w:pPr>
              <w:widowControl/>
              <w:ind w:left="113" w:right="113"/>
              <w:jc w:val="left"/>
              <w:rPr>
                <w:rFonts w:ascii="Times New Roman" w:eastAsia="微软雅黑" w:hAnsi="Times New Roman"/>
                <w:color w:val="000000"/>
                <w:sz w:val="20"/>
                <w:szCs w:val="20"/>
              </w:rPr>
            </w:pPr>
          </w:p>
        </w:tc>
      </w:tr>
      <w:tr w:rsidR="00E85AA7" w14:paraId="2800CBAE" w14:textId="77777777" w:rsidTr="00F63164">
        <w:trPr>
          <w:trHeight w:val="1125"/>
        </w:trPr>
        <w:tc>
          <w:tcPr>
            <w:tcW w:w="392" w:type="dxa"/>
            <w:vMerge/>
            <w:tcBorders>
              <w:top w:val="nil"/>
              <w:bottom w:val="nil"/>
            </w:tcBorders>
            <w:textDirection w:val="tbRlV"/>
          </w:tcPr>
          <w:p w14:paraId="26119D9E" w14:textId="77777777" w:rsidR="00E85AA7" w:rsidRDefault="00E85AA7" w:rsidP="00F63164">
            <w:pPr>
              <w:widowControl/>
              <w:jc w:val="left"/>
              <w:rPr>
                <w:rFonts w:ascii="Times New Roman" w:eastAsia="微软雅黑" w:hAnsi="Times New Roman"/>
                <w:b/>
                <w:bCs/>
                <w:sz w:val="20"/>
                <w:szCs w:val="20"/>
              </w:rPr>
            </w:pPr>
          </w:p>
        </w:tc>
        <w:tc>
          <w:tcPr>
            <w:tcW w:w="3961" w:type="dxa"/>
            <w:textDirection w:val="tbRlV"/>
          </w:tcPr>
          <w:p w14:paraId="0CD88AFF"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 xml:space="preserve">Retrospective </w:t>
            </w:r>
          </w:p>
          <w:p w14:paraId="6A590EE2" w14:textId="77777777" w:rsidR="00E85AA7" w:rsidRDefault="00E85AA7" w:rsidP="00F63164">
            <w:pPr>
              <w:widowControl/>
              <w:jc w:val="left"/>
              <w:rPr>
                <w:rFonts w:ascii="Times New Roman" w:eastAsia="微软雅黑" w:hAnsi="Times New Roman"/>
                <w:color w:val="000000"/>
                <w:sz w:val="20"/>
                <w:szCs w:val="20"/>
              </w:rPr>
            </w:pPr>
          </w:p>
        </w:tc>
        <w:tc>
          <w:tcPr>
            <w:tcW w:w="2661" w:type="dxa"/>
            <w:textDirection w:val="tbRlV"/>
          </w:tcPr>
          <w:p w14:paraId="759CE16B"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Prospe</w:t>
            </w:r>
            <w:r>
              <w:rPr>
                <w:rFonts w:ascii="Times New Roman" w:eastAsia="微软雅黑" w:hAnsi="Times New Roman" w:hint="eastAsia"/>
                <w:sz w:val="20"/>
                <w:szCs w:val="20"/>
              </w:rPr>
              <w:t>ct</w:t>
            </w:r>
            <w:r>
              <w:rPr>
                <w:rFonts w:ascii="Times New Roman" w:eastAsia="微软雅黑" w:hAnsi="Times New Roman"/>
                <w:sz w:val="20"/>
                <w:szCs w:val="20"/>
              </w:rPr>
              <w:t>ive</w:t>
            </w:r>
          </w:p>
          <w:p w14:paraId="1E80C69A" w14:textId="77777777" w:rsidR="00E85AA7" w:rsidRDefault="00E85AA7" w:rsidP="00F63164">
            <w:pPr>
              <w:widowControl/>
              <w:jc w:val="left"/>
              <w:rPr>
                <w:rFonts w:ascii="Times New Roman" w:eastAsia="微软雅黑" w:hAnsi="Times New Roman"/>
                <w:sz w:val="20"/>
                <w:szCs w:val="20"/>
              </w:rPr>
            </w:pPr>
          </w:p>
        </w:tc>
        <w:tc>
          <w:tcPr>
            <w:tcW w:w="2551" w:type="dxa"/>
            <w:textDirection w:val="tbRlV"/>
          </w:tcPr>
          <w:p w14:paraId="4D4FB7D1"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 xml:space="preserve">Retrospective </w:t>
            </w:r>
          </w:p>
          <w:p w14:paraId="064BBDC6" w14:textId="77777777" w:rsidR="00E85AA7" w:rsidRDefault="00E85AA7" w:rsidP="00F63164">
            <w:pPr>
              <w:widowControl/>
              <w:jc w:val="left"/>
              <w:rPr>
                <w:rFonts w:ascii="Times New Roman" w:eastAsia="微软雅黑" w:hAnsi="Times New Roman"/>
                <w:sz w:val="20"/>
                <w:szCs w:val="20"/>
              </w:rPr>
            </w:pPr>
          </w:p>
        </w:tc>
        <w:tc>
          <w:tcPr>
            <w:tcW w:w="425" w:type="dxa"/>
            <w:textDirection w:val="tbRlV"/>
          </w:tcPr>
          <w:p w14:paraId="22BBF72D"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Type</w:t>
            </w:r>
          </w:p>
          <w:p w14:paraId="20062D33" w14:textId="77777777" w:rsidR="00E85AA7" w:rsidRDefault="00E85AA7" w:rsidP="00F63164">
            <w:pPr>
              <w:widowControl/>
              <w:ind w:left="113" w:right="113"/>
              <w:jc w:val="left"/>
              <w:rPr>
                <w:rFonts w:ascii="Times New Roman" w:eastAsia="微软雅黑" w:hAnsi="Times New Roman"/>
                <w:color w:val="000000"/>
                <w:sz w:val="20"/>
                <w:szCs w:val="20"/>
              </w:rPr>
            </w:pPr>
          </w:p>
        </w:tc>
      </w:tr>
      <w:tr w:rsidR="00E85AA7" w14:paraId="392BC45D" w14:textId="77777777" w:rsidTr="00F63164">
        <w:trPr>
          <w:trHeight w:val="1125"/>
        </w:trPr>
        <w:tc>
          <w:tcPr>
            <w:tcW w:w="392" w:type="dxa"/>
            <w:vMerge/>
            <w:tcBorders>
              <w:top w:val="nil"/>
              <w:bottom w:val="nil"/>
            </w:tcBorders>
            <w:shd w:val="clear" w:color="auto" w:fill="FBE4D5"/>
            <w:textDirection w:val="tbRlV"/>
          </w:tcPr>
          <w:p w14:paraId="419296FF" w14:textId="77777777" w:rsidR="00E85AA7" w:rsidRDefault="00E85AA7" w:rsidP="00F63164">
            <w:pPr>
              <w:widowControl/>
              <w:jc w:val="left"/>
              <w:rPr>
                <w:rFonts w:ascii="Times New Roman" w:eastAsia="微软雅黑" w:hAnsi="Times New Roman"/>
                <w:b/>
                <w:bCs/>
                <w:color w:val="212121"/>
                <w:sz w:val="20"/>
                <w:szCs w:val="20"/>
              </w:rPr>
            </w:pPr>
          </w:p>
        </w:tc>
        <w:tc>
          <w:tcPr>
            <w:tcW w:w="3961" w:type="dxa"/>
            <w:shd w:val="clear" w:color="auto" w:fill="FBE4D5"/>
            <w:textDirection w:val="tbRlV"/>
          </w:tcPr>
          <w:p w14:paraId="2FB784BD" w14:textId="77777777" w:rsidR="00E85AA7" w:rsidRDefault="00E85AA7" w:rsidP="00F63164">
            <w:pPr>
              <w:widowControl/>
              <w:jc w:val="left"/>
              <w:rPr>
                <w:rFonts w:ascii="Times New Roman" w:eastAsia="微软雅黑" w:hAnsi="Times New Roman"/>
                <w:color w:val="212121"/>
                <w:sz w:val="20"/>
                <w:szCs w:val="20"/>
              </w:rPr>
            </w:pPr>
            <w:r>
              <w:rPr>
                <w:rFonts w:ascii="Times New Roman" w:eastAsia="微软雅黑" w:hAnsi="Times New Roman"/>
                <w:color w:val="212121"/>
                <w:sz w:val="20"/>
                <w:szCs w:val="20"/>
              </w:rPr>
              <w:t>57 adult patients </w:t>
            </w:r>
          </w:p>
          <w:p w14:paraId="2E6C00CE" w14:textId="77777777" w:rsidR="00E85AA7" w:rsidRDefault="00E85AA7" w:rsidP="00F63164">
            <w:pPr>
              <w:widowControl/>
              <w:jc w:val="left"/>
              <w:rPr>
                <w:rFonts w:ascii="Times New Roman" w:eastAsia="微软雅黑" w:hAnsi="Times New Roman"/>
                <w:color w:val="000000"/>
                <w:sz w:val="20"/>
                <w:szCs w:val="20"/>
              </w:rPr>
            </w:pPr>
          </w:p>
        </w:tc>
        <w:tc>
          <w:tcPr>
            <w:tcW w:w="2661" w:type="dxa"/>
            <w:shd w:val="clear" w:color="auto" w:fill="FBE4D5"/>
            <w:textDirection w:val="tbRlV"/>
          </w:tcPr>
          <w:p w14:paraId="0067B6E2"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 xml:space="preserve">40 patients (20 F, 20M);22.4 </w:t>
            </w:r>
            <w:r>
              <w:rPr>
                <w:rFonts w:ascii="Times New Roman" w:eastAsia="微软雅黑" w:hAnsi="Times New Roman"/>
                <w:i/>
                <w:iCs/>
                <w:color w:val="000000"/>
                <w:sz w:val="20"/>
                <w:szCs w:val="20"/>
              </w:rPr>
              <w:t xml:space="preserve">± </w:t>
            </w:r>
            <w:r>
              <w:rPr>
                <w:rFonts w:ascii="Times New Roman" w:eastAsia="微软雅黑" w:hAnsi="Times New Roman"/>
                <w:color w:val="000000"/>
                <w:sz w:val="20"/>
                <w:szCs w:val="20"/>
              </w:rPr>
              <w:t xml:space="preserve">3.9 years </w:t>
            </w:r>
          </w:p>
          <w:p w14:paraId="25DF99A0" w14:textId="77777777" w:rsidR="00E85AA7" w:rsidRDefault="00E85AA7" w:rsidP="00F63164">
            <w:pPr>
              <w:widowControl/>
              <w:jc w:val="left"/>
              <w:rPr>
                <w:rFonts w:ascii="Times New Roman" w:eastAsia="微软雅黑" w:hAnsi="Times New Roman"/>
                <w:sz w:val="20"/>
                <w:szCs w:val="20"/>
              </w:rPr>
            </w:pPr>
          </w:p>
        </w:tc>
        <w:tc>
          <w:tcPr>
            <w:tcW w:w="2551" w:type="dxa"/>
            <w:shd w:val="clear" w:color="auto" w:fill="FBE4D5"/>
            <w:textDirection w:val="tbRlV"/>
          </w:tcPr>
          <w:p w14:paraId="0E155856"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42 patients</w:t>
            </w:r>
          </w:p>
          <w:p w14:paraId="63EA887F" w14:textId="77777777" w:rsidR="00E85AA7" w:rsidRDefault="00E85AA7" w:rsidP="00F63164">
            <w:pPr>
              <w:widowControl/>
              <w:jc w:val="left"/>
              <w:rPr>
                <w:rFonts w:ascii="Times New Roman" w:eastAsia="微软雅黑" w:hAnsi="Times New Roman"/>
                <w:sz w:val="20"/>
                <w:szCs w:val="20"/>
              </w:rPr>
            </w:pPr>
          </w:p>
        </w:tc>
        <w:tc>
          <w:tcPr>
            <w:tcW w:w="425" w:type="dxa"/>
            <w:shd w:val="clear" w:color="auto" w:fill="FBE4D5"/>
            <w:textDirection w:val="tbRlV"/>
          </w:tcPr>
          <w:p w14:paraId="37836540"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Population</w:t>
            </w:r>
          </w:p>
          <w:p w14:paraId="46D01E6B" w14:textId="77777777" w:rsidR="00E85AA7" w:rsidRDefault="00E85AA7" w:rsidP="00F63164">
            <w:pPr>
              <w:widowControl/>
              <w:ind w:left="113" w:right="113"/>
              <w:jc w:val="left"/>
              <w:rPr>
                <w:rFonts w:ascii="Times New Roman" w:eastAsia="微软雅黑" w:hAnsi="Times New Roman"/>
                <w:color w:val="000000"/>
                <w:sz w:val="20"/>
                <w:szCs w:val="20"/>
              </w:rPr>
            </w:pPr>
          </w:p>
        </w:tc>
      </w:tr>
      <w:tr w:rsidR="00E85AA7" w14:paraId="263111F9" w14:textId="77777777" w:rsidTr="00F63164">
        <w:trPr>
          <w:trHeight w:val="1553"/>
        </w:trPr>
        <w:tc>
          <w:tcPr>
            <w:tcW w:w="392" w:type="dxa"/>
            <w:vMerge/>
            <w:tcBorders>
              <w:top w:val="nil"/>
              <w:bottom w:val="nil"/>
            </w:tcBorders>
            <w:textDirection w:val="tbRlV"/>
          </w:tcPr>
          <w:p w14:paraId="5F19074A" w14:textId="77777777" w:rsidR="00E85AA7" w:rsidRDefault="00E85AA7" w:rsidP="00F63164">
            <w:pPr>
              <w:widowControl/>
              <w:jc w:val="left"/>
              <w:rPr>
                <w:rFonts w:ascii="Times New Roman" w:eastAsia="微软雅黑" w:hAnsi="Times New Roman"/>
                <w:b/>
                <w:bCs/>
                <w:color w:val="212121"/>
                <w:sz w:val="20"/>
                <w:szCs w:val="20"/>
              </w:rPr>
            </w:pPr>
          </w:p>
        </w:tc>
        <w:tc>
          <w:tcPr>
            <w:tcW w:w="3961" w:type="dxa"/>
            <w:textDirection w:val="tbRlV"/>
          </w:tcPr>
          <w:p w14:paraId="5E39841D" w14:textId="77777777" w:rsidR="00E85AA7" w:rsidRDefault="00E85AA7" w:rsidP="00F63164">
            <w:pPr>
              <w:widowControl/>
              <w:jc w:val="left"/>
              <w:rPr>
                <w:rFonts w:ascii="Times New Roman" w:eastAsia="微软雅黑" w:hAnsi="Times New Roman"/>
                <w:color w:val="212121"/>
                <w:sz w:val="20"/>
                <w:szCs w:val="20"/>
              </w:rPr>
            </w:pPr>
            <w:r>
              <w:rPr>
                <w:rFonts w:ascii="Times New Roman" w:eastAsia="微软雅黑" w:hAnsi="Times New Roman"/>
                <w:color w:val="212121"/>
                <w:sz w:val="20"/>
                <w:szCs w:val="20"/>
              </w:rPr>
              <w:t>Planned expansion of at least 3 mm with Invisalign</w:t>
            </w:r>
          </w:p>
          <w:p w14:paraId="5F8E2B65" w14:textId="77777777" w:rsidR="00E85AA7" w:rsidRDefault="00E85AA7" w:rsidP="00F63164">
            <w:pPr>
              <w:widowControl/>
              <w:jc w:val="left"/>
              <w:rPr>
                <w:rFonts w:ascii="Times New Roman" w:eastAsia="微软雅黑" w:hAnsi="Times New Roman"/>
                <w:color w:val="000000"/>
                <w:sz w:val="20"/>
                <w:szCs w:val="20"/>
              </w:rPr>
            </w:pPr>
          </w:p>
        </w:tc>
        <w:tc>
          <w:tcPr>
            <w:tcW w:w="2661" w:type="dxa"/>
            <w:textDirection w:val="tbRlV"/>
          </w:tcPr>
          <w:p w14:paraId="6C2399E1"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Class II patients treated with clear aligners; nonextraction</w:t>
            </w:r>
          </w:p>
          <w:p w14:paraId="2CD344ED" w14:textId="77777777" w:rsidR="00E85AA7" w:rsidRDefault="00E85AA7" w:rsidP="00F63164">
            <w:pPr>
              <w:widowControl/>
              <w:jc w:val="left"/>
              <w:rPr>
                <w:rFonts w:ascii="Times New Roman" w:eastAsia="微软雅黑" w:hAnsi="Times New Roman"/>
                <w:sz w:val="20"/>
                <w:szCs w:val="20"/>
              </w:rPr>
            </w:pPr>
          </w:p>
        </w:tc>
        <w:tc>
          <w:tcPr>
            <w:tcW w:w="2551" w:type="dxa"/>
            <w:textDirection w:val="tbRlV"/>
          </w:tcPr>
          <w:p w14:paraId="4007F910"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Invisalign aligners without intermaxillary elastics, bite ramps, or auxiliaries. Nonextraction</w:t>
            </w:r>
          </w:p>
        </w:tc>
        <w:tc>
          <w:tcPr>
            <w:tcW w:w="425" w:type="dxa"/>
            <w:textDirection w:val="tbRlV"/>
          </w:tcPr>
          <w:p w14:paraId="0CEAA0CD"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 xml:space="preserve">Intervention </w:t>
            </w:r>
          </w:p>
          <w:p w14:paraId="20277E9D" w14:textId="77777777" w:rsidR="00E85AA7" w:rsidRDefault="00E85AA7" w:rsidP="00F63164">
            <w:pPr>
              <w:widowControl/>
              <w:ind w:left="113" w:right="113"/>
              <w:jc w:val="left"/>
              <w:rPr>
                <w:rFonts w:ascii="Times New Roman" w:eastAsia="微软雅黑" w:hAnsi="Times New Roman"/>
                <w:color w:val="000000"/>
                <w:sz w:val="20"/>
                <w:szCs w:val="20"/>
              </w:rPr>
            </w:pPr>
          </w:p>
        </w:tc>
      </w:tr>
      <w:tr w:rsidR="00E85AA7" w14:paraId="2ABCDC01" w14:textId="77777777" w:rsidTr="00F63164">
        <w:trPr>
          <w:trHeight w:val="1550"/>
        </w:trPr>
        <w:tc>
          <w:tcPr>
            <w:tcW w:w="392" w:type="dxa"/>
            <w:vMerge/>
            <w:tcBorders>
              <w:top w:val="nil"/>
              <w:bottom w:val="nil"/>
            </w:tcBorders>
            <w:shd w:val="clear" w:color="auto" w:fill="FBE4D5"/>
            <w:textDirection w:val="tbRlV"/>
          </w:tcPr>
          <w:p w14:paraId="438B3521" w14:textId="77777777" w:rsidR="00E85AA7" w:rsidRDefault="00E85AA7" w:rsidP="00F63164">
            <w:pPr>
              <w:widowControl/>
              <w:jc w:val="left"/>
              <w:rPr>
                <w:rFonts w:ascii="Times New Roman" w:eastAsia="微软雅黑" w:hAnsi="Times New Roman"/>
                <w:b/>
                <w:bCs/>
                <w:color w:val="212121"/>
                <w:sz w:val="20"/>
                <w:szCs w:val="20"/>
              </w:rPr>
            </w:pPr>
          </w:p>
        </w:tc>
        <w:tc>
          <w:tcPr>
            <w:tcW w:w="3961" w:type="dxa"/>
            <w:shd w:val="clear" w:color="auto" w:fill="FBE4D5"/>
            <w:textDirection w:val="tbRlV"/>
          </w:tcPr>
          <w:p w14:paraId="4E820B41" w14:textId="77777777" w:rsidR="00E85AA7" w:rsidRDefault="00E85AA7" w:rsidP="00F63164">
            <w:pPr>
              <w:widowControl/>
              <w:jc w:val="left"/>
              <w:rPr>
                <w:rFonts w:ascii="Times New Roman" w:eastAsia="微软雅黑" w:hAnsi="Times New Roman"/>
                <w:color w:val="212121"/>
                <w:sz w:val="20"/>
                <w:szCs w:val="20"/>
              </w:rPr>
            </w:pPr>
            <w:r>
              <w:rPr>
                <w:rFonts w:ascii="Times New Roman" w:eastAsia="微软雅黑" w:hAnsi="Times New Roman"/>
                <w:color w:val="212121"/>
                <w:sz w:val="20"/>
                <w:szCs w:val="20"/>
              </w:rPr>
              <w:t>Pretreatment, predicted, and posttreatment models were compared</w:t>
            </w:r>
          </w:p>
          <w:p w14:paraId="6DF69567" w14:textId="77777777" w:rsidR="00E85AA7" w:rsidRDefault="00E85AA7" w:rsidP="00F63164">
            <w:pPr>
              <w:widowControl/>
              <w:jc w:val="left"/>
              <w:rPr>
                <w:rFonts w:ascii="Times New Roman" w:eastAsia="微软雅黑" w:hAnsi="Times New Roman"/>
                <w:color w:val="000000"/>
                <w:sz w:val="20"/>
                <w:szCs w:val="20"/>
              </w:rPr>
            </w:pPr>
          </w:p>
        </w:tc>
        <w:tc>
          <w:tcPr>
            <w:tcW w:w="2661" w:type="dxa"/>
            <w:shd w:val="clear" w:color="auto" w:fill="FBE4D5"/>
            <w:textDirection w:val="tbRlV"/>
          </w:tcPr>
          <w:p w14:paraId="27CE73A0"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 xml:space="preserve">The pretreatment, </w:t>
            </w:r>
            <w:proofErr w:type="gramStart"/>
            <w:r>
              <w:rPr>
                <w:rFonts w:ascii="Times New Roman" w:eastAsia="微软雅黑" w:hAnsi="Times New Roman"/>
                <w:sz w:val="20"/>
                <w:szCs w:val="20"/>
              </w:rPr>
              <w:t>posttreatment  and</w:t>
            </w:r>
            <w:proofErr w:type="gramEnd"/>
            <w:r>
              <w:rPr>
                <w:rFonts w:ascii="Times New Roman" w:eastAsia="微软雅黑" w:hAnsi="Times New Roman"/>
                <w:sz w:val="20"/>
                <w:szCs w:val="20"/>
              </w:rPr>
              <w:t xml:space="preserve"> final ClinCheck model were compared </w:t>
            </w:r>
          </w:p>
          <w:p w14:paraId="3636877C" w14:textId="77777777" w:rsidR="00E85AA7" w:rsidRDefault="00E85AA7" w:rsidP="00F63164">
            <w:pPr>
              <w:widowControl/>
              <w:jc w:val="left"/>
              <w:rPr>
                <w:rFonts w:ascii="Times New Roman" w:eastAsia="微软雅黑" w:hAnsi="Times New Roman"/>
                <w:sz w:val="20"/>
                <w:szCs w:val="20"/>
              </w:rPr>
            </w:pPr>
          </w:p>
        </w:tc>
        <w:tc>
          <w:tcPr>
            <w:tcW w:w="2551" w:type="dxa"/>
            <w:shd w:val="clear" w:color="auto" w:fill="FBE4D5"/>
            <w:textDirection w:val="tbRlV"/>
          </w:tcPr>
          <w:p w14:paraId="64F86906"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Comparison between posttreatment and virtual posttreatment models</w:t>
            </w:r>
          </w:p>
          <w:p w14:paraId="28E2083D" w14:textId="77777777" w:rsidR="00E85AA7" w:rsidRDefault="00E85AA7" w:rsidP="00F63164">
            <w:pPr>
              <w:widowControl/>
              <w:jc w:val="left"/>
              <w:rPr>
                <w:rFonts w:ascii="Times New Roman" w:eastAsia="微软雅黑" w:hAnsi="Times New Roman"/>
                <w:sz w:val="20"/>
                <w:szCs w:val="20"/>
              </w:rPr>
            </w:pPr>
          </w:p>
        </w:tc>
        <w:tc>
          <w:tcPr>
            <w:tcW w:w="425" w:type="dxa"/>
            <w:shd w:val="clear" w:color="auto" w:fill="FBE4D5"/>
            <w:textDirection w:val="tbRlV"/>
          </w:tcPr>
          <w:p w14:paraId="0262C5B6"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Comparison</w:t>
            </w:r>
          </w:p>
          <w:p w14:paraId="2247776A" w14:textId="77777777" w:rsidR="00E85AA7" w:rsidRDefault="00E85AA7" w:rsidP="00F63164">
            <w:pPr>
              <w:widowControl/>
              <w:ind w:left="113" w:right="113"/>
              <w:jc w:val="left"/>
              <w:rPr>
                <w:rFonts w:ascii="Times New Roman" w:eastAsia="微软雅黑" w:hAnsi="Times New Roman"/>
                <w:color w:val="000000"/>
                <w:sz w:val="20"/>
                <w:szCs w:val="20"/>
              </w:rPr>
            </w:pPr>
          </w:p>
        </w:tc>
      </w:tr>
      <w:tr w:rsidR="00E85AA7" w14:paraId="604AF335" w14:textId="77777777" w:rsidTr="00F63164">
        <w:trPr>
          <w:trHeight w:val="2679"/>
        </w:trPr>
        <w:tc>
          <w:tcPr>
            <w:tcW w:w="392" w:type="dxa"/>
            <w:vMerge/>
            <w:tcBorders>
              <w:top w:val="nil"/>
              <w:bottom w:val="nil"/>
            </w:tcBorders>
            <w:textDirection w:val="tbRlV"/>
          </w:tcPr>
          <w:p w14:paraId="2A50C936" w14:textId="77777777" w:rsidR="00E85AA7" w:rsidRDefault="00E85AA7" w:rsidP="00F63164">
            <w:pPr>
              <w:widowControl/>
              <w:jc w:val="left"/>
              <w:rPr>
                <w:rFonts w:ascii="Times New Roman" w:eastAsia="微软雅黑" w:hAnsi="Times New Roman"/>
                <w:b/>
                <w:bCs/>
                <w:color w:val="212121"/>
                <w:sz w:val="20"/>
                <w:szCs w:val="20"/>
              </w:rPr>
            </w:pPr>
          </w:p>
        </w:tc>
        <w:tc>
          <w:tcPr>
            <w:tcW w:w="3961" w:type="dxa"/>
            <w:textDirection w:val="tbRlV"/>
          </w:tcPr>
          <w:p w14:paraId="7843F4F4" w14:textId="77777777" w:rsidR="00E85AA7" w:rsidRDefault="00E85AA7" w:rsidP="00F63164">
            <w:pPr>
              <w:widowControl/>
              <w:jc w:val="left"/>
              <w:rPr>
                <w:rFonts w:ascii="Times New Roman" w:eastAsia="微软雅黑" w:hAnsi="Times New Roman"/>
                <w:color w:val="212121"/>
                <w:sz w:val="20"/>
                <w:szCs w:val="20"/>
              </w:rPr>
            </w:pPr>
            <w:r>
              <w:rPr>
                <w:rFonts w:ascii="Times New Roman" w:eastAsia="微软雅黑" w:hAnsi="Times New Roman"/>
                <w:color w:val="212121"/>
                <w:sz w:val="20"/>
                <w:szCs w:val="20"/>
              </w:rPr>
              <w:t>The average expansion was significantly different from that predicted for each type of tooth in both the maxilla and mandible</w:t>
            </w:r>
          </w:p>
          <w:p w14:paraId="62193AC3" w14:textId="77777777" w:rsidR="00E85AA7" w:rsidRDefault="00E85AA7" w:rsidP="00F63164">
            <w:pPr>
              <w:widowControl/>
              <w:jc w:val="left"/>
              <w:rPr>
                <w:rFonts w:ascii="Times New Roman" w:eastAsia="微软雅黑" w:hAnsi="Times New Roman"/>
                <w:color w:val="000000"/>
                <w:sz w:val="20"/>
                <w:szCs w:val="20"/>
              </w:rPr>
            </w:pPr>
          </w:p>
        </w:tc>
        <w:tc>
          <w:tcPr>
            <w:tcW w:w="2661" w:type="dxa"/>
            <w:textDirection w:val="tbRlV"/>
          </w:tcPr>
          <w:p w14:paraId="7CF02A12"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The mean transversal expansion: 2.2mm for the mesial buccal cusps;1.5mm for the distal buccal cusps. No statistically significant changes between the ClinCheck model and the posttreatment model</w:t>
            </w:r>
          </w:p>
          <w:p w14:paraId="248AEF93" w14:textId="77777777" w:rsidR="00E85AA7" w:rsidRDefault="00E85AA7" w:rsidP="00F63164">
            <w:pPr>
              <w:widowControl/>
              <w:jc w:val="left"/>
              <w:rPr>
                <w:rFonts w:ascii="Times New Roman" w:eastAsia="微软雅黑" w:hAnsi="Times New Roman"/>
                <w:sz w:val="20"/>
                <w:szCs w:val="20"/>
              </w:rPr>
            </w:pPr>
          </w:p>
        </w:tc>
        <w:tc>
          <w:tcPr>
            <w:tcW w:w="2551" w:type="dxa"/>
            <w:textDirection w:val="tbRlV"/>
          </w:tcPr>
          <w:p w14:paraId="011597C6"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 xml:space="preserve">The first molars encountered 0.52 mm more buccal crown inclination. No other teeth experienced statistically significant buccolingual inclination differences. Only the second molars experienced significantly more arch expansion </w:t>
            </w:r>
          </w:p>
          <w:p w14:paraId="346C3157" w14:textId="77777777" w:rsidR="00E85AA7" w:rsidRDefault="00E85AA7" w:rsidP="00F63164">
            <w:pPr>
              <w:widowControl/>
              <w:jc w:val="left"/>
              <w:rPr>
                <w:rFonts w:ascii="Times New Roman" w:eastAsia="微软雅黑" w:hAnsi="Times New Roman"/>
                <w:sz w:val="20"/>
                <w:szCs w:val="20"/>
              </w:rPr>
            </w:pPr>
          </w:p>
        </w:tc>
        <w:tc>
          <w:tcPr>
            <w:tcW w:w="425" w:type="dxa"/>
            <w:textDirection w:val="tbRlV"/>
          </w:tcPr>
          <w:p w14:paraId="35ADA91B"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Results</w:t>
            </w:r>
          </w:p>
          <w:p w14:paraId="623D2F42" w14:textId="77777777" w:rsidR="00E85AA7" w:rsidRDefault="00E85AA7" w:rsidP="00F63164">
            <w:pPr>
              <w:widowControl/>
              <w:ind w:left="113" w:right="113"/>
              <w:jc w:val="left"/>
              <w:rPr>
                <w:rFonts w:ascii="Times New Roman" w:eastAsia="微软雅黑" w:hAnsi="Times New Roman"/>
                <w:color w:val="000000"/>
                <w:sz w:val="20"/>
                <w:szCs w:val="20"/>
              </w:rPr>
            </w:pPr>
          </w:p>
        </w:tc>
      </w:tr>
      <w:tr w:rsidR="00E85AA7" w14:paraId="1C7E6F32" w14:textId="77777777" w:rsidTr="00F63164">
        <w:trPr>
          <w:trHeight w:val="2541"/>
        </w:trPr>
        <w:tc>
          <w:tcPr>
            <w:tcW w:w="392" w:type="dxa"/>
            <w:vMerge/>
            <w:tcBorders>
              <w:top w:val="nil"/>
              <w:bottom w:val="nil"/>
            </w:tcBorders>
            <w:shd w:val="clear" w:color="auto" w:fill="FBE4D5"/>
            <w:textDirection w:val="tbRlV"/>
          </w:tcPr>
          <w:p w14:paraId="3661183D" w14:textId="77777777" w:rsidR="00E85AA7" w:rsidRDefault="00E85AA7" w:rsidP="00F63164">
            <w:pPr>
              <w:widowControl/>
              <w:jc w:val="left"/>
              <w:rPr>
                <w:rFonts w:ascii="Times New Roman" w:eastAsia="微软雅黑" w:hAnsi="Times New Roman"/>
                <w:b/>
                <w:bCs/>
                <w:color w:val="212121"/>
                <w:sz w:val="20"/>
                <w:szCs w:val="20"/>
              </w:rPr>
            </w:pPr>
          </w:p>
        </w:tc>
        <w:tc>
          <w:tcPr>
            <w:tcW w:w="3961" w:type="dxa"/>
            <w:tcBorders>
              <w:bottom w:val="nil"/>
            </w:tcBorders>
            <w:shd w:val="clear" w:color="auto" w:fill="FBE4D5"/>
            <w:textDirection w:val="tbRlV"/>
          </w:tcPr>
          <w:p w14:paraId="45EBA9C9" w14:textId="77777777" w:rsidR="00E85AA7" w:rsidRDefault="00E85AA7" w:rsidP="00F63164">
            <w:pPr>
              <w:widowControl/>
              <w:jc w:val="left"/>
              <w:rPr>
                <w:rFonts w:ascii="Times New Roman" w:eastAsia="微软雅黑" w:hAnsi="Times New Roman"/>
                <w:color w:val="212121"/>
                <w:sz w:val="20"/>
                <w:szCs w:val="20"/>
              </w:rPr>
            </w:pPr>
            <w:r>
              <w:rPr>
                <w:rFonts w:ascii="Times New Roman" w:eastAsia="微软雅黑" w:hAnsi="Times New Roman"/>
                <w:color w:val="212121"/>
                <w:sz w:val="20"/>
                <w:szCs w:val="20"/>
              </w:rPr>
              <w:t>The amount of predicted expansion is not achieved and varies according to tooth type and arch. Discretion is required when compensating for inaccuracy</w:t>
            </w:r>
          </w:p>
          <w:p w14:paraId="7CDD64C0" w14:textId="77777777" w:rsidR="00E85AA7" w:rsidRDefault="00E85AA7" w:rsidP="00F63164">
            <w:pPr>
              <w:widowControl/>
              <w:jc w:val="left"/>
              <w:rPr>
                <w:rFonts w:ascii="Times New Roman" w:eastAsia="微软雅黑" w:hAnsi="Times New Roman"/>
                <w:color w:val="000000"/>
                <w:sz w:val="20"/>
                <w:szCs w:val="20"/>
              </w:rPr>
            </w:pPr>
          </w:p>
        </w:tc>
        <w:tc>
          <w:tcPr>
            <w:tcW w:w="2661" w:type="dxa"/>
            <w:tcBorders>
              <w:bottom w:val="nil"/>
            </w:tcBorders>
            <w:shd w:val="clear" w:color="auto" w:fill="FBE4D5"/>
            <w:textDirection w:val="tbRlV"/>
          </w:tcPr>
          <w:p w14:paraId="546F06B2" w14:textId="77777777" w:rsidR="00E85AA7" w:rsidRDefault="00E85AA7" w:rsidP="00F63164">
            <w:pPr>
              <w:widowControl/>
              <w:jc w:val="left"/>
              <w:rPr>
                <w:rFonts w:ascii="Times New Roman" w:eastAsia="微软雅黑" w:hAnsi="Times New Roman"/>
                <w:sz w:val="20"/>
                <w:szCs w:val="20"/>
              </w:rPr>
            </w:pPr>
            <w:r>
              <w:rPr>
                <w:rFonts w:ascii="Times New Roman" w:eastAsia="微软雅黑" w:hAnsi="Times New Roman"/>
                <w:sz w:val="20"/>
                <w:szCs w:val="20"/>
              </w:rPr>
              <w:t>Distal rotation of maxillary first molars involves the expansion and distal shift of buccal cusps. Aligners are effective at allowing maxillary distal molar rotation. Transvers</w:t>
            </w:r>
            <w:r>
              <w:rPr>
                <w:rFonts w:ascii="Times New Roman" w:eastAsia="微软雅黑" w:hAnsi="Times New Roman" w:hint="eastAsia"/>
                <w:sz w:val="20"/>
                <w:szCs w:val="20"/>
              </w:rPr>
              <w:t>e</w:t>
            </w:r>
            <w:r>
              <w:rPr>
                <w:rFonts w:ascii="Times New Roman" w:eastAsia="微软雅黑" w:hAnsi="Times New Roman"/>
                <w:sz w:val="20"/>
                <w:szCs w:val="20"/>
              </w:rPr>
              <w:t xml:space="preserve"> expansion shows high accuracy</w:t>
            </w:r>
          </w:p>
          <w:p w14:paraId="4260B8B3" w14:textId="77777777" w:rsidR="00E85AA7" w:rsidRDefault="00E85AA7" w:rsidP="00F63164">
            <w:pPr>
              <w:widowControl/>
              <w:jc w:val="left"/>
              <w:rPr>
                <w:rFonts w:ascii="Times New Roman" w:eastAsia="微软雅黑" w:hAnsi="Times New Roman"/>
                <w:sz w:val="20"/>
                <w:szCs w:val="20"/>
              </w:rPr>
            </w:pPr>
          </w:p>
        </w:tc>
        <w:tc>
          <w:tcPr>
            <w:tcW w:w="2551" w:type="dxa"/>
            <w:tcBorders>
              <w:bottom w:val="nil"/>
            </w:tcBorders>
            <w:shd w:val="clear" w:color="auto" w:fill="FBE4D5"/>
            <w:textDirection w:val="tbRlV"/>
          </w:tcPr>
          <w:p w14:paraId="139A834C" w14:textId="77777777" w:rsidR="00E85AA7" w:rsidRDefault="00E85AA7" w:rsidP="00F63164">
            <w:pPr>
              <w:widowControl/>
              <w:jc w:val="left"/>
              <w:rPr>
                <w:rFonts w:ascii="Times New Roman" w:eastAsia="微软雅黑" w:hAnsi="Times New Roman"/>
                <w:color w:val="000000"/>
                <w:sz w:val="20"/>
                <w:szCs w:val="20"/>
              </w:rPr>
            </w:pPr>
            <w:r>
              <w:rPr>
                <w:rFonts w:ascii="Times New Roman" w:eastAsia="微软雅黑" w:hAnsi="Times New Roman"/>
                <w:color w:val="000000"/>
                <w:sz w:val="20"/>
                <w:szCs w:val="20"/>
              </w:rPr>
              <w:t>Only the mandibular second molars experienced more expansion than ClinCheck</w:t>
            </w:r>
          </w:p>
          <w:p w14:paraId="29ABAD0A" w14:textId="77777777" w:rsidR="00E85AA7" w:rsidRDefault="00E85AA7" w:rsidP="00F63164">
            <w:pPr>
              <w:widowControl/>
              <w:jc w:val="left"/>
              <w:rPr>
                <w:rFonts w:ascii="Times New Roman" w:eastAsia="微软雅黑" w:hAnsi="Times New Roman"/>
                <w:sz w:val="20"/>
                <w:szCs w:val="20"/>
              </w:rPr>
            </w:pPr>
          </w:p>
        </w:tc>
        <w:tc>
          <w:tcPr>
            <w:tcW w:w="425" w:type="dxa"/>
            <w:tcBorders>
              <w:bottom w:val="nil"/>
            </w:tcBorders>
            <w:shd w:val="clear" w:color="auto" w:fill="FBE4D5"/>
            <w:textDirection w:val="tbRlV"/>
          </w:tcPr>
          <w:p w14:paraId="3A1A157A" w14:textId="77777777" w:rsidR="00E85AA7" w:rsidRDefault="00E85AA7" w:rsidP="00F63164">
            <w:pPr>
              <w:widowControl/>
              <w:ind w:left="113" w:right="113"/>
              <w:jc w:val="left"/>
              <w:rPr>
                <w:rFonts w:ascii="Times New Roman" w:eastAsia="微软雅黑" w:hAnsi="Times New Roman"/>
                <w:color w:val="000000"/>
                <w:sz w:val="20"/>
                <w:szCs w:val="20"/>
              </w:rPr>
            </w:pPr>
            <w:r>
              <w:rPr>
                <w:rFonts w:ascii="Times New Roman" w:eastAsia="微软雅黑" w:hAnsi="Times New Roman"/>
                <w:color w:val="000000"/>
                <w:sz w:val="20"/>
                <w:szCs w:val="20"/>
              </w:rPr>
              <w:t>Conclusion</w:t>
            </w:r>
          </w:p>
          <w:p w14:paraId="15B6AFAE" w14:textId="77777777" w:rsidR="00E85AA7" w:rsidRDefault="00E85AA7" w:rsidP="00F63164">
            <w:pPr>
              <w:keepNext/>
              <w:widowControl/>
              <w:ind w:left="113" w:right="113"/>
              <w:jc w:val="left"/>
              <w:rPr>
                <w:rFonts w:ascii="Times New Roman" w:eastAsia="微软雅黑" w:hAnsi="Times New Roman"/>
                <w:color w:val="000000"/>
                <w:sz w:val="20"/>
                <w:szCs w:val="20"/>
              </w:rPr>
            </w:pPr>
          </w:p>
        </w:tc>
      </w:tr>
    </w:tbl>
    <w:p w14:paraId="6A6D739D" w14:textId="77777777" w:rsidR="00004E42" w:rsidRPr="00E85AA7" w:rsidRDefault="00004E42" w:rsidP="00E85AA7"/>
    <w:sectPr w:rsidR="00004E42" w:rsidRPr="00E85AA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8F1608"/>
    <w:rsid w:val="00004E42"/>
    <w:rsid w:val="008F1608"/>
    <w:rsid w:val="00E85A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CBCB9"/>
  <w15:chartTrackingRefBased/>
  <w15:docId w15:val="{6B2034DD-6852-4A0D-8D52-7154578FB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1608"/>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3940</Words>
  <Characters>22464</Characters>
  <Application>Microsoft Office Word</Application>
  <DocSecurity>0</DocSecurity>
  <Lines>187</Lines>
  <Paragraphs>52</Paragraphs>
  <ScaleCrop>false</ScaleCrop>
  <Company/>
  <LinksUpToDate>false</LinksUpToDate>
  <CharactersWithSpaces>26352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 淞阳</dc:creator>
  <cp:keywords/>
  <dc:description/>
  <cp:lastModifiedBy>马 淞阳</cp:lastModifiedBy>
  <cp:revision>2</cp:revision>
  <dcterms:created xsi:type="dcterms:W3CDTF">2023-01-30T06:11:00Z</dcterms:created>
  <dcterms:modified xsi:type="dcterms:W3CDTF">2023-01-30T06:13:00Z</dcterms:modified>
</cp:coreProperties>
</file>