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Table S1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. Clinical data of 30 HBsAg negative and HBV DNA positive patients </w:t>
      </w:r>
    </w:p>
    <w:tbl>
      <w:tblPr>
        <w:tblStyle w:val="3"/>
        <w:tblW w:w="9907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521"/>
        <w:gridCol w:w="673"/>
        <w:gridCol w:w="967"/>
        <w:gridCol w:w="721"/>
        <w:gridCol w:w="885"/>
        <w:gridCol w:w="877"/>
        <w:gridCol w:w="1317"/>
        <w:gridCol w:w="1276"/>
        <w:gridCol w:w="967"/>
        <w:gridCol w:w="97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Sample</w:t>
            </w:r>
          </w:p>
        </w:tc>
        <w:tc>
          <w:tcPr>
            <w:tcW w:w="52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Sex</w:t>
            </w:r>
          </w:p>
        </w:tc>
        <w:tc>
          <w:tcPr>
            <w:tcW w:w="673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Age(y)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Anti-HBs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level(IU/L)</w:t>
            </w:r>
          </w:p>
        </w:tc>
        <w:tc>
          <w:tcPr>
            <w:tcW w:w="72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HBeAg</w:t>
            </w:r>
          </w:p>
        </w:tc>
        <w:tc>
          <w:tcPr>
            <w:tcW w:w="88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Anti-HBe</w:t>
            </w:r>
          </w:p>
        </w:tc>
        <w:tc>
          <w:tcPr>
            <w:tcW w:w="87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Anti-HBc</w:t>
            </w:r>
          </w:p>
        </w:tc>
        <w:tc>
          <w:tcPr>
            <w:tcW w:w="131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HBV DNA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loading(IU/mL)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Treatment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Treatment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time</w:t>
            </w:r>
          </w:p>
        </w:tc>
        <w:tc>
          <w:tcPr>
            <w:tcW w:w="97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Admission diagnosis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3" w:hRule="atLeast"/>
        </w:trPr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221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223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224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225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227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228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229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232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236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242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243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251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253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256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258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259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261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264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268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269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280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282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288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292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293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296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302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310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311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313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2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F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F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F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F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F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F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F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F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F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</w:t>
            </w:r>
          </w:p>
        </w:tc>
        <w:tc>
          <w:tcPr>
            <w:tcW w:w="673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41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41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60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44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56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64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50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78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50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48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65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67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77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67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49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68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66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6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108.0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&gt;1000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12.6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&gt;1000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108.0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25.4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34.9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905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61.9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37.2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15.2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204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497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12.8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103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844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10.7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</w:tc>
        <w:tc>
          <w:tcPr>
            <w:tcW w:w="72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</w:tc>
        <w:tc>
          <w:tcPr>
            <w:tcW w:w="88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7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31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7.81</w:t>
            </w:r>
            <w:r>
              <w:rPr>
                <w:rFonts w:hint="default" w:ascii="Arial" w:hAnsi="Arial" w:cs="Arial"/>
                <w:sz w:val="16"/>
                <w:szCs w:val="16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10</w:t>
            </w:r>
            <w:r>
              <w:rPr>
                <w:rFonts w:hint="eastAsia" w:ascii="Times New Roman" w:hAnsi="Times New Roman" w:cs="Times New Roman"/>
                <w:sz w:val="16"/>
                <w:szCs w:val="16"/>
                <w:vertAlign w:val="superscript"/>
                <w:lang w:val="en-US" w:eastAsia="zh-CN"/>
              </w:rPr>
              <w:t>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128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159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62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196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73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110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117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62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107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3.07</w:t>
            </w:r>
            <w:r>
              <w:rPr>
                <w:rFonts w:hint="default" w:ascii="Arial" w:hAnsi="Arial" w:cs="Arial"/>
                <w:sz w:val="16"/>
                <w:szCs w:val="16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10</w:t>
            </w:r>
            <w:r>
              <w:rPr>
                <w:rFonts w:hint="eastAsia" w:ascii="Times New Roman" w:hAnsi="Times New Roman" w:cs="Times New Roman"/>
                <w:sz w:val="16"/>
                <w:szCs w:val="16"/>
                <w:vertAlign w:val="superscript"/>
                <w:lang w:val="en-US" w:eastAsia="zh-CN"/>
              </w:rPr>
              <w:t>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48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20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NA+PEG-IFN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NA+PEG-IFN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NA+PEG-IFN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NA+PEG-IFN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NA+PEG-IFN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NA+PEG-IFN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NA+PEG-IFN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NA+PEG-IFN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NA+PEG-IFN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NA+PEG-IFN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NA+PEG-IFN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NA+PEG-IFN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NA+PEG-IFN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NA+PEG-IFN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NA+PEG-IFN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NA+PEG-IFN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&gt;3M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&gt;3M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&gt;3M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&gt;3M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&gt;3M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&gt;3M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&gt;3M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&gt;3M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&gt;3M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&gt;3M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&gt;3M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&gt;3M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&gt;3M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&gt;3M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&gt;3M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&gt;3M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&gt;3M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&gt;3M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&gt;3M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&gt;3M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7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CHB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CHB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CHB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HCC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CHB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CHB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CHB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CHB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CHB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CHB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CHB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HCC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CHB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CHB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CHB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LC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HCC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HCC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CHB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CHB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LC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CHB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HCC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CHB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CHB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CHB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LC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HCC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CHB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CHB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textAlignment w:val="auto"/>
        <w:rPr>
          <w:rFonts w:hint="default" w:ascii="Times New Roman" w:hAnsi="Times New Roman" w:eastAsia="宋体" w:cs="Times New Roman"/>
          <w:sz w:val="15"/>
          <w:szCs w:val="15"/>
          <w:lang w:val="en-US" w:eastAsia="zh-CN"/>
        </w:rPr>
      </w:pPr>
      <w:r>
        <w:rPr>
          <w:rFonts w:hint="default" w:ascii="Times New Roman" w:hAnsi="Times New Roman" w:cs="Times New Roman"/>
          <w:sz w:val="15"/>
          <w:szCs w:val="15"/>
        </w:rPr>
        <w:t>F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, Female. M, Men. neg, negative. pos, positive. N, no antiviral treatment. </w:t>
      </w:r>
      <w:r>
        <w:rPr>
          <w:rFonts w:ascii="Times New Roman" w:hAnsi="Times New Roman" w:eastAsia="宋体" w:cs="Times New Roman"/>
          <w:color w:val="000000"/>
          <w:spacing w:val="10"/>
          <w:sz w:val="15"/>
          <w:szCs w:val="15"/>
        </w:rPr>
        <w:t>CHB, Chronic hepatitis B. LC, liver cirrhosis. HCC, Hepatocellular carcinoma.</w:t>
      </w:r>
      <w:r>
        <w:rPr>
          <w:rFonts w:hint="eastAsia" w:ascii="Times New Roman" w:hAnsi="Times New Roman" w:eastAsia="宋体" w:cs="Times New Roman"/>
          <w:color w:val="000000"/>
          <w:spacing w:val="10"/>
          <w:sz w:val="15"/>
          <w:szCs w:val="15"/>
          <w:lang w:val="en-US" w:eastAsia="zh-CN"/>
        </w:rPr>
        <w:t xml:space="preserve">NA, </w:t>
      </w:r>
      <w:r>
        <w:rPr>
          <w:rFonts w:hint="eastAsia" w:ascii="Times New Roman" w:hAnsi="Times New Roman" w:eastAsia="宋体" w:cs="Times New Roman"/>
          <w:color w:val="000000"/>
          <w:spacing w:val="10"/>
          <w:sz w:val="15"/>
          <w:szCs w:val="15"/>
        </w:rPr>
        <w:t>nucleotide analogue treatmen</w:t>
      </w:r>
      <w:r>
        <w:rPr>
          <w:rFonts w:hint="eastAsia" w:ascii="Times New Roman" w:hAnsi="Times New Roman" w:eastAsia="宋体" w:cs="Times New Roman"/>
          <w:color w:val="000000"/>
          <w:spacing w:val="10"/>
          <w:sz w:val="15"/>
          <w:szCs w:val="15"/>
          <w:lang w:val="en-US" w:eastAsia="zh-CN"/>
        </w:rPr>
        <w:t xml:space="preserve">. NA+PEG-IFN, nucleotide analogues combined with </w:t>
      </w:r>
      <w:r>
        <w:rPr>
          <w:rFonts w:hint="eastAsia" w:ascii="Times New Roman" w:hAnsi="Times New Roman" w:eastAsia="宋体" w:cs="Times New Roman"/>
          <w:color w:val="000000"/>
          <w:spacing w:val="10"/>
          <w:sz w:val="15"/>
          <w:szCs w:val="15"/>
        </w:rPr>
        <w:t>peg-</w:t>
      </w:r>
      <w:r>
        <w:rPr>
          <w:rFonts w:ascii="Times New Roman" w:hAnsi="Times New Roman" w:eastAsia="宋体" w:cs="Times New Roman"/>
          <w:color w:val="000000"/>
          <w:spacing w:val="10"/>
          <w:sz w:val="15"/>
          <w:szCs w:val="15"/>
        </w:rPr>
        <w:t>interferon-α2b</w:t>
      </w:r>
      <w:r>
        <w:rPr>
          <w:rFonts w:hint="eastAsia" w:ascii="Times New Roman" w:hAnsi="Times New Roman" w:eastAsia="宋体" w:cs="Times New Roman"/>
          <w:color w:val="000000"/>
          <w:spacing w:val="10"/>
          <w:sz w:val="15"/>
          <w:szCs w:val="15"/>
          <w:lang w:val="en-US" w:eastAsia="zh-CN"/>
        </w:rPr>
        <w:t xml:space="preserve"> therapy. M, month.</w:t>
      </w:r>
    </w:p>
    <w:p/>
    <w:p/>
    <w:p/>
    <w:p/>
    <w:p>
      <w:pPr>
        <w:rPr>
          <w:rFonts w:hint="eastAsia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Table S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2. Clinical data of </w:t>
      </w:r>
      <w:bookmarkStart w:id="0" w:name="_GoBack"/>
      <w:bookmarkEnd w:id="0"/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20 HBsAg positive patients</w:t>
      </w:r>
    </w:p>
    <w:tbl>
      <w:tblPr>
        <w:tblStyle w:val="3"/>
        <w:tblW w:w="9907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521"/>
        <w:gridCol w:w="673"/>
        <w:gridCol w:w="967"/>
        <w:gridCol w:w="721"/>
        <w:gridCol w:w="885"/>
        <w:gridCol w:w="877"/>
        <w:gridCol w:w="1317"/>
        <w:gridCol w:w="1276"/>
        <w:gridCol w:w="967"/>
        <w:gridCol w:w="97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Sample</w:t>
            </w:r>
          </w:p>
        </w:tc>
        <w:tc>
          <w:tcPr>
            <w:tcW w:w="52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Sex</w:t>
            </w:r>
          </w:p>
        </w:tc>
        <w:tc>
          <w:tcPr>
            <w:tcW w:w="673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Age(y)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Anti-HBs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level(IU/L)</w:t>
            </w:r>
          </w:p>
        </w:tc>
        <w:tc>
          <w:tcPr>
            <w:tcW w:w="72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HBeAg</w:t>
            </w:r>
          </w:p>
        </w:tc>
        <w:tc>
          <w:tcPr>
            <w:tcW w:w="88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Anti-HBe</w:t>
            </w:r>
          </w:p>
        </w:tc>
        <w:tc>
          <w:tcPr>
            <w:tcW w:w="87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Anti-HBc</w:t>
            </w:r>
          </w:p>
        </w:tc>
        <w:tc>
          <w:tcPr>
            <w:tcW w:w="131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HBV DNA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loading(IU/mL)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Treatment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Treatment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time</w:t>
            </w:r>
          </w:p>
        </w:tc>
        <w:tc>
          <w:tcPr>
            <w:tcW w:w="97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Admission diagnosis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2" w:hRule="atLeast"/>
        </w:trPr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45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58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67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68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69</w:t>
            </w:r>
          </w:p>
        </w:tc>
        <w:tc>
          <w:tcPr>
            <w:tcW w:w="52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F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F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F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F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F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F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73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44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53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68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43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64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44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48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49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78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59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67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54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41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2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neg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7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pos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31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372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277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2.03 × 10</w:t>
            </w:r>
            <w:r>
              <w:rPr>
                <w:rFonts w:hint="default" w:ascii="Times New Roman" w:hAnsi="Times New Roman" w:cs="Times New Roman"/>
                <w:sz w:val="16"/>
                <w:szCs w:val="16"/>
                <w:vertAlign w:val="superscript"/>
                <w:lang w:val="en-US" w:eastAsia="zh-CN"/>
              </w:rPr>
              <w:t>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6.63 × 10</w:t>
            </w:r>
            <w:r>
              <w:rPr>
                <w:rFonts w:hint="default" w:ascii="Times New Roman" w:hAnsi="Times New Roman" w:cs="Times New Roman"/>
                <w:sz w:val="16"/>
                <w:szCs w:val="16"/>
                <w:vertAlign w:val="superscript"/>
                <w:lang w:val="en-US" w:eastAsia="zh-CN"/>
              </w:rPr>
              <w:t>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2.32 × 10</w:t>
            </w:r>
            <w:r>
              <w:rPr>
                <w:rFonts w:hint="default" w:ascii="Times New Roman" w:hAnsi="Times New Roman" w:cs="Times New Roman"/>
                <w:sz w:val="16"/>
                <w:szCs w:val="16"/>
                <w:vertAlign w:val="superscript"/>
                <w:lang w:val="en-US" w:eastAsia="zh-CN"/>
              </w:rPr>
              <w:t>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171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120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235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1618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82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1232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106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193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161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NA+PEG-IFN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NA+PEG-IFN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NA+PEG-IFN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NA+PEG-IFN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1W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1W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1W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2W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&gt;3M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&gt;3M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&gt;3M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&gt;3M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&gt;3M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&gt;3M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&gt;3M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2W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&gt;3M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&gt;3M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N</w:t>
            </w:r>
          </w:p>
        </w:tc>
        <w:tc>
          <w:tcPr>
            <w:tcW w:w="97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CHB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HCC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HCC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LC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CHB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CHB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CHB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CHB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CHB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LC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CHB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CHB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CHB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HCC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CHB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CHB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CHB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HCC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CHB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CHB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textAlignment w:val="auto"/>
        <w:rPr>
          <w:rFonts w:hint="default"/>
          <w:lang w:val="en-US"/>
        </w:rPr>
      </w:pPr>
      <w:r>
        <w:rPr>
          <w:rFonts w:hint="default" w:ascii="Times New Roman" w:hAnsi="Times New Roman" w:cs="Times New Roman"/>
          <w:sz w:val="15"/>
          <w:szCs w:val="15"/>
        </w:rPr>
        <w:t>F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, Female. M, Men. neg, negative. pos, positive. N, no antiviral treatment. </w:t>
      </w:r>
      <w:r>
        <w:rPr>
          <w:rFonts w:ascii="Times New Roman" w:hAnsi="Times New Roman" w:eastAsia="宋体" w:cs="Times New Roman"/>
          <w:color w:val="000000"/>
          <w:spacing w:val="10"/>
          <w:sz w:val="15"/>
          <w:szCs w:val="15"/>
        </w:rPr>
        <w:t>CHB, Chronic hepatitis B. LC, liver cirrhosis. HCC, Hepatocellular carcinoma.</w:t>
      </w:r>
      <w:r>
        <w:rPr>
          <w:rFonts w:hint="eastAsia" w:ascii="Times New Roman" w:hAnsi="Times New Roman" w:eastAsia="宋体" w:cs="Times New Roman"/>
          <w:color w:val="000000"/>
          <w:spacing w:val="10"/>
          <w:sz w:val="15"/>
          <w:szCs w:val="15"/>
          <w:lang w:val="en-US" w:eastAsia="zh-CN"/>
        </w:rPr>
        <w:t xml:space="preserve">NA, </w:t>
      </w:r>
      <w:r>
        <w:rPr>
          <w:rFonts w:hint="eastAsia" w:ascii="Times New Roman" w:hAnsi="Times New Roman" w:eastAsia="宋体" w:cs="Times New Roman"/>
          <w:color w:val="000000"/>
          <w:spacing w:val="10"/>
          <w:sz w:val="15"/>
          <w:szCs w:val="15"/>
        </w:rPr>
        <w:t>nucleotide analogue treatmen</w:t>
      </w:r>
      <w:r>
        <w:rPr>
          <w:rFonts w:hint="eastAsia" w:ascii="Times New Roman" w:hAnsi="Times New Roman" w:eastAsia="宋体" w:cs="Times New Roman"/>
          <w:color w:val="000000"/>
          <w:spacing w:val="10"/>
          <w:sz w:val="15"/>
          <w:szCs w:val="15"/>
          <w:lang w:val="en-US" w:eastAsia="zh-CN"/>
        </w:rPr>
        <w:t xml:space="preserve">. NA+PEG-IFN, nucleotide analogues combined with </w:t>
      </w:r>
      <w:r>
        <w:rPr>
          <w:rFonts w:hint="eastAsia" w:ascii="Times New Roman" w:hAnsi="Times New Roman" w:eastAsia="宋体" w:cs="Times New Roman"/>
          <w:color w:val="000000"/>
          <w:spacing w:val="10"/>
          <w:sz w:val="15"/>
          <w:szCs w:val="15"/>
        </w:rPr>
        <w:t>peg-</w:t>
      </w:r>
      <w:r>
        <w:rPr>
          <w:rFonts w:ascii="Times New Roman" w:hAnsi="Times New Roman" w:eastAsia="宋体" w:cs="Times New Roman"/>
          <w:color w:val="000000"/>
          <w:spacing w:val="10"/>
          <w:sz w:val="15"/>
          <w:szCs w:val="15"/>
        </w:rPr>
        <w:t>interferon-α2b</w:t>
      </w:r>
      <w:r>
        <w:rPr>
          <w:rFonts w:hint="eastAsia" w:ascii="Times New Roman" w:hAnsi="Times New Roman" w:eastAsia="宋体" w:cs="Times New Roman"/>
          <w:color w:val="000000"/>
          <w:spacing w:val="10"/>
          <w:sz w:val="15"/>
          <w:szCs w:val="15"/>
          <w:lang w:val="en-US" w:eastAsia="zh-CN"/>
        </w:rPr>
        <w:t xml:space="preserve"> therapy. M, month.W, week.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0YzhmZDVhYmE0Y2MwNmMwZGVkODA1MmMyMDA2YjkifQ=="/>
  </w:docVars>
  <w:rsids>
    <w:rsidRoot w:val="00000000"/>
    <w:rsid w:val="1C4C3051"/>
    <w:rsid w:val="332E4167"/>
    <w:rsid w:val="5126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674</Words>
  <Characters>2343</Characters>
  <Lines>0</Lines>
  <Paragraphs>0</Paragraphs>
  <TotalTime>0</TotalTime>
  <ScaleCrop>false</ScaleCrop>
  <LinksUpToDate>false</LinksUpToDate>
  <CharactersWithSpaces>2435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2022-12-18T09:51:00Z</dcterms:created>
  <dc:creator>HP</dc:creator>
  <cp:lastModifiedBy>香香</cp:lastModifiedBy>
  <dcterms:modified xsi:type="dcterms:W3CDTF">2022-12-30T12:37:33Z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1BB24D461F4B4BD1B1A5140A68E30301</vt:lpwstr>
  </property>
</Properties>
</file>