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CF3FB4" w14:textId="565EAAD1" w:rsidR="00B5500C" w:rsidRDefault="00B5500C" w:rsidP="007D5F4C">
      <w:pPr>
        <w:pStyle w:val="Title"/>
      </w:pPr>
      <w:r w:rsidRPr="00B5500C">
        <w:t>Supplementa</w:t>
      </w:r>
      <w:r w:rsidR="00A46B6E">
        <w:t>ry</w:t>
      </w:r>
      <w:r w:rsidRPr="00B5500C">
        <w:t xml:space="preserve"> </w:t>
      </w:r>
      <w:r w:rsidR="009D2891">
        <w:t>Information</w:t>
      </w:r>
      <w:r w:rsidR="009D2891" w:rsidRPr="00B5500C">
        <w:t xml:space="preserve"> </w:t>
      </w:r>
      <w:r w:rsidRPr="00B5500C">
        <w:t>for</w:t>
      </w:r>
      <w:r w:rsidR="009D2891">
        <w:t>:</w:t>
      </w:r>
      <w:r w:rsidRPr="00B5500C">
        <w:t xml:space="preserve"> All</w:t>
      </w:r>
      <w:r>
        <w:t>-Dielectric</w:t>
      </w:r>
      <w:r w:rsidRPr="0072709C">
        <w:t xml:space="preserve"> Meta</w:t>
      </w:r>
      <w:r w:rsidR="005314ED">
        <w:t>-</w:t>
      </w:r>
      <w:r w:rsidRPr="0072709C">
        <w:t>optic</w:t>
      </w:r>
      <w:r>
        <w:t>s for High-Efficiency Independent Amplitude and Phase Manipulation</w:t>
      </w:r>
    </w:p>
    <w:p w14:paraId="5B5EE34D" w14:textId="2A3CF430" w:rsidR="003271DC" w:rsidRPr="003271DC" w:rsidRDefault="003271DC" w:rsidP="003271DC">
      <w:pPr>
        <w:spacing w:before="120" w:after="0" w:line="480" w:lineRule="auto"/>
        <w:jc w:val="center"/>
        <w:rPr>
          <w:rFonts w:eastAsia="Times New Roman" w:cs="Times New Roman"/>
          <w:i/>
          <w:iCs/>
          <w:color w:val="222222"/>
          <w:shd w:val="clear" w:color="auto" w:fill="FFFFFF"/>
          <w:lang w:val="en-GB" w:eastAsia="pt-BR"/>
        </w:rPr>
      </w:pPr>
      <w:r w:rsidRPr="003271DC">
        <w:rPr>
          <w:i/>
          <w:iCs/>
          <w:color w:val="222222"/>
          <w:lang w:val="en-GB"/>
        </w:rPr>
        <w:t>Brian O. Raeker</w:t>
      </w:r>
      <w:r w:rsidRPr="003271DC">
        <w:rPr>
          <w:i/>
          <w:iCs/>
          <w:color w:val="222222"/>
          <w:vertAlign w:val="superscript"/>
          <w:lang w:val="en-GB"/>
        </w:rPr>
        <w:t>1</w:t>
      </w:r>
      <w:r w:rsidR="00F01370">
        <w:rPr>
          <w:i/>
          <w:iCs/>
          <w:color w:val="222222"/>
          <w:vertAlign w:val="superscript"/>
          <w:lang w:val="en-GB"/>
        </w:rPr>
        <w:t>*</w:t>
      </w:r>
      <w:r w:rsidRPr="003271DC">
        <w:rPr>
          <w:i/>
          <w:iCs/>
          <w:color w:val="222222"/>
          <w:lang w:val="en-GB"/>
        </w:rPr>
        <w:t xml:space="preserve">, </w:t>
      </w:r>
      <w:r w:rsidRPr="003271DC">
        <w:rPr>
          <w:i/>
          <w:iCs/>
        </w:rPr>
        <w:t>Hanyu Zheng</w:t>
      </w:r>
      <w:r w:rsidRPr="003271DC">
        <w:rPr>
          <w:i/>
          <w:iCs/>
          <w:vertAlign w:val="superscript"/>
        </w:rPr>
        <w:t>2</w:t>
      </w:r>
      <w:r w:rsidR="00F01370">
        <w:rPr>
          <w:i/>
          <w:iCs/>
          <w:vertAlign w:val="superscript"/>
        </w:rPr>
        <w:t>*</w:t>
      </w:r>
      <w:r w:rsidRPr="003271DC">
        <w:rPr>
          <w:i/>
          <w:iCs/>
        </w:rPr>
        <w:t>, You Zhou</w:t>
      </w:r>
      <w:r w:rsidRPr="003271DC">
        <w:rPr>
          <w:i/>
          <w:iCs/>
          <w:vertAlign w:val="superscript"/>
        </w:rPr>
        <w:t>3</w:t>
      </w:r>
      <w:r w:rsidRPr="003271DC">
        <w:rPr>
          <w:i/>
          <w:iCs/>
        </w:rPr>
        <w:t>,</w:t>
      </w:r>
      <w:r w:rsidR="002C4C4A">
        <w:rPr>
          <w:i/>
          <w:iCs/>
        </w:rPr>
        <w:t xml:space="preserve"> Ivan I. Kravchenko</w:t>
      </w:r>
      <w:r w:rsidR="002C4C4A" w:rsidRPr="002C4C4A">
        <w:rPr>
          <w:i/>
          <w:iCs/>
          <w:vertAlign w:val="superscript"/>
        </w:rPr>
        <w:t>4</w:t>
      </w:r>
      <w:r w:rsidR="002C4C4A">
        <w:rPr>
          <w:i/>
          <w:iCs/>
        </w:rPr>
        <w:t>,</w:t>
      </w:r>
      <w:r w:rsidRPr="003271DC">
        <w:rPr>
          <w:i/>
          <w:iCs/>
        </w:rPr>
        <w:t xml:space="preserve"> </w:t>
      </w:r>
      <w:r w:rsidRPr="003271DC">
        <w:rPr>
          <w:rFonts w:eastAsia="Times New Roman" w:cs="Times New Roman"/>
          <w:i/>
          <w:iCs/>
          <w:color w:val="222222"/>
          <w:shd w:val="clear" w:color="auto" w:fill="FFFFFF"/>
          <w:lang w:val="en-GB" w:eastAsia="pt-BR"/>
        </w:rPr>
        <w:t>Jason Valentin</w:t>
      </w:r>
      <w:r w:rsidR="00F01370">
        <w:rPr>
          <w:rFonts w:eastAsia="Times New Roman" w:cs="Times New Roman"/>
          <w:i/>
          <w:iCs/>
          <w:color w:val="222222"/>
          <w:shd w:val="clear" w:color="auto" w:fill="FFFFFF"/>
          <w:lang w:val="en-GB" w:eastAsia="pt-BR"/>
        </w:rPr>
        <w:t>e</w:t>
      </w:r>
      <w:r w:rsidR="002C4C4A">
        <w:rPr>
          <w:rFonts w:eastAsia="Times New Roman" w:cs="Times New Roman"/>
          <w:i/>
          <w:iCs/>
          <w:color w:val="222222"/>
          <w:shd w:val="clear" w:color="auto" w:fill="FFFFFF"/>
          <w:vertAlign w:val="superscript"/>
          <w:lang w:val="en-GB" w:eastAsia="pt-BR"/>
        </w:rPr>
        <w:t>5</w:t>
      </w:r>
      <w:r w:rsidR="00F01370" w:rsidRPr="005526F1">
        <w:rPr>
          <w:rFonts w:eastAsia="Times New Roman" w:cs="Times New Roman"/>
          <w:i/>
          <w:iCs/>
          <w:color w:val="222222"/>
          <w:shd w:val="clear" w:color="auto" w:fill="FFFFFF"/>
          <w:vertAlign w:val="superscript"/>
          <w:lang w:val="en-GB" w:eastAsia="pt-BR"/>
        </w:rPr>
        <w:t>†</w:t>
      </w:r>
      <w:r w:rsidRPr="003271DC">
        <w:rPr>
          <w:rFonts w:eastAsia="Times New Roman" w:cs="Times New Roman"/>
          <w:i/>
          <w:iCs/>
          <w:color w:val="222222"/>
          <w:shd w:val="clear" w:color="auto" w:fill="FFFFFF"/>
          <w:lang w:val="en-GB" w:eastAsia="pt-BR"/>
        </w:rPr>
        <w:t xml:space="preserve">, </w:t>
      </w:r>
      <w:r w:rsidRPr="003271DC">
        <w:rPr>
          <w:i/>
          <w:iCs/>
          <w:color w:val="222222"/>
          <w:lang w:val="en-GB"/>
        </w:rPr>
        <w:t>Anthony Grbic</w:t>
      </w:r>
      <w:r w:rsidRPr="003271DC">
        <w:rPr>
          <w:i/>
          <w:iCs/>
          <w:color w:val="222222"/>
          <w:vertAlign w:val="superscript"/>
          <w:lang w:val="en-GB"/>
        </w:rPr>
        <w:t>1</w:t>
      </w:r>
      <w:r w:rsidR="00F01370">
        <w:rPr>
          <w:rFonts w:cs="Times New Roman"/>
          <w:i/>
          <w:iCs/>
          <w:color w:val="222222"/>
          <w:vertAlign w:val="superscript"/>
          <w:lang w:val="en-GB"/>
        </w:rPr>
        <w:t>‡</w:t>
      </w:r>
    </w:p>
    <w:p w14:paraId="4729503F" w14:textId="7EDF5CBB" w:rsidR="003271DC" w:rsidRPr="00F01370" w:rsidRDefault="003271DC" w:rsidP="003271DC">
      <w:pPr>
        <w:pStyle w:val="NormalWeb"/>
        <w:shd w:val="clear" w:color="auto" w:fill="FFFFFF"/>
        <w:spacing w:before="0" w:beforeAutospacing="0" w:after="0" w:afterAutospacing="0" w:line="276" w:lineRule="auto"/>
        <w:rPr>
          <w:color w:val="222222"/>
          <w:sz w:val="20"/>
          <w:szCs w:val="20"/>
          <w:lang w:val="en-GB"/>
        </w:rPr>
      </w:pPr>
      <w:r w:rsidRPr="00F01370">
        <w:rPr>
          <w:color w:val="222222"/>
          <w:sz w:val="20"/>
          <w:szCs w:val="20"/>
          <w:vertAlign w:val="superscript"/>
          <w:lang w:val="en-GB" w:eastAsia="pt-BR"/>
        </w:rPr>
        <w:t>1</w:t>
      </w:r>
      <w:r w:rsidRPr="00F01370">
        <w:rPr>
          <w:color w:val="222222"/>
          <w:sz w:val="20"/>
          <w:szCs w:val="20"/>
          <w:lang w:val="en-GB" w:eastAsia="pt-BR"/>
        </w:rPr>
        <w:t>Department of Electrical Engineering and Computer Science, University of Michigan, Ann Arbor, MI, USA</w:t>
      </w:r>
    </w:p>
    <w:p w14:paraId="4F30B517" w14:textId="6176EFDC" w:rsidR="003271DC" w:rsidRPr="00F01370" w:rsidRDefault="003271DC" w:rsidP="003271DC">
      <w:pPr>
        <w:pStyle w:val="NormalWeb"/>
        <w:shd w:val="clear" w:color="auto" w:fill="FFFFFF"/>
        <w:spacing w:before="0" w:beforeAutospacing="0" w:after="0" w:afterAutospacing="0" w:line="276" w:lineRule="auto"/>
        <w:rPr>
          <w:sz w:val="20"/>
          <w:szCs w:val="20"/>
        </w:rPr>
      </w:pPr>
      <w:r w:rsidRPr="00F01370">
        <w:rPr>
          <w:sz w:val="20"/>
          <w:szCs w:val="20"/>
          <w:vertAlign w:val="superscript"/>
        </w:rPr>
        <w:t>2</w:t>
      </w:r>
      <w:r w:rsidRPr="00F01370">
        <w:rPr>
          <w:sz w:val="20"/>
          <w:szCs w:val="20"/>
        </w:rPr>
        <w:t>Department of Electric</w:t>
      </w:r>
      <w:r w:rsidR="00DC41A2" w:rsidRPr="00F01370">
        <w:rPr>
          <w:sz w:val="20"/>
          <w:szCs w:val="20"/>
        </w:rPr>
        <w:t>al</w:t>
      </w:r>
      <w:r w:rsidRPr="00F01370">
        <w:rPr>
          <w:sz w:val="20"/>
          <w:szCs w:val="20"/>
        </w:rPr>
        <w:t xml:space="preserve"> Engineering and Computer Science, Vanderbilt University, Nashville, TN, USA</w:t>
      </w:r>
    </w:p>
    <w:p w14:paraId="08131541" w14:textId="1F15EB4B" w:rsidR="003271DC" w:rsidRPr="00F01370" w:rsidRDefault="003271DC" w:rsidP="003271DC">
      <w:pPr>
        <w:pStyle w:val="NormalWeb"/>
        <w:shd w:val="clear" w:color="auto" w:fill="FFFFFF"/>
        <w:spacing w:before="0" w:beforeAutospacing="0" w:after="0" w:afterAutospacing="0" w:line="276" w:lineRule="auto"/>
        <w:rPr>
          <w:sz w:val="20"/>
          <w:szCs w:val="20"/>
        </w:rPr>
      </w:pPr>
      <w:r w:rsidRPr="00F01370">
        <w:rPr>
          <w:sz w:val="20"/>
          <w:szCs w:val="20"/>
          <w:vertAlign w:val="superscript"/>
        </w:rPr>
        <w:t>3</w:t>
      </w:r>
      <w:r w:rsidRPr="00F01370">
        <w:rPr>
          <w:sz w:val="20"/>
          <w:szCs w:val="20"/>
        </w:rPr>
        <w:t xml:space="preserve">Photonics Initiative, Advanced Science Research Center, City University of New York, </w:t>
      </w:r>
      <w:r w:rsidR="00180F9D" w:rsidRPr="00F01370">
        <w:rPr>
          <w:sz w:val="20"/>
          <w:szCs w:val="20"/>
        </w:rPr>
        <w:t xml:space="preserve">New York, </w:t>
      </w:r>
      <w:r w:rsidRPr="00F01370">
        <w:rPr>
          <w:sz w:val="20"/>
          <w:szCs w:val="20"/>
        </w:rPr>
        <w:t>NY, 10031, USA</w:t>
      </w:r>
    </w:p>
    <w:p w14:paraId="1A929B16" w14:textId="4AB19F7A" w:rsidR="002C4C4A" w:rsidRPr="00F01370" w:rsidRDefault="003271DC" w:rsidP="003271DC">
      <w:pPr>
        <w:pStyle w:val="NormalWeb"/>
        <w:shd w:val="clear" w:color="auto" w:fill="FFFFFF"/>
        <w:spacing w:before="0" w:beforeAutospacing="0" w:after="0" w:afterAutospacing="0" w:line="276" w:lineRule="auto"/>
        <w:rPr>
          <w:sz w:val="20"/>
          <w:szCs w:val="20"/>
        </w:rPr>
      </w:pPr>
      <w:r w:rsidRPr="00F01370">
        <w:rPr>
          <w:sz w:val="20"/>
          <w:szCs w:val="20"/>
          <w:vertAlign w:val="superscript"/>
        </w:rPr>
        <w:t>4</w:t>
      </w:r>
      <w:r w:rsidR="002C4C4A" w:rsidRPr="00F01370">
        <w:rPr>
          <w:sz w:val="20"/>
          <w:szCs w:val="20"/>
        </w:rPr>
        <w:t>Center for Nanophase Materials Sciences, Oak Ridge National Laboratory, Oak Ridge, Tennessee 37831, USA</w:t>
      </w:r>
    </w:p>
    <w:p w14:paraId="61347A1C" w14:textId="548F1626" w:rsidR="003271DC" w:rsidRPr="00F01370" w:rsidRDefault="002C4C4A" w:rsidP="003271DC">
      <w:pPr>
        <w:pStyle w:val="NormalWeb"/>
        <w:shd w:val="clear" w:color="auto" w:fill="FFFFFF"/>
        <w:spacing w:before="0" w:beforeAutospacing="0" w:after="0" w:afterAutospacing="0" w:line="276" w:lineRule="auto"/>
        <w:rPr>
          <w:sz w:val="20"/>
          <w:szCs w:val="20"/>
        </w:rPr>
      </w:pPr>
      <w:r w:rsidRPr="00F01370">
        <w:rPr>
          <w:sz w:val="20"/>
          <w:szCs w:val="20"/>
          <w:vertAlign w:val="superscript"/>
        </w:rPr>
        <w:t>5</w:t>
      </w:r>
      <w:r w:rsidR="003271DC" w:rsidRPr="00F01370">
        <w:rPr>
          <w:sz w:val="20"/>
          <w:szCs w:val="20"/>
        </w:rPr>
        <w:t>Department of Mechanical Engineering, Vanderbilt University, Nashville, TN, USA</w:t>
      </w:r>
    </w:p>
    <w:p w14:paraId="10518BD2" w14:textId="19F6C053" w:rsidR="00F01370" w:rsidRPr="00F01370" w:rsidRDefault="00F01370" w:rsidP="00F01370">
      <w:pPr>
        <w:pStyle w:val="NormalWeb"/>
        <w:shd w:val="clear" w:color="auto" w:fill="FFFFFF"/>
        <w:spacing w:before="0" w:beforeAutospacing="0" w:after="0" w:afterAutospacing="0" w:line="276" w:lineRule="auto"/>
        <w:rPr>
          <w:color w:val="222222"/>
          <w:sz w:val="20"/>
          <w:szCs w:val="20"/>
          <w:lang w:val="en-GB"/>
        </w:rPr>
      </w:pPr>
      <w:r w:rsidRPr="00F01370">
        <w:rPr>
          <w:sz w:val="20"/>
          <w:szCs w:val="20"/>
        </w:rPr>
        <w:t xml:space="preserve">*these authors contributed equally to this work. </w:t>
      </w:r>
    </w:p>
    <w:p w14:paraId="61B3136A" w14:textId="158EEB52" w:rsidR="005526F1" w:rsidRPr="00F01370" w:rsidRDefault="005526F1" w:rsidP="005526F1">
      <w:pPr>
        <w:spacing w:after="0"/>
        <w:rPr>
          <w:sz w:val="20"/>
          <w:szCs w:val="20"/>
          <w:lang w:val="en-GB"/>
        </w:rPr>
      </w:pPr>
      <w:r w:rsidRPr="00F01370">
        <w:rPr>
          <w:rFonts w:eastAsia="Times New Roman" w:cs="Times New Roman"/>
          <w:color w:val="222222"/>
          <w:sz w:val="20"/>
          <w:szCs w:val="20"/>
          <w:shd w:val="clear" w:color="auto" w:fill="FFFFFF"/>
          <w:vertAlign w:val="superscript"/>
          <w:lang w:val="en-GB" w:eastAsia="pt-BR"/>
        </w:rPr>
        <w:t>†</w:t>
      </w:r>
      <w:r w:rsidRPr="00F01370">
        <w:rPr>
          <w:rFonts w:eastAsia="Times New Roman" w:cs="Times New Roman"/>
          <w:color w:val="222222"/>
          <w:sz w:val="20"/>
          <w:szCs w:val="20"/>
          <w:shd w:val="clear" w:color="auto" w:fill="FFFFFF"/>
          <w:lang w:val="en-GB" w:eastAsia="pt-BR"/>
        </w:rPr>
        <w:t>email: jason.g.valentine@vanderbilt.edu</w:t>
      </w:r>
    </w:p>
    <w:p w14:paraId="209AB01A" w14:textId="3DC7B2B5" w:rsidR="005526F1" w:rsidRPr="00F01370" w:rsidRDefault="00F01370" w:rsidP="003271DC">
      <w:pPr>
        <w:rPr>
          <w:sz w:val="20"/>
          <w:szCs w:val="20"/>
          <w:lang w:val="en-GB"/>
        </w:rPr>
      </w:pPr>
      <w:r w:rsidRPr="00F01370">
        <w:rPr>
          <w:rFonts w:cs="Times New Roman"/>
          <w:color w:val="222222"/>
          <w:sz w:val="20"/>
          <w:szCs w:val="20"/>
          <w:vertAlign w:val="superscript"/>
          <w:lang w:val="en-GB"/>
        </w:rPr>
        <w:t>‡</w:t>
      </w:r>
      <w:r w:rsidR="003271DC" w:rsidRPr="00F01370">
        <w:rPr>
          <w:sz w:val="20"/>
          <w:szCs w:val="20"/>
          <w:lang w:val="en-GB"/>
        </w:rPr>
        <w:t xml:space="preserve">email: </w:t>
      </w:r>
      <w:r w:rsidR="00C11C82" w:rsidRPr="00F01370">
        <w:rPr>
          <w:sz w:val="20"/>
          <w:szCs w:val="20"/>
          <w:lang w:val="en-GB"/>
        </w:rPr>
        <w:t xml:space="preserve">agrbic@umich.edu </w:t>
      </w:r>
    </w:p>
    <w:p w14:paraId="65BDCF37" w14:textId="66D9F6F9" w:rsidR="002C2AE8" w:rsidRDefault="002C2AE8" w:rsidP="00280BC9">
      <w:pPr>
        <w:pStyle w:val="SMH1"/>
      </w:pPr>
      <w:r>
        <w:t>Unit Cell Design and Performance</w:t>
      </w:r>
    </w:p>
    <w:p w14:paraId="51082C38" w14:textId="30F943BB" w:rsidR="002C2AE8" w:rsidRDefault="00154E1E" w:rsidP="00A9522E">
      <w:pPr>
        <w:pStyle w:val="SMH2"/>
      </w:pPr>
      <w:r>
        <w:t>Simulation of Unit Cell vs. Dimensions</w:t>
      </w:r>
    </w:p>
    <w:p w14:paraId="65A833EC" w14:textId="6BC64768" w:rsidR="00A950B0" w:rsidRDefault="00D101DF" w:rsidP="00F55CEB">
      <w:pPr>
        <w:jc w:val="both"/>
        <w:rPr>
          <w:lang w:val="en-GB"/>
        </w:rPr>
      </w:pPr>
      <w:r>
        <w:rPr>
          <w:lang w:val="en-GB"/>
        </w:rPr>
        <w:t xml:space="preserve">Each </w:t>
      </w:r>
      <w:r w:rsidR="00672FAC">
        <w:rPr>
          <w:lang w:val="en-GB"/>
        </w:rPr>
        <w:t xml:space="preserve">compound </w:t>
      </w:r>
      <w:r w:rsidR="005314ED">
        <w:rPr>
          <w:lang w:val="en-GB"/>
        </w:rPr>
        <w:t>meta-optic</w:t>
      </w:r>
      <w:r w:rsidR="00672FAC">
        <w:rPr>
          <w:lang w:val="en-GB"/>
        </w:rPr>
        <w:t xml:space="preserve"> is composed of two metasurfaces applying a polarization-independent </w:t>
      </w:r>
      <w:r w:rsidR="00676A2E">
        <w:rPr>
          <w:lang w:val="en-GB"/>
        </w:rPr>
        <w:t>phase profile onto</w:t>
      </w:r>
      <w:r w:rsidR="00672FAC">
        <w:rPr>
          <w:lang w:val="en-GB"/>
        </w:rPr>
        <w:t xml:space="preserve"> the incident wave. </w:t>
      </w:r>
      <w:r w:rsidR="007460D5">
        <w:rPr>
          <w:lang w:val="en-GB"/>
        </w:rPr>
        <w:t>The</w:t>
      </w:r>
      <w:r w:rsidR="00672FAC">
        <w:rPr>
          <w:lang w:val="en-GB"/>
        </w:rPr>
        <w:t xml:space="preserve"> metasurface</w:t>
      </w:r>
      <w:r w:rsidR="007460D5">
        <w:rPr>
          <w:lang w:val="en-GB"/>
        </w:rPr>
        <w:t>s</w:t>
      </w:r>
      <w:r w:rsidR="00672FAC">
        <w:rPr>
          <w:lang w:val="en-GB"/>
        </w:rPr>
        <w:t xml:space="preserve"> </w:t>
      </w:r>
      <w:r w:rsidR="007460D5">
        <w:rPr>
          <w:lang w:val="en-GB"/>
        </w:rPr>
        <w:t>are</w:t>
      </w:r>
      <w:r w:rsidR="00672FAC">
        <w:rPr>
          <w:lang w:val="en-GB"/>
        </w:rPr>
        <w:t xml:space="preserve"> implemented </w:t>
      </w:r>
      <w:r w:rsidR="008749B2">
        <w:rPr>
          <w:lang w:val="en-GB"/>
        </w:rPr>
        <w:t>as array</w:t>
      </w:r>
      <w:r w:rsidR="007460D5">
        <w:rPr>
          <w:lang w:val="en-GB"/>
        </w:rPr>
        <w:t>s</w:t>
      </w:r>
      <w:r w:rsidR="008749B2">
        <w:rPr>
          <w:lang w:val="en-GB"/>
        </w:rPr>
        <w:t xml:space="preserve"> of</w:t>
      </w:r>
      <w:r w:rsidR="00672FAC">
        <w:rPr>
          <w:lang w:val="en-GB"/>
        </w:rPr>
        <w:t xml:space="preserve"> high dielectric contrast nanopillars, which</w:t>
      </w:r>
      <w:r w:rsidR="00676A2E">
        <w:rPr>
          <w:lang w:val="en-GB"/>
        </w:rPr>
        <w:t xml:space="preserve"> locally</w:t>
      </w:r>
      <w:r w:rsidR="00672FAC">
        <w:rPr>
          <w:lang w:val="en-GB"/>
        </w:rPr>
        <w:t xml:space="preserve"> provide the desired </w:t>
      </w:r>
      <w:r w:rsidR="00FC4103">
        <w:rPr>
          <w:lang w:val="en-GB"/>
        </w:rPr>
        <w:t xml:space="preserve">transmission </w:t>
      </w:r>
      <w:r w:rsidR="00672FAC">
        <w:rPr>
          <w:lang w:val="en-GB"/>
        </w:rPr>
        <w:t>phase shift by varying the diameter of the nanopillar</w:t>
      </w:r>
      <w:r w:rsidR="00FC4103">
        <w:rPr>
          <w:lang w:val="en-GB"/>
        </w:rPr>
        <w:t>s</w:t>
      </w:r>
      <w:r w:rsidR="00672FAC">
        <w:rPr>
          <w:lang w:val="en-GB"/>
        </w:rPr>
        <w:t xml:space="preserve"> across the metasurface. </w:t>
      </w:r>
      <w:r w:rsidR="008749B2">
        <w:rPr>
          <w:lang w:val="en-GB"/>
        </w:rPr>
        <w:fldChar w:fldCharType="begin"/>
      </w:r>
      <w:r w:rsidR="008749B2">
        <w:rPr>
          <w:lang w:val="en-GB"/>
        </w:rPr>
        <w:instrText xml:space="preserve"> REF _Ref58402566 \h </w:instrText>
      </w:r>
      <w:r w:rsidR="00F55CEB">
        <w:rPr>
          <w:lang w:val="en-GB"/>
        </w:rPr>
        <w:instrText xml:space="preserve"> \* MERGEFORMAT </w:instrText>
      </w:r>
      <w:r w:rsidR="008749B2">
        <w:rPr>
          <w:lang w:val="en-GB"/>
        </w:rPr>
      </w:r>
      <w:r w:rsidR="008749B2">
        <w:rPr>
          <w:lang w:val="en-GB"/>
        </w:rPr>
        <w:fldChar w:fldCharType="separate"/>
      </w:r>
      <w:r w:rsidR="00B15E0E">
        <w:t>Figure S1</w:t>
      </w:r>
      <w:r w:rsidR="008749B2">
        <w:rPr>
          <w:lang w:val="en-GB"/>
        </w:rPr>
        <w:fldChar w:fldCharType="end"/>
      </w:r>
      <w:r w:rsidR="008749B2">
        <w:rPr>
          <w:lang w:val="en-GB"/>
        </w:rPr>
        <w:t xml:space="preserve">(a) shows a schematic of the metasurface unit cell and the relevant dimensions. The unit cell </w:t>
      </w:r>
      <w:r w:rsidR="00DB46FA">
        <w:rPr>
          <w:lang w:val="en-GB"/>
        </w:rPr>
        <w:t>dimension</w:t>
      </w:r>
      <w:r w:rsidR="00607FA0">
        <w:rPr>
          <w:lang w:val="en-GB"/>
        </w:rPr>
        <w:t>s</w:t>
      </w:r>
      <w:r w:rsidR="008749B2">
        <w:rPr>
          <w:lang w:val="en-GB"/>
        </w:rPr>
        <w:t xml:space="preserve"> can be varied to achieve a desired transmission</w:t>
      </w:r>
      <w:r w:rsidR="00F40596">
        <w:rPr>
          <w:lang w:val="en-GB"/>
        </w:rPr>
        <w:t xml:space="preserve"> profile</w:t>
      </w:r>
      <w:r w:rsidR="008749B2">
        <w:rPr>
          <w:lang w:val="en-GB"/>
        </w:rPr>
        <w:t xml:space="preserve"> as a function of pillar diameter. In this case, a large phase coverage with high transmission magnitude is desired. To find </w:t>
      </w:r>
      <w:r w:rsidR="00E80F3D">
        <w:rPr>
          <w:lang w:val="en-GB"/>
        </w:rPr>
        <w:t xml:space="preserve">the desired </w:t>
      </w:r>
      <w:r w:rsidR="008749B2">
        <w:rPr>
          <w:lang w:val="en-GB"/>
        </w:rPr>
        <w:t xml:space="preserve">pillar dimensions, </w:t>
      </w:r>
      <w:r w:rsidR="00DB46FA">
        <w:rPr>
          <w:lang w:val="en-GB"/>
        </w:rPr>
        <w:t xml:space="preserve">simulations of </w:t>
      </w:r>
      <w:r w:rsidR="007460D5">
        <w:rPr>
          <w:lang w:val="en-GB"/>
        </w:rPr>
        <w:t xml:space="preserve">the </w:t>
      </w:r>
      <w:r w:rsidR="00DB46FA">
        <w:rPr>
          <w:lang w:val="en-GB"/>
        </w:rPr>
        <w:t xml:space="preserve">metasurface unit cell (with </w:t>
      </w:r>
      <w:proofErr w:type="spellStart"/>
      <w:r w:rsidR="00676A2E">
        <w:rPr>
          <w:lang w:val="en-GB"/>
        </w:rPr>
        <w:t>Floquet</w:t>
      </w:r>
      <w:proofErr w:type="spellEnd"/>
      <w:r w:rsidR="00DB46FA">
        <w:rPr>
          <w:lang w:val="en-GB"/>
        </w:rPr>
        <w:t xml:space="preserve"> boundary conditions to simulate a </w:t>
      </w:r>
      <w:r w:rsidR="00676A2E">
        <w:rPr>
          <w:lang w:val="en-GB"/>
        </w:rPr>
        <w:t>periodic</w:t>
      </w:r>
      <w:r w:rsidR="00DB46FA">
        <w:rPr>
          <w:lang w:val="en-GB"/>
        </w:rPr>
        <w:t xml:space="preserve"> array) were performed to determine the transmission magnitude as a function of the pillar diameter and the period, pillar height, or wavelength (see </w:t>
      </w:r>
      <w:r w:rsidR="00DB46FA">
        <w:rPr>
          <w:lang w:val="en-GB"/>
        </w:rPr>
        <w:fldChar w:fldCharType="begin"/>
      </w:r>
      <w:r w:rsidR="00DB46FA">
        <w:rPr>
          <w:lang w:val="en-GB"/>
        </w:rPr>
        <w:instrText xml:space="preserve"> REF _Ref58402566 \h </w:instrText>
      </w:r>
      <w:r w:rsidR="00F55CEB">
        <w:rPr>
          <w:lang w:val="en-GB"/>
        </w:rPr>
        <w:instrText xml:space="preserve"> \* MERGEFORMAT </w:instrText>
      </w:r>
      <w:r w:rsidR="00DB46FA">
        <w:rPr>
          <w:lang w:val="en-GB"/>
        </w:rPr>
      </w:r>
      <w:r w:rsidR="00DB46FA">
        <w:rPr>
          <w:lang w:val="en-GB"/>
        </w:rPr>
        <w:fldChar w:fldCharType="separate"/>
      </w:r>
      <w:r w:rsidR="00B15E0E">
        <w:t>Figure S1</w:t>
      </w:r>
      <w:r w:rsidR="00DB46FA">
        <w:rPr>
          <w:lang w:val="en-GB"/>
        </w:rPr>
        <w:fldChar w:fldCharType="end"/>
      </w:r>
      <w:r w:rsidR="00DB46FA">
        <w:rPr>
          <w:lang w:val="en-GB"/>
        </w:rPr>
        <w:t>(b)-(</w:t>
      </w:r>
      <w:r w:rsidR="00B361C2">
        <w:rPr>
          <w:lang w:val="en-GB"/>
        </w:rPr>
        <w:t>d</w:t>
      </w:r>
      <w:r w:rsidR="00DB46FA">
        <w:rPr>
          <w:lang w:val="en-GB"/>
        </w:rPr>
        <w:t xml:space="preserve">)). </w:t>
      </w:r>
      <w:r w:rsidR="007460D5">
        <w:rPr>
          <w:lang w:val="en-GB"/>
        </w:rPr>
        <w:t>T</w:t>
      </w:r>
      <w:r w:rsidR="00DB46FA">
        <w:rPr>
          <w:lang w:val="en-GB"/>
        </w:rPr>
        <w:t>he transmission phase will change as the pillar diameter changes, so dimensions are sought which maximize transmission magnitude.</w:t>
      </w:r>
      <w:r w:rsidR="008749B2">
        <w:rPr>
          <w:lang w:val="en-GB"/>
        </w:rPr>
        <w:t xml:space="preserve"> </w:t>
      </w:r>
    </w:p>
    <w:p w14:paraId="2AF23F3C" w14:textId="4EC2BC82" w:rsidR="00514A2F" w:rsidRDefault="00B361C2" w:rsidP="00F55CEB">
      <w:pPr>
        <w:jc w:val="both"/>
        <w:rPr>
          <w:rFonts w:eastAsiaTheme="minorEastAsia"/>
          <w:lang w:val="en-GB"/>
        </w:rPr>
      </w:pPr>
      <w:r>
        <w:rPr>
          <w:lang w:val="en-GB"/>
        </w:rPr>
        <w:fldChar w:fldCharType="begin"/>
      </w:r>
      <w:r>
        <w:rPr>
          <w:lang w:val="en-GB"/>
        </w:rPr>
        <w:instrText xml:space="preserve"> REF _Ref58402566 \h </w:instrText>
      </w:r>
      <w:r w:rsidR="00F55CEB">
        <w:rPr>
          <w:lang w:val="en-GB"/>
        </w:rPr>
        <w:instrText xml:space="preserve"> \* MERGEFORMAT </w:instrText>
      </w:r>
      <w:r>
        <w:rPr>
          <w:lang w:val="en-GB"/>
        </w:rPr>
      </w:r>
      <w:r>
        <w:rPr>
          <w:lang w:val="en-GB"/>
        </w:rPr>
        <w:fldChar w:fldCharType="separate"/>
      </w:r>
      <w:r w:rsidR="00B15E0E">
        <w:t>Figure S1</w:t>
      </w:r>
      <w:r>
        <w:rPr>
          <w:lang w:val="en-GB"/>
        </w:rPr>
        <w:fldChar w:fldCharType="end"/>
      </w:r>
      <w:r>
        <w:rPr>
          <w:lang w:val="en-GB"/>
        </w:rPr>
        <w:t xml:space="preserve">(b)-(d) show that a high transmission magnitude as a function of diameter can be achieved for a unit cell period of </w:t>
      </w:r>
      <m:oMath>
        <m:r>
          <w:rPr>
            <w:rFonts w:ascii="Cambria Math" w:hAnsi="Cambria Math"/>
            <w:lang w:val="en-GB"/>
          </w:rPr>
          <m:t>p=570nm</m:t>
        </m:r>
      </m:oMath>
      <w:r>
        <w:rPr>
          <w:rFonts w:eastAsiaTheme="minorEastAsia"/>
          <w:lang w:val="en-GB"/>
        </w:rPr>
        <w:t xml:space="preserve">, pillar height of </w:t>
      </w:r>
      <m:oMath>
        <m:r>
          <w:rPr>
            <w:rFonts w:ascii="Cambria Math" w:eastAsiaTheme="minorEastAsia" w:hAnsi="Cambria Math"/>
            <w:lang w:val="en-GB"/>
          </w:rPr>
          <m:t>h=850nm</m:t>
        </m:r>
      </m:oMath>
      <w:r>
        <w:rPr>
          <w:rFonts w:eastAsiaTheme="minorEastAsia"/>
          <w:lang w:val="en-GB"/>
        </w:rPr>
        <w:t xml:space="preserve">, and operating wavelength of </w:t>
      </w:r>
      <m:oMath>
        <m:sSub>
          <m:sSubPr>
            <m:ctrlPr>
              <w:rPr>
                <w:rFonts w:ascii="Cambria Math" w:eastAsiaTheme="minorEastAsia" w:hAnsi="Cambria Math"/>
                <w:i/>
                <w:lang w:val="en-GB"/>
              </w:rPr>
            </m:ctrlPr>
          </m:sSubPr>
          <m:e>
            <m:r>
              <w:rPr>
                <w:rFonts w:ascii="Cambria Math" w:eastAsiaTheme="minorEastAsia" w:hAnsi="Cambria Math"/>
                <w:lang w:val="en-GB"/>
              </w:rPr>
              <m:t>λ</m:t>
            </m:r>
          </m:e>
          <m:sub>
            <m:r>
              <w:rPr>
                <w:rFonts w:ascii="Cambria Math" w:eastAsiaTheme="minorEastAsia" w:hAnsi="Cambria Math"/>
                <w:lang w:val="en-GB"/>
              </w:rPr>
              <m:t>0</m:t>
            </m:r>
          </m:sub>
        </m:sSub>
        <m:r>
          <w:rPr>
            <w:rFonts w:ascii="Cambria Math" w:eastAsiaTheme="minorEastAsia" w:hAnsi="Cambria Math"/>
            <w:lang w:val="en-GB"/>
          </w:rPr>
          <m:t>=1.3μm</m:t>
        </m:r>
      </m:oMath>
      <w:r>
        <w:rPr>
          <w:rFonts w:eastAsiaTheme="minorEastAsia"/>
          <w:lang w:val="en-GB"/>
        </w:rPr>
        <w:t xml:space="preserve">. </w:t>
      </w:r>
      <w:r w:rsidR="007460D5">
        <w:rPr>
          <w:rFonts w:eastAsiaTheme="minorEastAsia"/>
          <w:lang w:val="en-GB"/>
        </w:rPr>
        <w:t>T</w:t>
      </w:r>
      <w:r w:rsidR="00743CCF">
        <w:rPr>
          <w:rFonts w:eastAsiaTheme="minorEastAsia"/>
          <w:lang w:val="en-GB"/>
        </w:rPr>
        <w:t xml:space="preserve">he transmission magnitude and phase are shown in </w:t>
      </w:r>
      <w:r w:rsidR="00743CCF">
        <w:rPr>
          <w:lang w:val="en-GB"/>
        </w:rPr>
        <w:fldChar w:fldCharType="begin"/>
      </w:r>
      <w:r w:rsidR="00743CCF">
        <w:rPr>
          <w:lang w:val="en-GB"/>
        </w:rPr>
        <w:instrText xml:space="preserve"> REF _Ref58402566 \h </w:instrText>
      </w:r>
      <w:r w:rsidR="00F55CEB">
        <w:rPr>
          <w:lang w:val="en-GB"/>
        </w:rPr>
        <w:instrText xml:space="preserve"> \* MERGEFORMAT </w:instrText>
      </w:r>
      <w:r w:rsidR="00743CCF">
        <w:rPr>
          <w:lang w:val="en-GB"/>
        </w:rPr>
      </w:r>
      <w:r w:rsidR="00743CCF">
        <w:rPr>
          <w:lang w:val="en-GB"/>
        </w:rPr>
        <w:fldChar w:fldCharType="separate"/>
      </w:r>
      <w:r w:rsidR="00B15E0E">
        <w:t>Figure S1</w:t>
      </w:r>
      <w:r w:rsidR="00743CCF">
        <w:rPr>
          <w:lang w:val="en-GB"/>
        </w:rPr>
        <w:fldChar w:fldCharType="end"/>
      </w:r>
      <w:r w:rsidR="00743CCF">
        <w:rPr>
          <w:lang w:val="en-GB"/>
        </w:rPr>
        <w:t>(e)</w:t>
      </w:r>
      <w:r w:rsidR="007460D5">
        <w:rPr>
          <w:lang w:val="en-GB"/>
        </w:rPr>
        <w:t xml:space="preserve"> for these dimensions</w:t>
      </w:r>
      <w:r w:rsidR="00743CCF">
        <w:rPr>
          <w:lang w:val="en-GB"/>
        </w:rPr>
        <w:t xml:space="preserve">. By using pillars with diameters ranging from </w:t>
      </w:r>
      <m:oMath>
        <m:r>
          <w:rPr>
            <w:rFonts w:ascii="Cambria Math" w:hAnsi="Cambria Math"/>
            <w:lang w:val="en-GB"/>
          </w:rPr>
          <m:t>125nm</m:t>
        </m:r>
      </m:oMath>
      <w:r w:rsidR="00743CCF">
        <w:rPr>
          <w:rFonts w:eastAsiaTheme="minorEastAsia"/>
          <w:lang w:val="en-GB"/>
        </w:rPr>
        <w:t xml:space="preserve"> to </w:t>
      </w:r>
      <m:oMath>
        <m:r>
          <w:rPr>
            <w:rFonts w:ascii="Cambria Math" w:eastAsiaTheme="minorEastAsia" w:hAnsi="Cambria Math"/>
            <w:lang w:val="en-GB"/>
          </w:rPr>
          <m:t>400nm</m:t>
        </m:r>
      </m:oMath>
      <w:r w:rsidR="00B15E0E">
        <w:rPr>
          <w:rFonts w:eastAsiaTheme="minorEastAsia"/>
          <w:lang w:val="en-GB"/>
        </w:rPr>
        <w:t xml:space="preserve">, </w:t>
      </w:r>
      <w:r w:rsidR="00743CCF">
        <w:rPr>
          <w:rFonts w:eastAsiaTheme="minorEastAsia"/>
          <w:lang w:val="en-GB"/>
        </w:rPr>
        <w:t xml:space="preserve">a transmission phase coverage of </w:t>
      </w:r>
      <w:r w:rsidR="00743CCF" w:rsidRPr="00FC4103">
        <w:rPr>
          <w:rFonts w:eastAsiaTheme="minorEastAsia"/>
          <w:lang w:val="en-GB"/>
        </w:rPr>
        <w:t>78%</w:t>
      </w:r>
      <w:r w:rsidR="00743CCF">
        <w:rPr>
          <w:rFonts w:eastAsiaTheme="minorEastAsia"/>
          <w:lang w:val="en-GB"/>
        </w:rPr>
        <w:t xml:space="preserve"> with transmission </w:t>
      </w:r>
      <w:r w:rsidR="00743CCF" w:rsidRPr="00FC4103">
        <w:rPr>
          <w:rFonts w:eastAsiaTheme="minorEastAsia"/>
          <w:lang w:val="en-GB"/>
        </w:rPr>
        <w:t>above 0.93</w:t>
      </w:r>
      <w:r w:rsidR="00743CCF">
        <w:rPr>
          <w:rFonts w:eastAsiaTheme="minorEastAsia"/>
          <w:lang w:val="en-GB"/>
        </w:rPr>
        <w:t xml:space="preserve"> is achieved. </w:t>
      </w:r>
      <w:r w:rsidR="00607FA0">
        <w:rPr>
          <w:rFonts w:eastAsiaTheme="minorEastAsia"/>
          <w:lang w:val="en-GB"/>
        </w:rPr>
        <w:t xml:space="preserve">Pillar diameters of 310nm-330nm were skipped in the three-dimensional hologram </w:t>
      </w:r>
      <w:r w:rsidR="005314ED">
        <w:rPr>
          <w:rFonts w:eastAsiaTheme="minorEastAsia"/>
          <w:lang w:val="en-GB"/>
        </w:rPr>
        <w:t>meta-optic</w:t>
      </w:r>
      <w:r w:rsidR="00607FA0">
        <w:rPr>
          <w:rFonts w:eastAsiaTheme="minorEastAsia"/>
          <w:lang w:val="en-GB"/>
        </w:rPr>
        <w:t xml:space="preserve"> design because low-transmission contours were observed in measurement at these diameters. See Section </w:t>
      </w:r>
      <w:r w:rsidR="00607FA0">
        <w:rPr>
          <w:rFonts w:eastAsiaTheme="minorEastAsia"/>
          <w:lang w:val="en-GB"/>
        </w:rPr>
        <w:fldChar w:fldCharType="begin"/>
      </w:r>
      <w:r w:rsidR="00607FA0">
        <w:rPr>
          <w:rFonts w:eastAsiaTheme="minorEastAsia"/>
          <w:lang w:val="en-GB"/>
        </w:rPr>
        <w:instrText xml:space="preserve"> REF _Ref62203446 \r \h </w:instrText>
      </w:r>
      <w:r w:rsidR="00607FA0">
        <w:rPr>
          <w:rFonts w:eastAsiaTheme="minorEastAsia"/>
          <w:lang w:val="en-GB"/>
        </w:rPr>
      </w:r>
      <w:r w:rsidR="00607FA0">
        <w:rPr>
          <w:rFonts w:eastAsiaTheme="minorEastAsia"/>
          <w:lang w:val="en-GB"/>
        </w:rPr>
        <w:fldChar w:fldCharType="separate"/>
      </w:r>
      <w:r w:rsidR="00B15E0E">
        <w:rPr>
          <w:rFonts w:eastAsiaTheme="minorEastAsia"/>
          <w:lang w:val="en-GB"/>
        </w:rPr>
        <w:t>S1.2</w:t>
      </w:r>
      <w:r w:rsidR="00607FA0">
        <w:rPr>
          <w:rFonts w:eastAsiaTheme="minorEastAsia"/>
          <w:lang w:val="en-GB"/>
        </w:rPr>
        <w:fldChar w:fldCharType="end"/>
      </w:r>
      <w:r w:rsidR="00607FA0">
        <w:rPr>
          <w:rFonts w:eastAsiaTheme="minorEastAsia"/>
          <w:lang w:val="en-GB"/>
        </w:rPr>
        <w:t xml:space="preserve"> for additional details. </w:t>
      </w:r>
    </w:p>
    <w:p w14:paraId="0E122833" w14:textId="2A0B350E" w:rsidR="00743CCF" w:rsidRPr="00A950B0" w:rsidRDefault="002A128A" w:rsidP="00F55CEB">
      <w:pPr>
        <w:jc w:val="both"/>
        <w:rPr>
          <w:lang w:val="en-GB"/>
        </w:rPr>
      </w:pPr>
      <w:r>
        <w:rPr>
          <w:lang w:val="en-GB"/>
        </w:rPr>
        <w:t>The locally period approximation</w:t>
      </w:r>
      <w:r w:rsidR="005D0B38">
        <w:rPr>
          <w:lang w:val="en-GB"/>
        </w:rPr>
        <w:fldChar w:fldCharType="begin" w:fldLock="1"/>
      </w:r>
      <w:r w:rsidR="005D0B38">
        <w:rPr>
          <w:lang w:val="en-GB"/>
        </w:rPr>
        <w:instrText>ADDIN CSL_CITATION {"citationItems":[{"id":"ITEM-1","itemData":{"DOI":"10.1063/1.4810873","ISSN":"0003-6951","author":[{"dropping-particle":"","family":"Pfeiffer","given":"Carl","non-dropping-particle":"","parse-names":false,"suffix":""},{"dropping-particle":"","family":"Grbic","given":"Anthony","non-dropping-particle":"","parse-names":false,"suffix":""}],"container-title":"Applied Physics Letters","id":"ITEM-1","issue":"23","issued":{"date-parts":[["2013","6","10"]]},"title":"Cascaded metasurfaces for complete phase and polarization control","type":"article-journal","volume":"102"},"uris":["http://www.mendeley.com/documents/?uuid=b841ce09-b6b4-30eb-94d4-1c4dc2b62d06"]},{"id":"ITEM-2","itemData":{"DOI":"10.1364/OE.26.033732","ISSN":"1094-4087","author":[{"dropping-particle":"","family":"Pestourie","given":"Raphaël","non-dropping-particle":"","parse-names":false,"suffix":""},{"dropping-particle":"","family":"Pérez-Arancibia","given":"Carlos","non-dropping-particle":"","parse-names":false,"suffix":""},{"dropping-particle":"","family":"Lin","given":"Zin","non-dropping-particle":"","parse-names":false,"suffix":""},{"dropping-particle":"","family":"Shin","given":"Wonseok","non-dropping-particle":"","parse-names":false,"suffix":""},{"dropping-particle":"","family":"Capasso","given":"Federico","non-dropping-particle":"","parse-names":false,"suffix":""},{"dropping-particle":"","family":"Johnson","given":"Steven G.","non-dropping-particle":"","parse-names":false,"suffix":""}],"container-title":"Optics Express","id":"ITEM-2","issue":"26","issued":{"date-parts":[["2018","12","24"]]},"title":"Inverse design of large-area metasurfaces","type":"article-journal","volume":"26"},"uris":["http://www.mendeley.com/documents/?uuid=9c3c8f77-d63a-3f1c-8dda-195761f8eae7"]}],"mendeley":{"formattedCitation":"&lt;sup&gt;1,2&lt;/sup&gt;","plainTextFormattedCitation":"1,2","previouslyFormattedCitation":"&lt;sup&gt;1,2&lt;/sup&gt;"},"properties":{"noteIndex":0},"schema":"https://github.com/citation-style-language/schema/raw/master/csl-citation.json"}</w:instrText>
      </w:r>
      <w:r w:rsidR="005D0B38">
        <w:rPr>
          <w:lang w:val="en-GB"/>
        </w:rPr>
        <w:fldChar w:fldCharType="separate"/>
      </w:r>
      <w:r w:rsidR="005D0B38" w:rsidRPr="007F1287">
        <w:rPr>
          <w:noProof/>
          <w:vertAlign w:val="superscript"/>
          <w:lang w:val="en-GB"/>
        </w:rPr>
        <w:t>1,2</w:t>
      </w:r>
      <w:r w:rsidR="005D0B38">
        <w:rPr>
          <w:lang w:val="en-GB"/>
        </w:rPr>
        <w:fldChar w:fldCharType="end"/>
      </w:r>
      <w:r>
        <w:rPr>
          <w:lang w:val="en-GB"/>
        </w:rPr>
        <w:t xml:space="preserve"> was used to simplify the design of the metasurfaces</w:t>
      </w:r>
      <w:r w:rsidR="005D0B38">
        <w:rPr>
          <w:lang w:val="en-GB"/>
        </w:rPr>
        <w:t>. T</w:t>
      </w:r>
      <w:r w:rsidR="00192085">
        <w:rPr>
          <w:lang w:val="en-GB"/>
        </w:rPr>
        <w:t>he pillar diameters</w:t>
      </w:r>
      <w:r w:rsidR="005D0B38">
        <w:rPr>
          <w:lang w:val="en-GB"/>
        </w:rPr>
        <w:t xml:space="preserve"> of the array</w:t>
      </w:r>
      <w:r w:rsidR="00192085">
        <w:rPr>
          <w:lang w:val="en-GB"/>
        </w:rPr>
        <w:t xml:space="preserve"> were determined by matching the </w:t>
      </w:r>
      <w:r>
        <w:rPr>
          <w:lang w:val="en-GB"/>
        </w:rPr>
        <w:t xml:space="preserve">desired local transmission </w:t>
      </w:r>
      <w:r w:rsidR="008C26C9">
        <w:rPr>
          <w:lang w:val="en-GB"/>
        </w:rPr>
        <w:t>to</w:t>
      </w:r>
      <w:r w:rsidR="005D0B38">
        <w:rPr>
          <w:lang w:val="en-GB"/>
        </w:rPr>
        <w:t xml:space="preserve"> the transmission obtained from periodic simulations of each unit cell. This approximation is commonly used</w:t>
      </w:r>
      <w:r w:rsidR="00BF6AB7">
        <w:rPr>
          <w:lang w:val="en-GB"/>
        </w:rPr>
        <w:t xml:space="preserve">, with resulting metasurface performance </w:t>
      </w:r>
      <w:r w:rsidR="007460D5">
        <w:rPr>
          <w:lang w:val="en-GB"/>
        </w:rPr>
        <w:t xml:space="preserve">largely </w:t>
      </w:r>
      <w:r w:rsidR="00BF6AB7">
        <w:rPr>
          <w:lang w:val="en-GB"/>
        </w:rPr>
        <w:t xml:space="preserve">matching the desired transmission characteristics. </w:t>
      </w:r>
      <w:r w:rsidR="002F260C">
        <w:rPr>
          <w:lang w:val="en-GB"/>
        </w:rPr>
        <w:t xml:space="preserve">The </w:t>
      </w:r>
      <w:r w:rsidR="00607FA0">
        <w:rPr>
          <w:lang w:val="en-GB"/>
        </w:rPr>
        <w:t xml:space="preserve">most significant </w:t>
      </w:r>
      <w:r w:rsidR="002F260C">
        <w:rPr>
          <w:lang w:val="en-GB"/>
        </w:rPr>
        <w:t xml:space="preserve">exception is the contour between the smallest-diameter pillars and the largest-diameter pillars, where simulations of the full metasurface show </w:t>
      </w:r>
      <w:r w:rsidR="00607FA0">
        <w:rPr>
          <w:lang w:val="en-GB"/>
        </w:rPr>
        <w:t xml:space="preserve">slightly </w:t>
      </w:r>
      <w:r w:rsidR="002F260C">
        <w:rPr>
          <w:lang w:val="en-GB"/>
        </w:rPr>
        <w:t>reduced transmission compared to the local-periodic expectation. However, this is a small error in the transmitted field and does not significant</w:t>
      </w:r>
      <w:r w:rsidR="00676A2E">
        <w:rPr>
          <w:lang w:val="en-GB"/>
        </w:rPr>
        <w:t>ly</w:t>
      </w:r>
      <w:r w:rsidR="002F260C">
        <w:rPr>
          <w:lang w:val="en-GB"/>
        </w:rPr>
        <w:t xml:space="preserve"> alter the resulting output field of the </w:t>
      </w:r>
      <w:r w:rsidR="005314ED">
        <w:rPr>
          <w:lang w:val="en-GB"/>
        </w:rPr>
        <w:t>meta-optic</w:t>
      </w:r>
      <w:r w:rsidR="002F260C">
        <w:rPr>
          <w:lang w:val="en-GB"/>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A05048" w14:paraId="059920D4" w14:textId="77777777" w:rsidTr="00E80F3D">
        <w:tc>
          <w:tcPr>
            <w:tcW w:w="9350" w:type="dxa"/>
          </w:tcPr>
          <w:p w14:paraId="02AEC3C5" w14:textId="7C6656FD" w:rsidR="00A05048" w:rsidRDefault="00667AB5" w:rsidP="0028530B">
            <w:pPr>
              <w:pStyle w:val="Caption"/>
              <w:rPr>
                <w:lang w:val="en-GB"/>
              </w:rPr>
            </w:pPr>
            <w:bookmarkStart w:id="0" w:name="_Ref62204199"/>
            <w:bookmarkStart w:id="1" w:name="_Ref56605583"/>
            <w:bookmarkStart w:id="2" w:name="_Toc57712479"/>
            <w:r>
              <w:rPr>
                <w:noProof/>
              </w:rPr>
              <w:lastRenderedPageBreak/>
              <w:drawing>
                <wp:anchor distT="0" distB="0" distL="114300" distR="114300" simplePos="0" relativeHeight="251662336" behindDoc="0" locked="0" layoutInCell="1" allowOverlap="1" wp14:anchorId="41E1194C" wp14:editId="41D8AFEB">
                  <wp:simplePos x="0" y="0"/>
                  <wp:positionH relativeFrom="column">
                    <wp:posOffset>612775</wp:posOffset>
                  </wp:positionH>
                  <wp:positionV relativeFrom="paragraph">
                    <wp:posOffset>0</wp:posOffset>
                  </wp:positionV>
                  <wp:extent cx="4334510" cy="2816225"/>
                  <wp:effectExtent l="0" t="0" r="8890" b="3175"/>
                  <wp:wrapTopAndBottom/>
                  <wp:docPr id="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4334510" cy="2816225"/>
                          </a:xfrm>
                          <a:prstGeom prst="rect">
                            <a:avLst/>
                          </a:prstGeom>
                        </pic:spPr>
                      </pic:pic>
                    </a:graphicData>
                  </a:graphic>
                  <wp14:sizeRelH relativeFrom="margin">
                    <wp14:pctWidth>0</wp14:pctWidth>
                  </wp14:sizeRelH>
                  <wp14:sizeRelV relativeFrom="margin">
                    <wp14:pctHeight>0</wp14:pctHeight>
                  </wp14:sizeRelV>
                </wp:anchor>
              </w:drawing>
            </w:r>
            <w:bookmarkStart w:id="3" w:name="_Ref58402566"/>
            <w:r w:rsidR="001976C6">
              <w:t>Figure S</w:t>
            </w:r>
            <w:r w:rsidR="003A5086">
              <w:fldChar w:fldCharType="begin"/>
            </w:r>
            <w:r w:rsidR="003A5086">
              <w:instrText xml:space="preserve"> SEQ Figure_S \* ARABIC </w:instrText>
            </w:r>
            <w:r w:rsidR="003A5086">
              <w:fldChar w:fldCharType="separate"/>
            </w:r>
            <w:r w:rsidR="00A67938">
              <w:rPr>
                <w:noProof/>
              </w:rPr>
              <w:t>1</w:t>
            </w:r>
            <w:r w:rsidR="003A5086">
              <w:rPr>
                <w:noProof/>
              </w:rPr>
              <w:fldChar w:fldCharType="end"/>
            </w:r>
            <w:bookmarkEnd w:id="0"/>
            <w:bookmarkEnd w:id="3"/>
            <w:r w:rsidR="001976C6">
              <w:t xml:space="preserve">: </w:t>
            </w:r>
            <w:bookmarkEnd w:id="1"/>
            <w:r w:rsidR="00A05048" w:rsidRPr="00777332">
              <w:t xml:space="preserve">Unit cell </w:t>
            </w:r>
            <w:r w:rsidR="00DC41A2">
              <w:t xml:space="preserve">geometry </w:t>
            </w:r>
            <w:r w:rsidR="00A05048">
              <w:t xml:space="preserve">and </w:t>
            </w:r>
            <w:r w:rsidR="00A05048" w:rsidRPr="00777332">
              <w:t>transmission of silicon nanopillars</w:t>
            </w:r>
            <w:r w:rsidR="00A05048">
              <w:t xml:space="preserve"> to implement the phase-discontinuous metasurfaces. </w:t>
            </w:r>
            <w:r w:rsidR="00E80F3D" w:rsidRPr="00E80F3D">
              <w:rPr>
                <w:b/>
                <w:bCs/>
              </w:rPr>
              <w:t>(</w:t>
            </w:r>
            <w:r w:rsidR="00A05048" w:rsidRPr="00E80F3D">
              <w:rPr>
                <w:b/>
                <w:bCs/>
              </w:rPr>
              <w:t>a</w:t>
            </w:r>
            <w:r w:rsidR="00E80F3D" w:rsidRPr="00E80F3D">
              <w:rPr>
                <w:b/>
                <w:bCs/>
              </w:rPr>
              <w:t>)</w:t>
            </w:r>
            <w:r w:rsidR="00A05048">
              <w:rPr>
                <w:b/>
                <w:bCs/>
              </w:rPr>
              <w:t xml:space="preserve"> </w:t>
            </w:r>
            <w:r w:rsidR="00A05048">
              <w:t xml:space="preserve">Diagram of the metasurface unit cell, consisting of an amorphous silicon nanopillar at the boundary of a fused silica </w:t>
            </w:r>
            <w:r w:rsidR="00844AA0">
              <w:t>and</w:t>
            </w:r>
            <w:r w:rsidR="00A05048">
              <w:t xml:space="preserve"> PDMS material interface. The pillars have a height of </w:t>
            </w:r>
            <m:oMath>
              <m:r>
                <w:rPr>
                  <w:rFonts w:ascii="Cambria Math" w:hAnsi="Cambria Math"/>
                </w:rPr>
                <m:t>850nm</m:t>
              </m:r>
            </m:oMath>
            <w:r w:rsidR="00A05048">
              <w:t xml:space="preserve"> and a spacing of </w:t>
            </w:r>
            <m:oMath>
              <m:r>
                <w:rPr>
                  <w:rFonts w:ascii="Cambria Math" w:hAnsi="Cambria Math"/>
                </w:rPr>
                <m:t>570nm</m:t>
              </m:r>
            </m:oMath>
            <w:r w:rsidR="00A05048">
              <w:t xml:space="preserve">. </w:t>
            </w:r>
            <w:r w:rsidR="00E80F3D">
              <w:t>(</w:t>
            </w:r>
            <w:r w:rsidR="00A05048">
              <w:rPr>
                <w:b/>
                <w:bCs/>
              </w:rPr>
              <w:t>b</w:t>
            </w:r>
            <w:r w:rsidR="00DC41A2">
              <w:rPr>
                <w:b/>
                <w:bCs/>
              </w:rPr>
              <w:t>-</w:t>
            </w:r>
            <w:r w:rsidR="00A05048">
              <w:rPr>
                <w:b/>
                <w:bCs/>
              </w:rPr>
              <w:t>d</w:t>
            </w:r>
            <w:r w:rsidR="00E80F3D">
              <w:rPr>
                <w:b/>
                <w:bCs/>
              </w:rPr>
              <w:t>)</w:t>
            </w:r>
            <w:r w:rsidR="00A05048">
              <w:t xml:space="preserve"> Plots showing the transmission magnitude of the unit cell for variations in dimension around the nominal design</w:t>
            </w:r>
            <w:r w:rsidR="00844AA0">
              <w:t>, which is marked with a dashed line</w:t>
            </w:r>
            <w:r w:rsidR="00A05048">
              <w:t xml:space="preserve">. </w:t>
            </w:r>
            <w:r w:rsidR="00E80F3D" w:rsidRPr="00E80F3D">
              <w:rPr>
                <w:b/>
                <w:bCs/>
              </w:rPr>
              <w:t>(e)</w:t>
            </w:r>
            <w:r w:rsidR="00A05048">
              <w:t xml:space="preserve"> Transmission characteristics for the nominal unit cell dimensions while varying the pillar diameter. Diameters of </w:t>
            </w:r>
            <m:oMath>
              <m:r>
                <w:rPr>
                  <w:rFonts w:ascii="Cambria Math" w:hAnsi="Cambria Math"/>
                </w:rPr>
                <m:t>310nm-330nm</m:t>
              </m:r>
            </m:oMath>
            <w:r w:rsidR="00A05048">
              <w:t xml:space="preserve"> are </w:t>
            </w:r>
            <w:r w:rsidR="00A05048" w:rsidRPr="005F6E05">
              <w:t xml:space="preserve">avoided </w:t>
            </w:r>
            <w:r w:rsidR="00B15E0E" w:rsidRPr="005F6E05">
              <w:t xml:space="preserve">in the hologram design </w:t>
            </w:r>
            <w:r w:rsidR="00A05048" w:rsidRPr="005F6E05">
              <w:t>since low transmission was observed in fabricated metasurfaces for these diameters.</w:t>
            </w:r>
            <w:bookmarkEnd w:id="2"/>
            <w:r w:rsidR="005F6E05" w:rsidRPr="005F6E05">
              <w:t xml:space="preserve"> (Perceptually uniform color bar</w:t>
            </w:r>
            <w:r w:rsidR="005F6E05">
              <w:fldChar w:fldCharType="begin" w:fldLock="1"/>
            </w:r>
            <w:r w:rsidR="005F6E05">
              <w:instrText>ADDIN CSL_CITATION {"citationItems":[{"id":"ITEM-1","itemData":{"abstract":"Many colour maps provided by vendors have highly uneven perceptual contrast over their range. It is not uncommon for colour maps to have perceptual flat spots that can hide a feature as large as one tenth of the total data range. Colour maps may also have perceptual discontinuities that induce the appearance of false features. Previous work in the design of perceptually uniform colour maps has mostly failed to recognise that CIELAB space is only designed to be perceptually uniform at very low spatial frequencies. The most important factor in designing a colour map is to ensure that the magnitude of the incremental change in perceptual lightness of the colours is uniform. The specific requirements for linear, diverging, rainbow and cyclic colour maps are developed in detail. To support this work two test images for evaluating colour maps are presented. The use of colour maps in combination with relief shading is considered and the conditions under which colour can enhance or disrupt relief shading are identified. Finally, a set of new basis colours for the construction of ternary images are presented. Unlike the RGB primaries these basis colours produce images whereby the salience of structures are consistent irrespective of the assignment of basis colours to data channels.","author":[{"dropping-particle":"","family":"Kovesi","given":"Peter","non-dropping-particle":"","parse-names":false,"suffix":""}],"id":"ITEM-1","issued":{"date-parts":[["2015","9","11"]]},"title":"Good Colour Maps: How to Design Them","type":"article-journal"},"uris":["http://www.mendeley.com/documents/?uuid=0dcc8772-508a-3680-9048-cda2bfffb313"]}],"mendeley":{"formattedCitation":"&lt;sup&gt;3&lt;/sup&gt;","plainTextFormattedCitation":"3"},"properties":{"noteIndex":0},"schema":"https://github.com/citation-style-language/schema/raw/master/csl-citation.json"}</w:instrText>
            </w:r>
            <w:r w:rsidR="005F6E05">
              <w:fldChar w:fldCharType="separate"/>
            </w:r>
            <w:r w:rsidR="005F6E05" w:rsidRPr="005F6E05">
              <w:rPr>
                <w:noProof/>
                <w:vertAlign w:val="superscript"/>
              </w:rPr>
              <w:t>3</w:t>
            </w:r>
            <w:r w:rsidR="005F6E05">
              <w:fldChar w:fldCharType="end"/>
            </w:r>
            <w:r w:rsidR="005F6E05" w:rsidRPr="005F6E05">
              <w:t xml:space="preserve"> used for these and all following plots)</w:t>
            </w:r>
            <w:r w:rsidR="005F6E05">
              <w:t>.</w:t>
            </w:r>
          </w:p>
        </w:tc>
      </w:tr>
    </w:tbl>
    <w:p w14:paraId="60DF619B" w14:textId="1A403506" w:rsidR="00154E1E" w:rsidRDefault="00154E1E" w:rsidP="00A9522E">
      <w:pPr>
        <w:pStyle w:val="SMH2"/>
      </w:pPr>
      <w:bookmarkStart w:id="4" w:name="_Ref62203446"/>
      <w:r>
        <w:t>Measurement of Low-Transmission</w:t>
      </w:r>
      <w:bookmarkEnd w:id="4"/>
      <w:r w:rsidR="00BD724C">
        <w:t xml:space="preserve"> Contours</w:t>
      </w:r>
    </w:p>
    <w:p w14:paraId="0A3F9842" w14:textId="2CEBC819" w:rsidR="00BC7F53" w:rsidRDefault="007460D5" w:rsidP="00F55CEB">
      <w:pPr>
        <w:jc w:val="both"/>
        <w:rPr>
          <w:rFonts w:eastAsiaTheme="minorEastAsia"/>
          <w:lang w:val="en-GB"/>
        </w:rPr>
      </w:pPr>
      <w:r>
        <w:rPr>
          <w:lang w:val="en-GB"/>
        </w:rPr>
        <w:t>P</w:t>
      </w:r>
      <w:r w:rsidR="006D056C">
        <w:rPr>
          <w:lang w:val="en-GB"/>
        </w:rPr>
        <w:t xml:space="preserve">illar diameters of </w:t>
      </w:r>
      <m:oMath>
        <m:r>
          <w:rPr>
            <w:rFonts w:ascii="Cambria Math" w:hAnsi="Cambria Math"/>
            <w:lang w:val="en-GB"/>
          </w:rPr>
          <m:t>310nm</m:t>
        </m:r>
      </m:oMath>
      <w:r w:rsidR="006D056C">
        <w:rPr>
          <w:rFonts w:eastAsiaTheme="minorEastAsia"/>
          <w:lang w:val="en-GB"/>
        </w:rPr>
        <w:t xml:space="preserve"> through </w:t>
      </w:r>
      <m:oMath>
        <m:r>
          <w:rPr>
            <w:rFonts w:ascii="Cambria Math" w:eastAsiaTheme="minorEastAsia" w:hAnsi="Cambria Math"/>
            <w:lang w:val="en-GB"/>
          </w:rPr>
          <m:t>330nm</m:t>
        </m:r>
      </m:oMath>
      <w:r w:rsidR="006D056C">
        <w:rPr>
          <w:rFonts w:eastAsiaTheme="minorEastAsia"/>
          <w:lang w:val="en-GB"/>
        </w:rPr>
        <w:t xml:space="preserve"> are not used in the metasurface design</w:t>
      </w:r>
      <w:r w:rsidR="00C92BE3">
        <w:rPr>
          <w:rFonts w:eastAsiaTheme="minorEastAsia"/>
          <w:lang w:val="en-GB"/>
        </w:rPr>
        <w:t xml:space="preserve"> for the solid image hologram </w:t>
      </w:r>
      <w:r w:rsidR="005314ED">
        <w:rPr>
          <w:rFonts w:eastAsiaTheme="minorEastAsia"/>
          <w:lang w:val="en-GB"/>
        </w:rPr>
        <w:t>meta-optic</w:t>
      </w:r>
      <w:r w:rsidR="00C92BE3">
        <w:rPr>
          <w:rFonts w:eastAsiaTheme="minorEastAsia"/>
          <w:lang w:val="en-GB"/>
        </w:rPr>
        <w:t xml:space="preserve"> (example shown in Figure 4(c-d)</w:t>
      </w:r>
      <w:r w:rsidR="00844AA0">
        <w:rPr>
          <w:rFonts w:eastAsiaTheme="minorEastAsia"/>
          <w:lang w:val="en-GB"/>
        </w:rPr>
        <w:t xml:space="preserve"> of the main text</w:t>
      </w:r>
      <w:r w:rsidR="00C92BE3">
        <w:rPr>
          <w:rFonts w:eastAsiaTheme="minorEastAsia"/>
          <w:lang w:val="en-GB"/>
        </w:rPr>
        <w:t>)</w:t>
      </w:r>
      <w:r w:rsidR="006D056C">
        <w:rPr>
          <w:rFonts w:eastAsiaTheme="minorEastAsia"/>
          <w:lang w:val="en-GB"/>
        </w:rPr>
        <w:t>. This is due to low transmission intensit</w:t>
      </w:r>
      <w:r w:rsidR="00711C9F">
        <w:rPr>
          <w:rFonts w:eastAsiaTheme="minorEastAsia"/>
          <w:lang w:val="en-GB"/>
        </w:rPr>
        <w:t>y</w:t>
      </w:r>
      <w:r w:rsidR="00676A2E">
        <w:rPr>
          <w:rFonts w:eastAsiaTheme="minorEastAsia"/>
          <w:lang w:val="en-GB"/>
        </w:rPr>
        <w:t xml:space="preserve"> measured</w:t>
      </w:r>
      <w:r w:rsidR="006D056C">
        <w:rPr>
          <w:rFonts w:eastAsiaTheme="minorEastAsia"/>
          <w:lang w:val="en-GB"/>
        </w:rPr>
        <w:t xml:space="preserve"> over contours </w:t>
      </w:r>
      <w:r w:rsidR="00676A2E">
        <w:rPr>
          <w:rFonts w:eastAsiaTheme="minorEastAsia"/>
          <w:lang w:val="en-GB"/>
        </w:rPr>
        <w:t xml:space="preserve">on fabricated metasurfaces </w:t>
      </w:r>
      <w:r w:rsidR="006D056C">
        <w:rPr>
          <w:rFonts w:eastAsiaTheme="minorEastAsia"/>
          <w:lang w:val="en-GB"/>
        </w:rPr>
        <w:t xml:space="preserve">containing </w:t>
      </w:r>
      <w:r w:rsidR="00711C9F">
        <w:rPr>
          <w:rFonts w:eastAsiaTheme="minorEastAsia"/>
          <w:lang w:val="en-GB"/>
        </w:rPr>
        <w:t>this</w:t>
      </w:r>
      <w:r w:rsidR="006D056C">
        <w:rPr>
          <w:rFonts w:eastAsiaTheme="minorEastAsia"/>
          <w:lang w:val="en-GB"/>
        </w:rPr>
        <w:t xml:space="preserve"> diameter</w:t>
      </w:r>
      <w:r w:rsidR="00711C9F">
        <w:rPr>
          <w:rFonts w:eastAsiaTheme="minorEastAsia"/>
          <w:lang w:val="en-GB"/>
        </w:rPr>
        <w:t xml:space="preserve"> range, which is </w:t>
      </w:r>
      <w:r w:rsidR="00F17BD5">
        <w:rPr>
          <w:rFonts w:eastAsiaTheme="minorEastAsia"/>
          <w:lang w:val="en-GB"/>
        </w:rPr>
        <w:t>lower</w:t>
      </w:r>
      <w:r w:rsidR="00711C9F">
        <w:rPr>
          <w:rFonts w:eastAsiaTheme="minorEastAsia"/>
          <w:lang w:val="en-GB"/>
        </w:rPr>
        <w:t xml:space="preserve"> than the expected full transmission in simulation</w:t>
      </w:r>
      <w:r w:rsidR="006D056C">
        <w:rPr>
          <w:rFonts w:eastAsiaTheme="minorEastAsia"/>
          <w:lang w:val="en-GB"/>
        </w:rPr>
        <w:t>.</w:t>
      </w:r>
      <w:r w:rsidR="00BC7F53">
        <w:rPr>
          <w:rFonts w:eastAsiaTheme="minorEastAsia"/>
          <w:lang w:val="en-GB"/>
        </w:rPr>
        <w:t xml:space="preserve"> A l</w:t>
      </w:r>
      <w:r w:rsidR="002F3D98">
        <w:rPr>
          <w:rFonts w:eastAsiaTheme="minorEastAsia"/>
          <w:lang w:val="en-GB"/>
        </w:rPr>
        <w:t>ow</w:t>
      </w:r>
      <w:r w:rsidR="00676A2E">
        <w:rPr>
          <w:rFonts w:eastAsiaTheme="minorEastAsia"/>
          <w:lang w:val="en-GB"/>
        </w:rPr>
        <w:t xml:space="preserve"> measured</w:t>
      </w:r>
      <w:r w:rsidR="002F3D98">
        <w:rPr>
          <w:rFonts w:eastAsiaTheme="minorEastAsia"/>
          <w:lang w:val="en-GB"/>
        </w:rPr>
        <w:t xml:space="preserve"> transmission magnitude </w:t>
      </w:r>
      <w:r w:rsidR="00DC41A2">
        <w:rPr>
          <w:rFonts w:eastAsiaTheme="minorEastAsia"/>
          <w:lang w:val="en-GB"/>
        </w:rPr>
        <w:t>is a</w:t>
      </w:r>
      <w:r>
        <w:rPr>
          <w:rFonts w:eastAsiaTheme="minorEastAsia"/>
          <w:lang w:val="en-GB"/>
        </w:rPr>
        <w:t>n</w:t>
      </w:r>
      <w:r w:rsidR="00DC41A2">
        <w:rPr>
          <w:rFonts w:eastAsiaTheme="minorEastAsia"/>
          <w:lang w:val="en-GB"/>
        </w:rPr>
        <w:t xml:space="preserve"> indicator</w:t>
      </w:r>
      <w:r w:rsidR="002F3D98">
        <w:rPr>
          <w:rFonts w:eastAsiaTheme="minorEastAsia"/>
          <w:lang w:val="en-GB"/>
        </w:rPr>
        <w:t xml:space="preserve"> that the phase </w:t>
      </w:r>
      <w:r w:rsidR="00BC7F53">
        <w:rPr>
          <w:rFonts w:eastAsiaTheme="minorEastAsia"/>
          <w:lang w:val="en-GB"/>
        </w:rPr>
        <w:t xml:space="preserve">of the transmitted field also deviates from the </w:t>
      </w:r>
      <w:r w:rsidR="00515A43">
        <w:rPr>
          <w:rFonts w:eastAsiaTheme="minorEastAsia"/>
          <w:lang w:val="en-GB"/>
        </w:rPr>
        <w:t>expected</w:t>
      </w:r>
      <w:r w:rsidR="00DC41A2">
        <w:rPr>
          <w:rFonts w:eastAsiaTheme="minorEastAsia"/>
          <w:lang w:val="en-GB"/>
        </w:rPr>
        <w:t xml:space="preserve"> value</w:t>
      </w:r>
      <w:r w:rsidR="00BC7F53">
        <w:rPr>
          <w:rFonts w:eastAsiaTheme="minorEastAsia"/>
          <w:lang w:val="en-GB"/>
        </w:rPr>
        <w:t>.</w:t>
      </w:r>
      <w:r w:rsidR="00515A43">
        <w:rPr>
          <w:rFonts w:eastAsiaTheme="minorEastAsia"/>
          <w:lang w:val="en-GB"/>
        </w:rPr>
        <w:t xml:space="preserve"> Both errors in the</w:t>
      </w:r>
      <w:r w:rsidR="00A66334">
        <w:rPr>
          <w:rFonts w:eastAsiaTheme="minorEastAsia"/>
          <w:lang w:val="en-GB"/>
        </w:rPr>
        <w:t xml:space="preserve"> measured</w:t>
      </w:r>
      <w:r w:rsidR="00515A43">
        <w:rPr>
          <w:rFonts w:eastAsiaTheme="minorEastAsia"/>
          <w:lang w:val="en-GB"/>
        </w:rPr>
        <w:t xml:space="preserve"> transmitted field combine to adversely impact the</w:t>
      </w:r>
      <w:r w:rsidR="00F17BD5">
        <w:rPr>
          <w:rFonts w:eastAsiaTheme="minorEastAsia"/>
          <w:lang w:val="en-GB"/>
        </w:rPr>
        <w:t xml:space="preserve"> measured</w:t>
      </w:r>
      <w:r w:rsidR="00515A43">
        <w:rPr>
          <w:rFonts w:eastAsiaTheme="minorEastAsia"/>
          <w:lang w:val="en-GB"/>
        </w:rPr>
        <w:t xml:space="preserve"> output field of the </w:t>
      </w:r>
      <w:r w:rsidR="005314ED">
        <w:rPr>
          <w:rFonts w:eastAsiaTheme="minorEastAsia"/>
          <w:lang w:val="en-GB"/>
        </w:rPr>
        <w:t>meta-optic</w:t>
      </w:r>
      <w:r w:rsidR="00515A43">
        <w:rPr>
          <w:rFonts w:eastAsiaTheme="minorEastAsia"/>
          <w:lang w:val="en-GB"/>
        </w:rPr>
        <w:t>.</w:t>
      </w:r>
    </w:p>
    <w:p w14:paraId="230F2836" w14:textId="6187D679" w:rsidR="00EC2FB0" w:rsidRDefault="007F0886" w:rsidP="00F55CEB">
      <w:pPr>
        <w:jc w:val="both"/>
        <w:rPr>
          <w:rFonts w:eastAsiaTheme="minorEastAsia"/>
          <w:lang w:val="en-GB"/>
        </w:rPr>
      </w:pPr>
      <w:r>
        <w:rPr>
          <w:rFonts w:eastAsiaTheme="minorEastAsia"/>
          <w:lang w:val="en-GB"/>
        </w:rPr>
        <w:t xml:space="preserve">This effect was observed in a </w:t>
      </w:r>
      <w:r w:rsidR="005314ED">
        <w:rPr>
          <w:rFonts w:eastAsiaTheme="minorEastAsia"/>
          <w:lang w:val="en-GB"/>
        </w:rPr>
        <w:t>meta-optic</w:t>
      </w:r>
      <w:r w:rsidR="00C92BE3">
        <w:rPr>
          <w:rFonts w:eastAsiaTheme="minorEastAsia"/>
          <w:lang w:val="en-GB"/>
        </w:rPr>
        <w:t xml:space="preserve"> </w:t>
      </w:r>
      <w:r>
        <w:rPr>
          <w:rFonts w:eastAsiaTheme="minorEastAsia"/>
          <w:lang w:val="en-GB"/>
        </w:rPr>
        <w:t xml:space="preserve">fabricated </w:t>
      </w:r>
      <w:r w:rsidR="00C92BE3">
        <w:rPr>
          <w:rFonts w:eastAsiaTheme="minorEastAsia"/>
          <w:lang w:val="en-GB"/>
        </w:rPr>
        <w:t>for a hologram design</w:t>
      </w:r>
      <w:r w:rsidR="00A66334">
        <w:rPr>
          <w:rFonts w:eastAsiaTheme="minorEastAsia"/>
          <w:lang w:val="en-GB"/>
        </w:rPr>
        <w:t xml:space="preserve"> (different </w:t>
      </w:r>
      <w:r w:rsidR="00F17BD5">
        <w:rPr>
          <w:rFonts w:eastAsiaTheme="minorEastAsia"/>
          <w:lang w:val="en-GB"/>
        </w:rPr>
        <w:t>design</w:t>
      </w:r>
      <w:r w:rsidR="00A66334">
        <w:rPr>
          <w:rFonts w:eastAsiaTheme="minorEastAsia"/>
          <w:lang w:val="en-GB"/>
        </w:rPr>
        <w:t xml:space="preserve"> than those presented in the main text)</w:t>
      </w:r>
      <w:r w:rsidR="00C92BE3">
        <w:rPr>
          <w:rFonts w:eastAsiaTheme="minorEastAsia"/>
          <w:lang w:val="en-GB"/>
        </w:rPr>
        <w:t xml:space="preserve"> </w:t>
      </w:r>
      <w:r w:rsidR="00796B2C">
        <w:rPr>
          <w:rFonts w:eastAsiaTheme="minorEastAsia"/>
          <w:lang w:val="en-GB"/>
        </w:rPr>
        <w:t xml:space="preserve">using the entire </w:t>
      </w:r>
      <m:oMath>
        <m:r>
          <w:rPr>
            <w:rFonts w:ascii="Cambria Math" w:eastAsiaTheme="minorEastAsia" w:hAnsi="Cambria Math"/>
            <w:lang w:val="en-GB"/>
          </w:rPr>
          <m:t>125nm-400nm</m:t>
        </m:r>
      </m:oMath>
      <w:r w:rsidR="00796B2C">
        <w:rPr>
          <w:rFonts w:eastAsiaTheme="minorEastAsia"/>
          <w:lang w:val="en-GB"/>
        </w:rPr>
        <w:t xml:space="preserve"> pillar diameter range. </w:t>
      </w:r>
      <w:r>
        <w:rPr>
          <w:rFonts w:eastAsiaTheme="minorEastAsia"/>
          <w:lang w:val="en-GB"/>
        </w:rPr>
        <w:t xml:space="preserve">The diameters of the nanopillars constituting metasurface 1 are shown in </w:t>
      </w:r>
      <w:r>
        <w:rPr>
          <w:rFonts w:eastAsiaTheme="minorEastAsia"/>
          <w:lang w:val="en-GB"/>
        </w:rPr>
        <w:fldChar w:fldCharType="begin"/>
      </w:r>
      <w:r>
        <w:rPr>
          <w:rFonts w:eastAsiaTheme="minorEastAsia"/>
          <w:lang w:val="en-GB"/>
        </w:rPr>
        <w:instrText xml:space="preserve"> REF _Ref61962755 \h </w:instrText>
      </w:r>
      <w:r>
        <w:rPr>
          <w:rFonts w:eastAsiaTheme="minorEastAsia"/>
          <w:lang w:val="en-GB"/>
        </w:rPr>
      </w:r>
      <w:r>
        <w:rPr>
          <w:rFonts w:eastAsiaTheme="minorEastAsia"/>
          <w:lang w:val="en-GB"/>
        </w:rPr>
        <w:fldChar w:fldCharType="separate"/>
      </w:r>
      <w:r w:rsidR="00BD724C">
        <w:t>Figure S</w:t>
      </w:r>
      <w:r w:rsidR="00BD724C">
        <w:rPr>
          <w:noProof/>
        </w:rPr>
        <w:t>2</w:t>
      </w:r>
      <w:r>
        <w:rPr>
          <w:rFonts w:eastAsiaTheme="minorEastAsia"/>
          <w:lang w:val="en-GB"/>
        </w:rPr>
        <w:fldChar w:fldCharType="end"/>
      </w:r>
      <w:r>
        <w:rPr>
          <w:rFonts w:eastAsiaTheme="minorEastAsia"/>
          <w:lang w:val="en-GB"/>
        </w:rPr>
        <w:t xml:space="preserve">(a). The </w:t>
      </w:r>
      <w:r w:rsidR="007460D5">
        <w:rPr>
          <w:rFonts w:eastAsiaTheme="minorEastAsia"/>
          <w:lang w:val="en-GB"/>
        </w:rPr>
        <w:t xml:space="preserve">measured </w:t>
      </w:r>
      <w:r>
        <w:rPr>
          <w:rFonts w:eastAsiaTheme="minorEastAsia"/>
          <w:lang w:val="en-GB"/>
        </w:rPr>
        <w:t>transmitted intensity of this metasurface i</w:t>
      </w:r>
      <w:r w:rsidR="00D50F44">
        <w:rPr>
          <w:rFonts w:eastAsiaTheme="minorEastAsia"/>
          <w:lang w:val="en-GB"/>
        </w:rPr>
        <w:t>s</w:t>
      </w:r>
      <w:r>
        <w:rPr>
          <w:rFonts w:eastAsiaTheme="minorEastAsia"/>
          <w:lang w:val="en-GB"/>
        </w:rPr>
        <w:t xml:space="preserve"> shown in </w:t>
      </w:r>
      <w:r>
        <w:rPr>
          <w:rFonts w:eastAsiaTheme="minorEastAsia"/>
          <w:lang w:val="en-GB"/>
        </w:rPr>
        <w:fldChar w:fldCharType="begin"/>
      </w:r>
      <w:r>
        <w:rPr>
          <w:rFonts w:eastAsiaTheme="minorEastAsia"/>
          <w:lang w:val="en-GB"/>
        </w:rPr>
        <w:instrText xml:space="preserve"> REF _Ref61962755 \h </w:instrText>
      </w:r>
      <w:r>
        <w:rPr>
          <w:rFonts w:eastAsiaTheme="minorEastAsia"/>
          <w:lang w:val="en-GB"/>
        </w:rPr>
      </w:r>
      <w:r>
        <w:rPr>
          <w:rFonts w:eastAsiaTheme="minorEastAsia"/>
          <w:lang w:val="en-GB"/>
        </w:rPr>
        <w:fldChar w:fldCharType="separate"/>
      </w:r>
      <w:r w:rsidR="00BD724C">
        <w:t>Figure S</w:t>
      </w:r>
      <w:r w:rsidR="00BD724C">
        <w:rPr>
          <w:noProof/>
        </w:rPr>
        <w:t>2</w:t>
      </w:r>
      <w:r>
        <w:rPr>
          <w:rFonts w:eastAsiaTheme="minorEastAsia"/>
          <w:lang w:val="en-GB"/>
        </w:rPr>
        <w:fldChar w:fldCharType="end"/>
      </w:r>
      <w:r>
        <w:rPr>
          <w:rFonts w:eastAsiaTheme="minorEastAsia"/>
          <w:lang w:val="en-GB"/>
        </w:rPr>
        <w:t>(b)</w:t>
      </w:r>
      <w:r w:rsidR="00A66334">
        <w:rPr>
          <w:rFonts w:eastAsiaTheme="minorEastAsia"/>
          <w:lang w:val="en-GB"/>
        </w:rPr>
        <w:t>, where</w:t>
      </w:r>
      <w:r w:rsidR="002F3D98">
        <w:rPr>
          <w:rFonts w:eastAsiaTheme="minorEastAsia"/>
          <w:lang w:val="en-GB"/>
        </w:rPr>
        <w:t xml:space="preserve"> low transmission contours are </w:t>
      </w:r>
      <w:r w:rsidR="00515A43">
        <w:rPr>
          <w:rFonts w:eastAsiaTheme="minorEastAsia"/>
          <w:lang w:val="en-GB"/>
        </w:rPr>
        <w:t>visible</w:t>
      </w:r>
      <w:r w:rsidR="002F3D98">
        <w:rPr>
          <w:rFonts w:eastAsiaTheme="minorEastAsia"/>
          <w:lang w:val="en-GB"/>
        </w:rPr>
        <w:t>.</w:t>
      </w:r>
      <w:r w:rsidR="00515A43">
        <w:rPr>
          <w:rFonts w:eastAsiaTheme="minorEastAsia"/>
          <w:lang w:val="en-GB"/>
        </w:rPr>
        <w:t xml:space="preserve"> Various</w:t>
      </w:r>
      <w:r w:rsidR="00FB7529">
        <w:rPr>
          <w:rFonts w:eastAsiaTheme="minorEastAsia"/>
          <w:lang w:val="en-GB"/>
        </w:rPr>
        <w:t xml:space="preserve"> contours of different pillar diameter </w:t>
      </w:r>
      <w:r w:rsidR="008644CE">
        <w:rPr>
          <w:rFonts w:eastAsiaTheme="minorEastAsia"/>
          <w:lang w:val="en-GB"/>
        </w:rPr>
        <w:t>ranges</w:t>
      </w:r>
      <w:r w:rsidR="00FB7529">
        <w:rPr>
          <w:rFonts w:eastAsiaTheme="minorEastAsia"/>
          <w:lang w:val="en-GB"/>
        </w:rPr>
        <w:t xml:space="preserve"> were compared to the measured transmitted intensity to determine which pillars were exhibiting low transmission in measurement.</w:t>
      </w:r>
      <w:r w:rsidR="007B33D3">
        <w:rPr>
          <w:rFonts w:eastAsiaTheme="minorEastAsia"/>
          <w:lang w:val="en-GB"/>
        </w:rPr>
        <w:t xml:space="preserve"> </w:t>
      </w:r>
      <w:r w:rsidR="007B33D3">
        <w:rPr>
          <w:rFonts w:eastAsiaTheme="minorEastAsia"/>
          <w:lang w:val="en-GB"/>
        </w:rPr>
        <w:fldChar w:fldCharType="begin"/>
      </w:r>
      <w:r w:rsidR="007B33D3">
        <w:rPr>
          <w:rFonts w:eastAsiaTheme="minorEastAsia"/>
          <w:lang w:val="en-GB"/>
        </w:rPr>
        <w:instrText xml:space="preserve"> REF _Ref61962755 \h </w:instrText>
      </w:r>
      <w:r w:rsidR="007B33D3">
        <w:rPr>
          <w:rFonts w:eastAsiaTheme="minorEastAsia"/>
          <w:lang w:val="en-GB"/>
        </w:rPr>
      </w:r>
      <w:r w:rsidR="007B33D3">
        <w:rPr>
          <w:rFonts w:eastAsiaTheme="minorEastAsia"/>
          <w:lang w:val="en-GB"/>
        </w:rPr>
        <w:fldChar w:fldCharType="separate"/>
      </w:r>
      <w:r w:rsidR="00BD724C">
        <w:t>Figure S</w:t>
      </w:r>
      <w:r w:rsidR="00BD724C">
        <w:rPr>
          <w:noProof/>
        </w:rPr>
        <w:t>2</w:t>
      </w:r>
      <w:r w:rsidR="007B33D3">
        <w:rPr>
          <w:rFonts w:eastAsiaTheme="minorEastAsia"/>
          <w:lang w:val="en-GB"/>
        </w:rPr>
        <w:fldChar w:fldCharType="end"/>
      </w:r>
      <w:r w:rsidR="007B33D3">
        <w:rPr>
          <w:rFonts w:eastAsiaTheme="minorEastAsia"/>
          <w:lang w:val="en-GB"/>
        </w:rPr>
        <w:t>(c) shows the contour formed by pillars with diameters of 310nm-330nm overlayed with the transmitted intensity. The nanopillars with diameters of 310nm-330nm align with the low-transmission portions of the metasurface, suggesting that the low transmission occurs for these specific nanopillar diameters.</w:t>
      </w:r>
    </w:p>
    <w:p w14:paraId="67CE9273" w14:textId="1FC092A9" w:rsidR="00982FE6" w:rsidRDefault="00982FE6" w:rsidP="00982FE6">
      <w:pPr>
        <w:jc w:val="both"/>
        <w:rPr>
          <w:rFonts w:eastAsiaTheme="minorEastAsia"/>
          <w:lang w:val="en-GB"/>
        </w:rPr>
      </w:pPr>
      <w:r>
        <w:rPr>
          <w:rFonts w:eastAsiaTheme="minorEastAsia"/>
          <w:lang w:val="en-GB"/>
        </w:rPr>
        <w:t>While the cause of low transmission for these pillar diameters is not explicitly known, it is expected that fabrication errors alter the symmetry of the pillar, which disrupts the resonance behavior to introduce a reduced transmission. For example, it has been shown that asymmetry in high-index contrast structures enables coupling to symmetry-protected modes (also known as bound states in the continuum) to produce sharp transmission or reflection resonances</w:t>
      </w:r>
      <w:r>
        <w:rPr>
          <w:rFonts w:eastAsiaTheme="minorEastAsia"/>
          <w:lang w:val="en-GB"/>
        </w:rPr>
        <w:fldChar w:fldCharType="begin" w:fldLock="1"/>
      </w:r>
      <w:r w:rsidR="005F6E05">
        <w:rPr>
          <w:rFonts w:eastAsiaTheme="minorEastAsia"/>
          <w:lang w:val="en-GB"/>
        </w:rPr>
        <w:instrText>ADDIN CSL_CITATION {"citationItems":[{"id":"ITEM-1","itemData":{"DOI":"10.1364/ol.397779","ISSN":"0146-9592","PMID":"32735295","abstract":"We present a high-index contrast dielectric grating design for polarization-independent narrowband transmission filtering. A reduced symmetry hexagonal lattice allows coupling to symmetry-protected modes (bound states in the continuum) at normal incidence, enabling high-Q spectral peaks. The peak linewidth is tunable via degree of geometric symmetry reduction. Using diffraction efficiency calculations, we gain further insight into the design and physics of one-dimensional (1D) and two-dimensional (2D) asymmetric high contrast gratings. The grating design provides a filter response that is simultaneously polarization independent and functional at normal incidence, overcoming limitations of 1D asymmetric gratings and 2D symmetric gratings.","author":[{"dropping-particle":"","family":"Barrow","given":"Michael","non-dropping-particle":"","parse-names":false,"suffix":""},{"dropping-particle":"","family":"Phillips","given":"Jamie","non-dropping-particle":"","parse-names":false,"suffix":""}],"container-title":"Optics Letters","id":"ITEM-1","issue":"15","issued":{"date-parts":[["2020","8","1"]]},"page":"4348","publisher":"The Optical Society","title":"Polarization-independent narrowband transmittance filters via symmetry-protected modes in high contrast gratings","type":"article-journal","volume":"45"},"uris":["http://www.mendeley.com/documents/?uuid=0020fef4-2978-3278-a5b0-024673219e77"]},{"id":"ITEM-2","itemData":{"DOI":"10.1364/josaa.7.001470","ISSN":"1084-7529","abstract":"The guided-mode resonance behavior of the evanescent and propagating fields associated with an unslanted, planar diffraction grating is studied by means of the rigorous coupled-wave theory. For weakly modulated gratings, the condition on the guided-mode wave number of the corresponding unmodulated dielectric-layer waveguide may be used to predict the range of the incident angle or wavelength within which the resonances can be excited. Furthermore, the locations of the resonances are predicted approximately by the eigenvalue equation of the waveguide. As the modulation amplitude increases, the location and shape of the resonances are described in detail by the rigorous coupled-wave theory. The results presented demonstrate that the resonances can cause rapid variations in the intensity of the external propagating diffracted waves.","author":[{"dropping-particle":"","family":"Wang","given":"S. S.","non-dropping-particle":"","parse-names":false,"suffix":""},{"dropping-particle":"","family":"Moharam","given":"M. G.","non-dropping-particle":"","parse-names":false,"suffix":""},{"dropping-particle":"","family":"Magnusson","given":"R.","non-dropping-particle":"","parse-names":false,"suffix":""},{"dropping-particle":"","family":"Bagby","given":"J. S.","non-dropping-particle":"","parse-names":false,"suffix":""}],"container-title":"Journal of the Optical Society of America A","id":"ITEM-2","issue":"8","issued":{"date-parts":[["1990","8","1"]]},"page":"1470","publisher":"The Optical Society","title":"Guided-mode resonances in planar dielectric-layer diffraction gratings","type":"article-journal","volume":"7"},"uris":["http://www.mendeley.com/documents/?uuid=15e724f7-3609-3af9-9d87-7d333ed8cb4b"]},{"id":"ITEM-3","itemData":{"DOI":"10.1364/opn.31.1.000038","ISSN":"1047-6938","abstract":"© 2020 OSA - The Optical Society. All rights reserved. The BIC—a beautiful phenomenon that occurs in the many fields of wave physics, including electromagnetism, acoustics, hydrodynamics and quantum mechanics—is finding a new life in optics as well. And, as even the work that has been done thus far has shown, that development could have important implications for engineering highly efficient resonances for photonics at the nanoscale. One very recent demonstration, for example, goes beyond the traditional concept of the interference of leaky modes to create BICs, employing the interference of multiple BICs themselves in an optical resonator—thereby substantially suppressing optical scattering losses due to roughness and structural disorder of the material itself, by merging BICs with different propagation directions. This enables dramatic enhancement of the optical Q factor to experimentally record-high values of 4.9×105—more than an order of magnitude higher than any earlier reported BIC observations. The possibility of converting optical waves into BICs also allows the realization of supercavity modes characterized by extremely high Q factors in resonators with very compact geometries. Many high-refractive-index dielectric materials involving the vectorial nature of electromagnetic waves could be employed to reduce the resonator dimensions, and to combine individual, high-Q BIC resonators in structured arrays. We envision the rapid development of novel approaches in the electromagnetic theory of vectorial resonances in such arrays in the future. By engineering Qfactors in the BIC regime in this way, we believe that future technologists will be able to substantially enhance nonlinear and quantum effects—and thus to develop low-threshold lasers and realize strong-coupling regimes of nanoscale supercavities.","author":[{"dropping-particle":"","family":"Koshelev","given":"Kirill","non-dropping-particle":"","parse-names":false,"suffix":""},{"dropping-particle":"","family":"Bogdanov","given":"Andrey","non-dropping-particle":"","parse-names":false,"suffix":""},{"dropping-particle":"","family":"Kivshar","given":"Yuri","non-dropping-particle":"","parse-names":false,"suffix":""}],"container-title":"Optics and Photonics News","id":"ITEM-3","issue":"1","issued":{"date-parts":[["2020","1","1"]]},"page":"38","publisher":"The Optical Society","title":"Engineering with Bound States in the Continuum","type":"article-journal","volume":"31"},"uris":["http://www.mendeley.com/documents/?uuid=d61e11cf-fc4b-32db-878f-8d909ecd5c30"]}],"mendeley":{"formattedCitation":"&lt;sup&gt;4–6&lt;/sup&gt;","plainTextFormattedCitation":"4–6","previouslyFormattedCitation":"&lt;sup&gt;3–5&lt;/sup&gt;"},"properties":{"noteIndex":0},"schema":"https://github.com/citation-style-language/schema/raw/master/csl-citation.json"}</w:instrText>
      </w:r>
      <w:r>
        <w:rPr>
          <w:rFonts w:eastAsiaTheme="minorEastAsia"/>
          <w:lang w:val="en-GB"/>
        </w:rPr>
        <w:fldChar w:fldCharType="separate"/>
      </w:r>
      <w:r w:rsidR="005F6E05" w:rsidRPr="005F6E05">
        <w:rPr>
          <w:rFonts w:eastAsiaTheme="minorEastAsia"/>
          <w:noProof/>
          <w:vertAlign w:val="superscript"/>
          <w:lang w:val="en-GB"/>
        </w:rPr>
        <w:t>4–6</w:t>
      </w:r>
      <w:r>
        <w:rPr>
          <w:rFonts w:eastAsiaTheme="minorEastAsia"/>
          <w:lang w:val="en-GB"/>
        </w:rPr>
        <w:fldChar w:fldCharType="end"/>
      </w:r>
      <w:r>
        <w:rPr>
          <w:rFonts w:eastAsiaTheme="minorEastAsia"/>
          <w:lang w:val="en-GB"/>
        </w:rPr>
        <w:t>.</w:t>
      </w:r>
      <w:r w:rsidR="00F17BD5">
        <w:rPr>
          <w:rFonts w:eastAsiaTheme="minorEastAsia"/>
          <w:lang w:val="en-GB"/>
        </w:rPr>
        <w:t xml:space="preserve"> The simulations assumed perfectly shaped cylinders, so might not have experienced this effect. However,</w:t>
      </w:r>
      <w:r>
        <w:rPr>
          <w:rFonts w:eastAsiaTheme="minorEastAsia"/>
          <w:lang w:val="en-GB"/>
        </w:rPr>
        <w:t xml:space="preserve"> </w:t>
      </w:r>
      <w:r>
        <w:rPr>
          <w:rFonts w:eastAsiaTheme="minorEastAsia"/>
          <w:lang w:val="en-GB"/>
        </w:rPr>
        <w:fldChar w:fldCharType="begin"/>
      </w:r>
      <w:r>
        <w:rPr>
          <w:rFonts w:eastAsiaTheme="minorEastAsia"/>
          <w:lang w:val="en-GB"/>
        </w:rPr>
        <w:instrText xml:space="preserve"> REF _Ref62204199 \h </w:instrText>
      </w:r>
      <w:r>
        <w:rPr>
          <w:rFonts w:eastAsiaTheme="minorEastAsia"/>
          <w:lang w:val="en-GB"/>
        </w:rPr>
      </w:r>
      <w:r>
        <w:rPr>
          <w:rFonts w:eastAsiaTheme="minorEastAsia"/>
          <w:lang w:val="en-GB"/>
        </w:rPr>
        <w:fldChar w:fldCharType="separate"/>
      </w:r>
      <w:r>
        <w:t>Figure S</w:t>
      </w:r>
      <w:r>
        <w:rPr>
          <w:noProof/>
        </w:rPr>
        <w:t>1</w:t>
      </w:r>
      <w:r>
        <w:rPr>
          <w:rFonts w:eastAsiaTheme="minorEastAsia"/>
          <w:lang w:val="en-GB"/>
        </w:rPr>
        <w:fldChar w:fldCharType="end"/>
      </w:r>
      <w:r>
        <w:rPr>
          <w:rFonts w:eastAsiaTheme="minorEastAsia"/>
          <w:lang w:val="en-GB"/>
        </w:rPr>
        <w:t xml:space="preserve">(b-c) show that a slight change in pillar height or pillar spacing can cause low transmission for this range of pillar diameters, so it is expected other fabrication errors could have a similar effect.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241D11" w14:paraId="64208B08" w14:textId="77777777" w:rsidTr="00982FE6">
        <w:tc>
          <w:tcPr>
            <w:tcW w:w="9360" w:type="dxa"/>
          </w:tcPr>
          <w:p w14:paraId="29477B65" w14:textId="62105FAA" w:rsidR="00084291" w:rsidRDefault="00084291" w:rsidP="0028530B">
            <w:pPr>
              <w:pStyle w:val="Caption"/>
            </w:pPr>
            <w:bookmarkStart w:id="5" w:name="_Ref58407213"/>
            <w:r>
              <w:rPr>
                <w:noProof/>
              </w:rPr>
              <w:lastRenderedPageBreak/>
              <w:drawing>
                <wp:inline distT="0" distB="0" distL="0" distR="0" wp14:anchorId="62694148" wp14:editId="6CDFBB1D">
                  <wp:extent cx="5943600" cy="1725441"/>
                  <wp:effectExtent l="0" t="0" r="0" b="825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1725441"/>
                          </a:xfrm>
                          <a:prstGeom prst="rect">
                            <a:avLst/>
                          </a:prstGeom>
                        </pic:spPr>
                      </pic:pic>
                    </a:graphicData>
                  </a:graphic>
                </wp:inline>
              </w:drawing>
            </w:r>
          </w:p>
          <w:p w14:paraId="2D9C66CD" w14:textId="20BEEF0F" w:rsidR="00E456A3" w:rsidRPr="00E456A3" w:rsidRDefault="00796B2C" w:rsidP="0028530B">
            <w:pPr>
              <w:pStyle w:val="Caption"/>
              <w:rPr>
                <w:lang w:val="en-GB"/>
              </w:rPr>
            </w:pPr>
            <w:bookmarkStart w:id="6" w:name="_Ref61962755"/>
            <w:r>
              <w:t>Figure S</w:t>
            </w:r>
            <w:r w:rsidR="003A5086">
              <w:fldChar w:fldCharType="begin"/>
            </w:r>
            <w:r w:rsidR="003A5086">
              <w:instrText xml:space="preserve"> SEQ Figure_S \* ARABIC </w:instrText>
            </w:r>
            <w:r w:rsidR="003A5086">
              <w:fldChar w:fldCharType="separate"/>
            </w:r>
            <w:r w:rsidR="00A67938">
              <w:rPr>
                <w:noProof/>
              </w:rPr>
              <w:t>2</w:t>
            </w:r>
            <w:r w:rsidR="003A5086">
              <w:rPr>
                <w:noProof/>
              </w:rPr>
              <w:fldChar w:fldCharType="end"/>
            </w:r>
            <w:bookmarkEnd w:id="5"/>
            <w:bookmarkEnd w:id="6"/>
            <w:r>
              <w:t xml:space="preserve">: </w:t>
            </w:r>
            <w:r w:rsidR="00FE4A17">
              <w:t>T</w:t>
            </w:r>
            <w:r>
              <w:t>ransmission intensity measurement showing that</w:t>
            </w:r>
            <w:r w:rsidR="008644CE">
              <w:t xml:space="preserve"> pillars with</w:t>
            </w:r>
            <w:r>
              <w:t xml:space="preserve"> diameters of </w:t>
            </w:r>
            <m:oMath>
              <m:r>
                <w:rPr>
                  <w:rFonts w:ascii="Cambria Math" w:hAnsi="Cambria Math"/>
                </w:rPr>
                <m:t>310nm-330nm</m:t>
              </m:r>
            </m:oMath>
            <w:r>
              <w:t xml:space="preserve"> give lower transmission.</w:t>
            </w:r>
            <w:r w:rsidR="00D50F44">
              <w:t xml:space="preserve"> </w:t>
            </w:r>
            <w:r w:rsidR="00D50F44" w:rsidRPr="00D50F44">
              <w:rPr>
                <w:b/>
                <w:bCs/>
              </w:rPr>
              <w:t>(a)</w:t>
            </w:r>
            <w:r w:rsidR="00D50F44">
              <w:t xml:space="preserve"> The pillar diameters of the nanopillar array implementing metasurface 1</w:t>
            </w:r>
            <w:r w:rsidR="00F17BD5">
              <w:t xml:space="preserve"> (scale bar in micron)</w:t>
            </w:r>
            <w:r w:rsidR="00D50F44">
              <w:t xml:space="preserve">. </w:t>
            </w:r>
            <w:r w:rsidR="00D50F44" w:rsidRPr="00D50F44">
              <w:rPr>
                <w:b/>
                <w:bCs/>
              </w:rPr>
              <w:t>(b)</w:t>
            </w:r>
            <w:r w:rsidR="00D50F44">
              <w:t xml:space="preserve"> Measured transmission intensity of the fabricated metasurface. </w:t>
            </w:r>
            <w:r w:rsidR="00D50F44" w:rsidRPr="00D50F44">
              <w:rPr>
                <w:b/>
                <w:bCs/>
              </w:rPr>
              <w:t>(c)</w:t>
            </w:r>
            <w:r w:rsidR="00D50F44">
              <w:t xml:space="preserve"> </w:t>
            </w:r>
            <w:r w:rsidR="008644CE">
              <w:t>C</w:t>
            </w:r>
            <w:r w:rsidR="00D50F44">
              <w:t>ontours of nanopillars with 310nm-330nm diameters (dark gray bands) overlaid on the measured transmission intensity. These contours match the observe low-transmission contours.</w:t>
            </w:r>
          </w:p>
        </w:tc>
      </w:tr>
    </w:tbl>
    <w:p w14:paraId="30A54894" w14:textId="6AC1F420" w:rsidR="001976C6" w:rsidRDefault="001976C6" w:rsidP="0028530B">
      <w:pPr>
        <w:pStyle w:val="Caption"/>
        <w:rPr>
          <w:lang w:val="en-GB"/>
        </w:rPr>
      </w:pPr>
    </w:p>
    <w:p w14:paraId="2B3A90AF" w14:textId="1483E0E7" w:rsidR="007B33D3" w:rsidRDefault="007B33D3" w:rsidP="00B608AF">
      <w:pPr>
        <w:jc w:val="both"/>
        <w:rPr>
          <w:lang w:val="en-GB"/>
        </w:rPr>
      </w:pPr>
      <w:r>
        <w:rPr>
          <w:lang w:val="en-GB"/>
        </w:rPr>
        <w:t>These low-transmission contours</w:t>
      </w:r>
      <w:r w:rsidR="008644CE">
        <w:rPr>
          <w:lang w:val="en-GB"/>
        </w:rPr>
        <w:t xml:space="preserve"> </w:t>
      </w:r>
      <w:r>
        <w:rPr>
          <w:lang w:val="en-GB"/>
        </w:rPr>
        <w:t xml:space="preserve">result in phase and amplitude errors in the output field distribution of the </w:t>
      </w:r>
      <w:r w:rsidR="005314ED">
        <w:rPr>
          <w:lang w:val="en-GB"/>
        </w:rPr>
        <w:t>meta-optic</w:t>
      </w:r>
      <w:r>
        <w:rPr>
          <w:lang w:val="en-GB"/>
        </w:rPr>
        <w:t xml:space="preserve">. </w:t>
      </w:r>
      <w:r w:rsidR="008644CE">
        <w:rPr>
          <w:lang w:val="en-GB"/>
        </w:rPr>
        <w:t>T</w:t>
      </w:r>
      <w:r w:rsidR="00C24825">
        <w:rPr>
          <w:lang w:val="en-GB"/>
        </w:rPr>
        <w:t xml:space="preserve">he </w:t>
      </w:r>
      <w:r w:rsidR="00F303B2">
        <w:rPr>
          <w:lang w:val="en-GB"/>
        </w:rPr>
        <w:t>hologram image</w:t>
      </w:r>
      <w:r w:rsidR="008644CE">
        <w:rPr>
          <w:lang w:val="en-GB"/>
        </w:rPr>
        <w:t xml:space="preserve"> quality</w:t>
      </w:r>
      <w:r w:rsidR="00F303B2">
        <w:rPr>
          <w:lang w:val="en-GB"/>
        </w:rPr>
        <w:t xml:space="preserve"> </w:t>
      </w:r>
      <w:r w:rsidR="00753E4B">
        <w:rPr>
          <w:lang w:val="en-GB"/>
        </w:rPr>
        <w:t>is</w:t>
      </w:r>
      <w:r w:rsidR="00F303B2">
        <w:rPr>
          <w:lang w:val="en-GB"/>
        </w:rPr>
        <w:t xml:space="preserve"> degraded</w:t>
      </w:r>
      <w:r w:rsidR="008644CE">
        <w:rPr>
          <w:lang w:val="en-GB"/>
        </w:rPr>
        <w:t xml:space="preserve"> as a result</w:t>
      </w:r>
      <w:r w:rsidR="00F303B2">
        <w:rPr>
          <w:lang w:val="en-GB"/>
        </w:rPr>
        <w:t xml:space="preserve">. This is illustrated in </w:t>
      </w:r>
      <w:r w:rsidR="00F303B2">
        <w:rPr>
          <w:lang w:val="en-GB"/>
        </w:rPr>
        <w:fldChar w:fldCharType="begin"/>
      </w:r>
      <w:r w:rsidR="00F303B2">
        <w:rPr>
          <w:lang w:val="en-GB"/>
        </w:rPr>
        <w:instrText xml:space="preserve"> REF _Ref61965023 \h </w:instrText>
      </w:r>
      <w:r w:rsidR="00F303B2">
        <w:rPr>
          <w:lang w:val="en-GB"/>
        </w:rPr>
      </w:r>
      <w:r w:rsidR="00F303B2">
        <w:rPr>
          <w:lang w:val="en-GB"/>
        </w:rPr>
        <w:fldChar w:fldCharType="separate"/>
      </w:r>
      <w:r w:rsidR="00BD724C">
        <w:t>Figure S</w:t>
      </w:r>
      <w:r w:rsidR="00BD724C">
        <w:rPr>
          <w:noProof/>
        </w:rPr>
        <w:t>3</w:t>
      </w:r>
      <w:r w:rsidR="00F303B2">
        <w:rPr>
          <w:lang w:val="en-GB"/>
        </w:rPr>
        <w:fldChar w:fldCharType="end"/>
      </w:r>
      <w:r w:rsidR="00F303B2">
        <w:rPr>
          <w:lang w:val="en-GB"/>
        </w:rPr>
        <w:t xml:space="preserve">, where the effects of the low-transmission contours </w:t>
      </w:r>
      <w:r w:rsidR="008644CE">
        <w:rPr>
          <w:lang w:val="en-GB"/>
        </w:rPr>
        <w:t>from</w:t>
      </w:r>
      <w:r w:rsidR="00F303B2">
        <w:rPr>
          <w:lang w:val="en-GB"/>
        </w:rPr>
        <w:t xml:space="preserve"> each metasurface reduce the quality of the desired</w:t>
      </w:r>
      <w:r w:rsidR="008644CE">
        <w:rPr>
          <w:lang w:val="en-GB"/>
        </w:rPr>
        <w:t xml:space="preserve"> output</w:t>
      </w:r>
      <w:r w:rsidR="00F303B2">
        <w:rPr>
          <w:lang w:val="en-GB"/>
        </w:rPr>
        <w:t xml:space="preserve"> field </w:t>
      </w:r>
      <w:r w:rsidR="008644CE">
        <w:rPr>
          <w:lang w:val="en-GB"/>
        </w:rPr>
        <w:t>of</w:t>
      </w:r>
      <w:r w:rsidR="00F303B2">
        <w:rPr>
          <w:lang w:val="en-GB"/>
        </w:rPr>
        <w:t xml:space="preserve"> the </w:t>
      </w:r>
      <w:r w:rsidR="005314ED">
        <w:rPr>
          <w:lang w:val="en-GB"/>
        </w:rPr>
        <w:t>meta-optic</w:t>
      </w:r>
      <w:r w:rsidR="00F303B2">
        <w:rPr>
          <w:lang w:val="en-GB"/>
        </w:rPr>
        <w:t xml:space="preserve">. The desired output intensity distribution is shown in </w:t>
      </w:r>
      <w:r w:rsidR="00F303B2">
        <w:rPr>
          <w:lang w:val="en-GB"/>
        </w:rPr>
        <w:fldChar w:fldCharType="begin"/>
      </w:r>
      <w:r w:rsidR="00F303B2">
        <w:rPr>
          <w:lang w:val="en-GB"/>
        </w:rPr>
        <w:instrText xml:space="preserve"> REF _Ref61965023 \h </w:instrText>
      </w:r>
      <w:r w:rsidR="00F303B2">
        <w:rPr>
          <w:lang w:val="en-GB"/>
        </w:rPr>
      </w:r>
      <w:r w:rsidR="00F303B2">
        <w:rPr>
          <w:lang w:val="en-GB"/>
        </w:rPr>
        <w:fldChar w:fldCharType="separate"/>
      </w:r>
      <w:r w:rsidR="00BD724C">
        <w:t>Figure S</w:t>
      </w:r>
      <w:r w:rsidR="00BD724C">
        <w:rPr>
          <w:noProof/>
        </w:rPr>
        <w:t>3</w:t>
      </w:r>
      <w:r w:rsidR="00F303B2">
        <w:rPr>
          <w:lang w:val="en-GB"/>
        </w:rPr>
        <w:fldChar w:fldCharType="end"/>
      </w:r>
      <w:r w:rsidR="00F303B2">
        <w:rPr>
          <w:lang w:val="en-GB"/>
        </w:rPr>
        <w:t xml:space="preserve">(a), compared to the measured output intensity in </w:t>
      </w:r>
      <w:r w:rsidR="00F303B2">
        <w:rPr>
          <w:lang w:val="en-GB"/>
        </w:rPr>
        <w:fldChar w:fldCharType="begin"/>
      </w:r>
      <w:r w:rsidR="00F303B2">
        <w:rPr>
          <w:lang w:val="en-GB"/>
        </w:rPr>
        <w:instrText xml:space="preserve"> REF _Ref61965023 \h </w:instrText>
      </w:r>
      <w:r w:rsidR="00F303B2">
        <w:rPr>
          <w:lang w:val="en-GB"/>
        </w:rPr>
      </w:r>
      <w:r w:rsidR="00F303B2">
        <w:rPr>
          <w:lang w:val="en-GB"/>
        </w:rPr>
        <w:fldChar w:fldCharType="separate"/>
      </w:r>
      <w:r w:rsidR="00BD724C">
        <w:t>Figure S</w:t>
      </w:r>
      <w:r w:rsidR="00BD724C">
        <w:rPr>
          <w:noProof/>
        </w:rPr>
        <w:t>3</w:t>
      </w:r>
      <w:r w:rsidR="00F303B2">
        <w:rPr>
          <w:lang w:val="en-GB"/>
        </w:rPr>
        <w:fldChar w:fldCharType="end"/>
      </w:r>
      <w:r w:rsidR="00F303B2">
        <w:rPr>
          <w:lang w:val="en-GB"/>
        </w:rPr>
        <w:t xml:space="preserve">(b). The measured intensity exhibits low-intensity contours </w:t>
      </w:r>
      <w:r w:rsidR="00837DB1">
        <w:rPr>
          <w:lang w:val="en-GB"/>
        </w:rPr>
        <w:t>like</w:t>
      </w:r>
      <w:r w:rsidR="00F303B2">
        <w:rPr>
          <w:lang w:val="en-GB"/>
        </w:rPr>
        <w:t xml:space="preserve"> the </w:t>
      </w:r>
      <w:r w:rsidR="00753E4B">
        <w:rPr>
          <w:lang w:val="en-GB"/>
        </w:rPr>
        <w:t xml:space="preserve">low-transmission </w:t>
      </w:r>
      <w:r w:rsidR="00DC41A2">
        <w:rPr>
          <w:lang w:val="en-GB"/>
        </w:rPr>
        <w:t>contours</w:t>
      </w:r>
      <w:r w:rsidR="00753E4B">
        <w:rPr>
          <w:lang w:val="en-GB"/>
        </w:rPr>
        <w:t xml:space="preserve"> of metasurface 1. </w:t>
      </w:r>
      <w:r w:rsidR="00837DB1">
        <w:rPr>
          <w:lang w:val="en-GB"/>
        </w:rPr>
        <w:t xml:space="preserve">Therefore, the errors </w:t>
      </w:r>
      <w:r w:rsidR="008644CE">
        <w:rPr>
          <w:lang w:val="en-GB"/>
        </w:rPr>
        <w:t>of</w:t>
      </w:r>
      <w:r w:rsidR="00837DB1">
        <w:rPr>
          <w:lang w:val="en-GB"/>
        </w:rPr>
        <w:t xml:space="preserve"> the transmitted field </w:t>
      </w:r>
      <w:r w:rsidR="008644CE">
        <w:rPr>
          <w:lang w:val="en-GB"/>
        </w:rPr>
        <w:t xml:space="preserve">introduced </w:t>
      </w:r>
      <w:r w:rsidR="00837DB1">
        <w:rPr>
          <w:lang w:val="en-GB"/>
        </w:rPr>
        <w:t xml:space="preserve">by </w:t>
      </w:r>
      <w:r w:rsidR="002E578C">
        <w:rPr>
          <w:lang w:val="en-GB"/>
        </w:rPr>
        <w:t xml:space="preserve">the </w:t>
      </w:r>
      <w:r w:rsidR="00837DB1">
        <w:rPr>
          <w:lang w:val="en-GB"/>
        </w:rPr>
        <w:t xml:space="preserve">metasurface directly result in </w:t>
      </w:r>
      <w:r w:rsidR="002E578C">
        <w:rPr>
          <w:lang w:val="en-GB"/>
        </w:rPr>
        <w:t>output intensity distribution</w:t>
      </w:r>
      <w:r w:rsidR="008644CE">
        <w:rPr>
          <w:lang w:val="en-GB"/>
        </w:rPr>
        <w:t xml:space="preserve"> errors</w:t>
      </w:r>
      <w:r w:rsidR="002E578C">
        <w:rPr>
          <w:lang w:val="en-GB"/>
        </w:rPr>
        <w:t xml:space="preserve">. Even though only intensity errors were </w:t>
      </w:r>
      <w:r w:rsidR="00B608AF">
        <w:rPr>
          <w:lang w:val="en-GB"/>
        </w:rPr>
        <w:t>measured</w:t>
      </w:r>
      <w:r w:rsidR="002E578C">
        <w:rPr>
          <w:lang w:val="en-GB"/>
        </w:rPr>
        <w:t xml:space="preserve"> in the output field distribution, it is expected that phase errors are also present.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D22A7A" w14:paraId="4C7544D7" w14:textId="77777777" w:rsidTr="00FB71D4">
        <w:tc>
          <w:tcPr>
            <w:tcW w:w="9350" w:type="dxa"/>
          </w:tcPr>
          <w:p w14:paraId="5EF9BE1B" w14:textId="77777777" w:rsidR="00D22A7A" w:rsidRDefault="00D22A7A" w:rsidP="00D22A7A">
            <w:pPr>
              <w:keepNext/>
              <w:ind w:left="-120"/>
            </w:pPr>
            <w:r>
              <w:rPr>
                <w:noProof/>
                <w:lang w:val="en-GB"/>
              </w:rPr>
              <w:drawing>
                <wp:inline distT="0" distB="0" distL="0" distR="0" wp14:anchorId="7DD985E3" wp14:editId="43655DE4">
                  <wp:extent cx="5885317" cy="1309592"/>
                  <wp:effectExtent l="0" t="0" r="1270" b="508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885317" cy="1309592"/>
                          </a:xfrm>
                          <a:prstGeom prst="rect">
                            <a:avLst/>
                          </a:prstGeom>
                        </pic:spPr>
                      </pic:pic>
                    </a:graphicData>
                  </a:graphic>
                </wp:inline>
              </w:drawing>
            </w:r>
          </w:p>
          <w:p w14:paraId="1B19EBBC" w14:textId="21CAADF6" w:rsidR="00D22A7A" w:rsidRPr="00B608AF" w:rsidRDefault="00D22A7A" w:rsidP="0028530B">
            <w:pPr>
              <w:pStyle w:val="Caption"/>
            </w:pPr>
            <w:bookmarkStart w:id="7" w:name="_Ref61965023"/>
            <w:r>
              <w:t>Figure S</w:t>
            </w:r>
            <w:r w:rsidR="003A5086">
              <w:fldChar w:fldCharType="begin"/>
            </w:r>
            <w:r w:rsidR="003A5086">
              <w:instrText xml:space="preserve"> SEQ Figure_S \* ARABIC </w:instrText>
            </w:r>
            <w:r w:rsidR="003A5086">
              <w:fldChar w:fldCharType="separate"/>
            </w:r>
            <w:r w:rsidR="00A67938">
              <w:rPr>
                <w:noProof/>
              </w:rPr>
              <w:t>3</w:t>
            </w:r>
            <w:r w:rsidR="003A5086">
              <w:rPr>
                <w:noProof/>
              </w:rPr>
              <w:fldChar w:fldCharType="end"/>
            </w:r>
            <w:bookmarkEnd w:id="7"/>
            <w:r>
              <w:t xml:space="preserve">: </w:t>
            </w:r>
            <w:r w:rsidR="00B608AF">
              <w:t xml:space="preserve">A </w:t>
            </w:r>
            <w:r w:rsidR="005314ED">
              <w:t>meta-optic</w:t>
            </w:r>
            <w:r w:rsidR="00B608AF">
              <w:t xml:space="preserve"> was designed to form a solid-image three-dimensional hologram from a uniform illumination, where the metasurface</w:t>
            </w:r>
            <w:r w:rsidR="00DC41A2">
              <w:t xml:space="preserve"> contain</w:t>
            </w:r>
            <w:r w:rsidR="00BD724C">
              <w:t>ed</w:t>
            </w:r>
            <w:r w:rsidR="00B608AF">
              <w:t xml:space="preserve"> nanopillars </w:t>
            </w:r>
            <w:r w:rsidR="00DC41A2">
              <w:t>with</w:t>
            </w:r>
            <w:r w:rsidR="00B608AF">
              <w:t xml:space="preserve"> diameters in the entire 125nm-400nm range. </w:t>
            </w:r>
            <w:r w:rsidR="00FE4A17">
              <w:t xml:space="preserve">The low-transmission contours due to nanopillars with diameters of 310nm-330nm introduce errors into the output field distribution of the </w:t>
            </w:r>
            <w:r w:rsidR="005314ED">
              <w:t>meta-optic</w:t>
            </w:r>
            <w:r w:rsidR="00FE4A17">
              <w:t xml:space="preserve"> and degrade the quality of the hologram. </w:t>
            </w:r>
            <w:r w:rsidR="00BD724C">
              <w:t>I</w:t>
            </w:r>
            <w:r w:rsidR="00FE4A17">
              <w:t xml:space="preserve">ntensity distributions are normalized to their maximums. </w:t>
            </w:r>
            <w:r w:rsidR="00FE4A17" w:rsidRPr="008D1648">
              <w:rPr>
                <w:b/>
                <w:bCs/>
              </w:rPr>
              <w:t>(a)</w:t>
            </w:r>
            <w:r w:rsidR="00FE4A17">
              <w:t xml:space="preserve"> The desired output intensity of the </w:t>
            </w:r>
            <w:r w:rsidR="005314ED">
              <w:t>meta-optic</w:t>
            </w:r>
            <w:r w:rsidR="00FE4A17">
              <w:t xml:space="preserve">. </w:t>
            </w:r>
            <w:r w:rsidR="00FE4A17" w:rsidRPr="008D1648">
              <w:rPr>
                <w:b/>
                <w:bCs/>
              </w:rPr>
              <w:t>(b)</w:t>
            </w:r>
            <w:r w:rsidR="00FE4A17">
              <w:t xml:space="preserve"> The measured output intensity of the </w:t>
            </w:r>
            <w:r w:rsidR="005314ED">
              <w:t>meta-optic</w:t>
            </w:r>
            <w:r w:rsidR="00FE4A17">
              <w:t>. Not</w:t>
            </w:r>
            <w:r w:rsidR="00F2312E">
              <w:t>e</w:t>
            </w:r>
            <w:r w:rsidR="00FE4A17">
              <w:t xml:space="preserve"> the low-transmission contours are </w:t>
            </w:r>
            <w:r w:rsidR="008D1648">
              <w:t>like</w:t>
            </w:r>
            <w:r w:rsidR="00FE4A17">
              <w:t xml:space="preserve"> those in </w:t>
            </w:r>
            <w:r w:rsidR="00FE4A17">
              <w:fldChar w:fldCharType="begin"/>
            </w:r>
            <w:r w:rsidR="00FE4A17">
              <w:instrText xml:space="preserve"> REF _Ref61962755 \h </w:instrText>
            </w:r>
            <w:r w:rsidR="00FE4A17">
              <w:fldChar w:fldCharType="separate"/>
            </w:r>
            <w:r w:rsidR="00BD724C">
              <w:t>Figure S</w:t>
            </w:r>
            <w:r w:rsidR="00BD724C">
              <w:rPr>
                <w:noProof/>
              </w:rPr>
              <w:t>2</w:t>
            </w:r>
            <w:r w:rsidR="00FE4A17">
              <w:fldChar w:fldCharType="end"/>
            </w:r>
            <w:r w:rsidR="00FE4A17">
              <w:t xml:space="preserve">(b). </w:t>
            </w:r>
            <w:r w:rsidR="00FE4A17" w:rsidRPr="008D1648">
              <w:rPr>
                <w:b/>
                <w:bCs/>
              </w:rPr>
              <w:t>(c)</w:t>
            </w:r>
            <w:r w:rsidR="00FE4A17">
              <w:t xml:space="preserve"> The desired intensity of the hologram at a plane where the left portion of the M is in focus. </w:t>
            </w:r>
            <w:r w:rsidR="00FE4A17" w:rsidRPr="008D1648">
              <w:rPr>
                <w:b/>
                <w:bCs/>
              </w:rPr>
              <w:t>(</w:t>
            </w:r>
            <w:r w:rsidR="008D1648" w:rsidRPr="008D1648">
              <w:rPr>
                <w:b/>
                <w:bCs/>
              </w:rPr>
              <w:t>d</w:t>
            </w:r>
            <w:r w:rsidR="00FE4A17" w:rsidRPr="008D1648">
              <w:rPr>
                <w:b/>
                <w:bCs/>
              </w:rPr>
              <w:t>)</w:t>
            </w:r>
            <w:r w:rsidR="00FE4A17">
              <w:t xml:space="preserve"> Measured intensity of the hologram.</w:t>
            </w:r>
            <w:r w:rsidR="00F2312E">
              <w:t xml:space="preserve"> The low-transmission contours are visible in the hologram image, degrading its quality.</w:t>
            </w:r>
          </w:p>
        </w:tc>
      </w:tr>
    </w:tbl>
    <w:p w14:paraId="7DE80C94" w14:textId="4B31FF94" w:rsidR="002E578C" w:rsidRDefault="002E578C" w:rsidP="00BD724C">
      <w:pPr>
        <w:spacing w:before="240"/>
        <w:jc w:val="both"/>
        <w:rPr>
          <w:lang w:val="en-GB"/>
        </w:rPr>
      </w:pPr>
      <w:r>
        <w:rPr>
          <w:lang w:val="en-GB"/>
        </w:rPr>
        <w:t xml:space="preserve">Due to the amplitude and phase errors in the </w:t>
      </w:r>
      <w:r w:rsidR="00F95CE3">
        <w:rPr>
          <w:lang w:val="en-GB"/>
        </w:rPr>
        <w:t xml:space="preserve">output </w:t>
      </w:r>
      <w:r>
        <w:rPr>
          <w:lang w:val="en-GB"/>
        </w:rPr>
        <w:t xml:space="preserve">field profile, the hologram image is degraded in quality. This is seen when comparing the desired hologram image in </w:t>
      </w:r>
      <w:r>
        <w:rPr>
          <w:lang w:val="en-GB"/>
        </w:rPr>
        <w:fldChar w:fldCharType="begin"/>
      </w:r>
      <w:r>
        <w:rPr>
          <w:lang w:val="en-GB"/>
        </w:rPr>
        <w:instrText xml:space="preserve"> REF _Ref61965023 \h </w:instrText>
      </w:r>
      <w:r>
        <w:rPr>
          <w:lang w:val="en-GB"/>
        </w:rPr>
      </w:r>
      <w:r>
        <w:rPr>
          <w:lang w:val="en-GB"/>
        </w:rPr>
        <w:fldChar w:fldCharType="separate"/>
      </w:r>
      <w:r w:rsidR="00BD724C">
        <w:t>Figure S</w:t>
      </w:r>
      <w:r w:rsidR="00BD724C">
        <w:rPr>
          <w:noProof/>
        </w:rPr>
        <w:t>3</w:t>
      </w:r>
      <w:r>
        <w:rPr>
          <w:lang w:val="en-GB"/>
        </w:rPr>
        <w:fldChar w:fldCharType="end"/>
      </w:r>
      <w:r>
        <w:rPr>
          <w:lang w:val="en-GB"/>
        </w:rPr>
        <w:t xml:space="preserve">(c) to the measured image in </w:t>
      </w:r>
      <w:r>
        <w:rPr>
          <w:lang w:val="en-GB"/>
        </w:rPr>
        <w:fldChar w:fldCharType="begin"/>
      </w:r>
      <w:r>
        <w:rPr>
          <w:lang w:val="en-GB"/>
        </w:rPr>
        <w:instrText xml:space="preserve"> REF _Ref61965023 \h </w:instrText>
      </w:r>
      <w:r>
        <w:rPr>
          <w:lang w:val="en-GB"/>
        </w:rPr>
      </w:r>
      <w:r>
        <w:rPr>
          <w:lang w:val="en-GB"/>
        </w:rPr>
        <w:fldChar w:fldCharType="separate"/>
      </w:r>
      <w:r w:rsidR="00BD724C">
        <w:t>Figure S</w:t>
      </w:r>
      <w:r w:rsidR="00BD724C">
        <w:rPr>
          <w:noProof/>
        </w:rPr>
        <w:t>3</w:t>
      </w:r>
      <w:r>
        <w:rPr>
          <w:lang w:val="en-GB"/>
        </w:rPr>
        <w:fldChar w:fldCharType="end"/>
      </w:r>
      <w:r>
        <w:rPr>
          <w:lang w:val="en-GB"/>
        </w:rPr>
        <w:t xml:space="preserve">(d). </w:t>
      </w:r>
      <w:r w:rsidR="00490CF5">
        <w:rPr>
          <w:lang w:val="en-GB"/>
        </w:rPr>
        <w:t xml:space="preserve">While the general image components are recognizable in the measured image, </w:t>
      </w:r>
      <w:r w:rsidR="00E84037">
        <w:rPr>
          <w:lang w:val="en-GB"/>
        </w:rPr>
        <w:t>the low-intensity contours are visible and clearly reduce image quality.</w:t>
      </w:r>
      <w:r w:rsidR="00FE4A17">
        <w:rPr>
          <w:lang w:val="en-GB"/>
        </w:rPr>
        <w:t xml:space="preserve"> </w:t>
      </w:r>
    </w:p>
    <w:p w14:paraId="17A22522" w14:textId="275EBB2F" w:rsidR="00BE0AD4" w:rsidRDefault="004E197A" w:rsidP="00BD724C">
      <w:pPr>
        <w:jc w:val="both"/>
        <w:rPr>
          <w:lang w:val="en-GB"/>
        </w:rPr>
      </w:pPr>
      <w:r>
        <w:rPr>
          <w:lang w:val="en-GB"/>
        </w:rPr>
        <w:t>With these results</w:t>
      </w:r>
      <w:r w:rsidR="008D1648">
        <w:rPr>
          <w:lang w:val="en-GB"/>
        </w:rPr>
        <w:t xml:space="preserve"> in mind</w:t>
      </w:r>
      <w:r>
        <w:rPr>
          <w:lang w:val="en-GB"/>
        </w:rPr>
        <w:t xml:space="preserve">, </w:t>
      </w:r>
      <w:r w:rsidR="00F95CE3">
        <w:rPr>
          <w:lang w:val="en-GB"/>
        </w:rPr>
        <w:t>the</w:t>
      </w:r>
      <w:r>
        <w:rPr>
          <w:lang w:val="en-GB"/>
        </w:rPr>
        <w:t xml:space="preserve"> three-dimensional hologram </w:t>
      </w:r>
      <w:r w:rsidR="00F95CE3">
        <w:rPr>
          <w:lang w:val="en-GB"/>
        </w:rPr>
        <w:t>was re-</w:t>
      </w:r>
      <w:r>
        <w:rPr>
          <w:lang w:val="en-GB"/>
        </w:rPr>
        <w:t>design</w:t>
      </w:r>
      <w:r w:rsidR="00F95CE3">
        <w:rPr>
          <w:lang w:val="en-GB"/>
        </w:rPr>
        <w:t>ed</w:t>
      </w:r>
      <w:r>
        <w:rPr>
          <w:lang w:val="en-GB"/>
        </w:rPr>
        <w:t xml:space="preserve"> </w:t>
      </w:r>
      <w:r w:rsidR="00F95CE3">
        <w:rPr>
          <w:lang w:val="en-GB"/>
        </w:rPr>
        <w:t>and</w:t>
      </w:r>
      <w:r>
        <w:rPr>
          <w:lang w:val="en-GB"/>
        </w:rPr>
        <w:t xml:space="preserve"> fabricated without using nanopillar diameters in the range of 310nm-330nm. </w:t>
      </w:r>
      <w:r w:rsidR="00F2312E">
        <w:rPr>
          <w:lang w:val="en-GB"/>
        </w:rPr>
        <w:t>The</w:t>
      </w:r>
      <w:r>
        <w:rPr>
          <w:lang w:val="en-GB"/>
        </w:rPr>
        <w:t xml:space="preserve"> low-transmission contours seen in </w:t>
      </w:r>
      <w:r>
        <w:fldChar w:fldCharType="begin"/>
      </w:r>
      <w:r>
        <w:rPr>
          <w:lang w:val="en-GB"/>
        </w:rPr>
        <w:instrText xml:space="preserve"> REF _Ref61962755 \h </w:instrText>
      </w:r>
      <w:r w:rsidR="004E4E14">
        <w:instrText xml:space="preserve"> \* MERGEFORMAT </w:instrText>
      </w:r>
      <w:r>
        <w:fldChar w:fldCharType="separate"/>
      </w:r>
      <w:r w:rsidR="00BD724C">
        <w:t>Figure S2</w:t>
      </w:r>
      <w:r>
        <w:fldChar w:fldCharType="end"/>
      </w:r>
      <w:r>
        <w:t xml:space="preserve"> were mitigated. The measured results are shown in Figure 4</w:t>
      </w:r>
      <w:r w:rsidR="00F2312E">
        <w:t>(d)</w:t>
      </w:r>
      <w:r>
        <w:t xml:space="preserve"> of the main text. </w:t>
      </w:r>
    </w:p>
    <w:p w14:paraId="74959E25" w14:textId="3D352BCC" w:rsidR="004E197A" w:rsidRDefault="00BE0AD4" w:rsidP="00BD724C">
      <w:pPr>
        <w:jc w:val="both"/>
        <w:rPr>
          <w:lang w:val="en-GB"/>
        </w:rPr>
      </w:pPr>
      <w:r>
        <w:rPr>
          <w:lang w:val="en-GB"/>
        </w:rPr>
        <w:t>T</w:t>
      </w:r>
      <w:r w:rsidR="004E197A">
        <w:rPr>
          <w:lang w:val="en-GB"/>
        </w:rPr>
        <w:t>he</w:t>
      </w:r>
      <w:r w:rsidR="00F95CE3">
        <w:rPr>
          <w:lang w:val="en-GB"/>
        </w:rPr>
        <w:t xml:space="preserve">se </w:t>
      </w:r>
      <w:r w:rsidR="004E197A">
        <w:rPr>
          <w:lang w:val="en-GB"/>
        </w:rPr>
        <w:t>low-transmission contour</w:t>
      </w:r>
      <w:r w:rsidR="0062529A">
        <w:rPr>
          <w:lang w:val="en-GB"/>
        </w:rPr>
        <w:t>s</w:t>
      </w:r>
      <w:r w:rsidR="004E197A">
        <w:rPr>
          <w:lang w:val="en-GB"/>
        </w:rPr>
        <w:t xml:space="preserve"> occur for the beam-splitter and former </w:t>
      </w:r>
      <w:r>
        <w:rPr>
          <w:lang w:val="en-GB"/>
        </w:rPr>
        <w:t>examples but</w:t>
      </w:r>
      <w:r w:rsidR="004E197A">
        <w:rPr>
          <w:lang w:val="en-GB"/>
        </w:rPr>
        <w:t xml:space="preserve"> </w:t>
      </w:r>
      <w:r w:rsidR="000E24DC">
        <w:rPr>
          <w:lang w:val="en-GB"/>
        </w:rPr>
        <w:t>are</w:t>
      </w:r>
      <w:r>
        <w:rPr>
          <w:lang w:val="en-GB"/>
        </w:rPr>
        <w:t xml:space="preserve"> not</w:t>
      </w:r>
      <w:r w:rsidR="004E4E14">
        <w:rPr>
          <w:lang w:val="en-GB"/>
        </w:rPr>
        <w:t xml:space="preserve"> </w:t>
      </w:r>
      <w:r>
        <w:rPr>
          <w:lang w:val="en-GB"/>
        </w:rPr>
        <w:t>as impactful</w:t>
      </w:r>
      <w:r w:rsidR="004E4E14">
        <w:rPr>
          <w:lang w:val="en-GB"/>
        </w:rPr>
        <w:t xml:space="preserve"> since </w:t>
      </w:r>
      <w:r w:rsidR="0062529A">
        <w:rPr>
          <w:lang w:val="en-GB"/>
        </w:rPr>
        <w:t>this</w:t>
      </w:r>
      <w:r>
        <w:rPr>
          <w:lang w:val="en-GB"/>
        </w:rPr>
        <w:t xml:space="preserve"> function is </w:t>
      </w:r>
      <w:r w:rsidR="000E24DC">
        <w:rPr>
          <w:lang w:val="en-GB"/>
        </w:rPr>
        <w:t>measured</w:t>
      </w:r>
      <w:r>
        <w:rPr>
          <w:lang w:val="en-GB"/>
        </w:rPr>
        <w:t xml:space="preserve"> in the far-field</w:t>
      </w:r>
      <w:r w:rsidR="004E4E14">
        <w:rPr>
          <w:lang w:val="en-GB"/>
        </w:rPr>
        <w:t xml:space="preserve">. </w:t>
      </w:r>
      <w:r w:rsidR="008B6BBB">
        <w:rPr>
          <w:lang w:val="en-GB"/>
        </w:rPr>
        <w:t>I</w:t>
      </w:r>
      <w:r w:rsidR="004E4E14">
        <w:rPr>
          <w:lang w:val="en-GB"/>
        </w:rPr>
        <w:t>ntroducing</w:t>
      </w:r>
      <w:r w:rsidR="0062529A">
        <w:rPr>
          <w:lang w:val="en-GB"/>
        </w:rPr>
        <w:t xml:space="preserve"> output</w:t>
      </w:r>
      <w:r w:rsidR="004E4E14">
        <w:rPr>
          <w:lang w:val="en-GB"/>
        </w:rPr>
        <w:t xml:space="preserve"> field errors over thin </w:t>
      </w:r>
      <w:r w:rsidR="000E24DC">
        <w:rPr>
          <w:lang w:val="en-GB"/>
        </w:rPr>
        <w:t xml:space="preserve">contours </w:t>
      </w:r>
      <w:r w:rsidR="00945876">
        <w:rPr>
          <w:lang w:val="en-GB"/>
        </w:rPr>
        <w:t>creates</w:t>
      </w:r>
      <w:r w:rsidR="000E24DC">
        <w:rPr>
          <w:lang w:val="en-GB"/>
        </w:rPr>
        <w:t xml:space="preserve"> </w:t>
      </w:r>
      <w:r w:rsidR="000E24DC">
        <w:rPr>
          <w:lang w:val="en-GB"/>
        </w:rPr>
        <w:lastRenderedPageBreak/>
        <w:t xml:space="preserve">noise </w:t>
      </w:r>
      <w:r w:rsidR="00945876">
        <w:rPr>
          <w:lang w:val="en-GB"/>
        </w:rPr>
        <w:t>in</w:t>
      </w:r>
      <w:r w:rsidR="000E24DC">
        <w:rPr>
          <w:lang w:val="en-GB"/>
        </w:rPr>
        <w:t xml:space="preserve"> </w:t>
      </w:r>
      <w:r w:rsidR="001B06CB">
        <w:rPr>
          <w:lang w:val="en-GB"/>
        </w:rPr>
        <w:t>the plane wave spectrum of the output field distributio</w:t>
      </w:r>
      <w:r w:rsidR="000E24DC">
        <w:rPr>
          <w:lang w:val="en-GB"/>
        </w:rPr>
        <w:t>n</w:t>
      </w:r>
      <w:r w:rsidR="001B06CB">
        <w:rPr>
          <w:lang w:val="en-GB"/>
        </w:rPr>
        <w:t xml:space="preserve">. However, as this output field propagates to the far-field, the beam profiles separate from the noise </w:t>
      </w:r>
      <w:r w:rsidR="000E24DC">
        <w:rPr>
          <w:lang w:val="en-GB"/>
        </w:rPr>
        <w:t>to</w:t>
      </w:r>
      <w:r w:rsidR="001B06CB">
        <w:rPr>
          <w:lang w:val="en-GB"/>
        </w:rPr>
        <w:t xml:space="preserve"> match the desired </w:t>
      </w:r>
      <w:r w:rsidR="0062529A">
        <w:rPr>
          <w:lang w:val="en-GB"/>
        </w:rPr>
        <w:t>profiles.</w:t>
      </w:r>
      <w:r w:rsidR="001B06CB">
        <w:rPr>
          <w:lang w:val="en-GB"/>
        </w:rPr>
        <w:t xml:space="preserve"> </w:t>
      </w:r>
      <w:r w:rsidR="000E24DC">
        <w:rPr>
          <w:lang w:val="en-GB"/>
        </w:rPr>
        <w:t>P</w:t>
      </w:r>
      <w:r w:rsidR="001B06CB">
        <w:rPr>
          <w:lang w:val="en-GB"/>
        </w:rPr>
        <w:t>ower is lost to this spectral noise, reducing the efficiency.</w:t>
      </w:r>
      <w:r>
        <w:rPr>
          <w:lang w:val="en-GB"/>
        </w:rPr>
        <w:t xml:space="preserve"> </w:t>
      </w:r>
      <w:r w:rsidR="00F95CE3">
        <w:rPr>
          <w:lang w:val="en-GB"/>
        </w:rPr>
        <w:t>T</w:t>
      </w:r>
      <w:r w:rsidR="001B06CB">
        <w:rPr>
          <w:lang w:val="en-GB"/>
        </w:rPr>
        <w:t xml:space="preserve">he measured aperture intensity distribution exhibits </w:t>
      </w:r>
      <w:r w:rsidR="00F2312E">
        <w:rPr>
          <w:lang w:val="en-GB"/>
        </w:rPr>
        <w:t xml:space="preserve">thin contours of </w:t>
      </w:r>
      <w:r w:rsidR="001B06CB">
        <w:rPr>
          <w:lang w:val="en-GB"/>
        </w:rPr>
        <w:t>amplitude errors</w:t>
      </w:r>
      <w:r w:rsidR="00F95CE3">
        <w:rPr>
          <w:lang w:val="en-GB"/>
        </w:rPr>
        <w:t xml:space="preserve"> (see Figure 3 of the main text)</w:t>
      </w:r>
      <w:r w:rsidR="001B06CB">
        <w:rPr>
          <w:lang w:val="en-GB"/>
        </w:rPr>
        <w:t xml:space="preserve">, </w:t>
      </w:r>
      <w:r>
        <w:rPr>
          <w:lang w:val="en-GB"/>
        </w:rPr>
        <w:t xml:space="preserve">but </w:t>
      </w:r>
      <w:r w:rsidR="001B06CB">
        <w:rPr>
          <w:lang w:val="en-GB"/>
        </w:rPr>
        <w:t xml:space="preserve">the </w:t>
      </w:r>
      <w:r w:rsidR="00F95CE3">
        <w:rPr>
          <w:lang w:val="en-GB"/>
        </w:rPr>
        <w:t xml:space="preserve">far-field </w:t>
      </w:r>
      <w:r w:rsidR="001B06CB">
        <w:rPr>
          <w:lang w:val="en-GB"/>
        </w:rPr>
        <w:t xml:space="preserve">beam profiles match the expected </w:t>
      </w:r>
      <w:r w:rsidR="000E24DC">
        <w:rPr>
          <w:lang w:val="en-GB"/>
        </w:rPr>
        <w:t>result</w:t>
      </w:r>
      <w:r w:rsidR="001B06CB">
        <w:rPr>
          <w:lang w:val="en-GB"/>
        </w:rPr>
        <w:t xml:space="preserve">.  </w:t>
      </w:r>
    </w:p>
    <w:p w14:paraId="6A5AC600" w14:textId="167041F5" w:rsidR="002C2AE8" w:rsidRDefault="002C2AE8" w:rsidP="00280BC9">
      <w:pPr>
        <w:pStyle w:val="SMH1"/>
      </w:pPr>
      <w:r>
        <w:t>Alignment Hologram</w:t>
      </w:r>
    </w:p>
    <w:p w14:paraId="62BFB0DB" w14:textId="77808C28" w:rsidR="002C38CC" w:rsidRDefault="00A66334" w:rsidP="00F55CEB">
      <w:pPr>
        <w:jc w:val="both"/>
      </w:pPr>
      <w:r>
        <w:t>O</w:t>
      </w:r>
      <w:r w:rsidR="002C38CC">
        <w:t xml:space="preserve">ptimal performance of compound </w:t>
      </w:r>
      <w:r w:rsidR="005314ED">
        <w:t>meta-optic</w:t>
      </w:r>
      <w:r w:rsidR="002C38CC">
        <w:t xml:space="preserve">s </w:t>
      </w:r>
      <w:r>
        <w:t>requires accurate alignment of the constitutive metasurfaces</w:t>
      </w:r>
      <w:r w:rsidR="002C38CC">
        <w:t xml:space="preserve">. </w:t>
      </w:r>
      <w:r w:rsidR="00564ABC">
        <w:t xml:space="preserve">A significant phase error </w:t>
      </w:r>
      <w:r w:rsidR="00EA3E44">
        <w:t>is</w:t>
      </w:r>
      <w:r w:rsidR="00564ABC">
        <w:t xml:space="preserve"> introduced into the output field </w:t>
      </w:r>
      <w:r w:rsidR="00EA3E44">
        <w:t>when</w:t>
      </w:r>
      <w:r w:rsidR="002C38CC">
        <w:t xml:space="preserve"> </w:t>
      </w:r>
      <w:r w:rsidR="00A775B7">
        <w:t>the metasurfaces are misaligned</w:t>
      </w:r>
      <w:r w:rsidR="002C38CC">
        <w:t>. This phase error alter</w:t>
      </w:r>
      <w:r w:rsidR="00EA3E44">
        <w:t>s</w:t>
      </w:r>
      <w:r w:rsidR="002C38CC">
        <w:t xml:space="preserve"> </w:t>
      </w:r>
      <w:r w:rsidR="00A775B7">
        <w:t>wave</w:t>
      </w:r>
      <w:r w:rsidR="002C38CC">
        <w:t xml:space="preserve"> propagation so that the desired function is degraded or no longer achieved. </w:t>
      </w:r>
      <w:r w:rsidR="00EA3E44">
        <w:t>When forming a hologram</w:t>
      </w:r>
      <w:r w:rsidR="002C38CC">
        <w:t xml:space="preserve">, increasing the phase error on the output field will distort the hologram </w:t>
      </w:r>
      <w:r w:rsidR="00693584">
        <w:t>image</w:t>
      </w:r>
      <w:r w:rsidR="002C38CC">
        <w:t xml:space="preserve">. </w:t>
      </w:r>
    </w:p>
    <w:p w14:paraId="115EA303" w14:textId="198DD9E9" w:rsidR="00236E17" w:rsidRDefault="00A775B7" w:rsidP="00F55CEB">
      <w:pPr>
        <w:jc w:val="both"/>
      </w:pPr>
      <w:r>
        <w:t>W</w:t>
      </w:r>
      <w:r w:rsidR="006B4873">
        <w:t xml:space="preserve">e utilize an alignment hologram approach </w:t>
      </w:r>
      <w:r>
        <w:t>to accurately align the metasurfaces. N</w:t>
      </w:r>
      <w:r w:rsidR="006B4873">
        <w:t xml:space="preserve">anopillar arrays </w:t>
      </w:r>
      <w:r>
        <w:t xml:space="preserve">are </w:t>
      </w:r>
      <w:r w:rsidR="006B4873">
        <w:t xml:space="preserve">placed near the two metasurfaces forming the </w:t>
      </w:r>
      <w:r w:rsidR="005314ED">
        <w:t>meta-optic</w:t>
      </w:r>
      <w:r>
        <w:t>.</w:t>
      </w:r>
      <w:r w:rsidR="006B4873">
        <w:t xml:space="preserve"> </w:t>
      </w:r>
      <w:r w:rsidR="00236E17">
        <w:t>The array near metasurface 1 was designed using the phase-retrieval algorithm to form a</w:t>
      </w:r>
      <w:r>
        <w:t xml:space="preserve"> cross-shaped</w:t>
      </w:r>
      <w:r w:rsidR="006F643B">
        <w:t xml:space="preserve"> </w:t>
      </w:r>
      <w:r w:rsidR="00AD1A78">
        <w:t>intensity</w:t>
      </w:r>
      <w:r w:rsidR="006F643B">
        <w:t xml:space="preserve"> pattern</w:t>
      </w:r>
      <w:r w:rsidR="00236E17">
        <w:t xml:space="preserve"> at the </w:t>
      </w:r>
      <w:r>
        <w:t xml:space="preserve">desired </w:t>
      </w:r>
      <w:r w:rsidR="00236E17">
        <w:t xml:space="preserve">distance </w:t>
      </w:r>
      <w:r>
        <w:t>of</w:t>
      </w:r>
      <w:r w:rsidR="00236E17">
        <w:t xml:space="preserve"> metasurface 2</w:t>
      </w:r>
      <w:r w:rsidR="006F643B">
        <w:t>.</w:t>
      </w:r>
      <w:r w:rsidR="009D723B">
        <w:t xml:space="preserve"> As a result, the hologram </w:t>
      </w:r>
      <w:r w:rsidR="004B5D14">
        <w:t>transfers</w:t>
      </w:r>
      <w:r w:rsidR="009D723B">
        <w:t xml:space="preserve"> location information </w:t>
      </w:r>
      <w:r w:rsidR="00A66334">
        <w:t>from</w:t>
      </w:r>
      <w:r w:rsidR="009D723B">
        <w:t xml:space="preserve"> layer 1 to the same plane as layer 2. </w:t>
      </w:r>
      <w:r w:rsidR="00236E17">
        <w:t xml:space="preserve">The </w:t>
      </w:r>
      <w:r w:rsidR="009D723B">
        <w:t>nanopillar</w:t>
      </w:r>
      <w:r w:rsidR="00236E17">
        <w:t xml:space="preserve"> array near metasurface 2 contains a pattern of </w:t>
      </w:r>
      <w:r>
        <w:t>low transmission</w:t>
      </w:r>
      <w:r w:rsidR="00236E17">
        <w:t xml:space="preserve"> nanopillars tracing the alignment hologram</w:t>
      </w:r>
      <w:r>
        <w:t xml:space="preserve"> outline</w:t>
      </w:r>
      <w:r w:rsidR="00236E17">
        <w:t xml:space="preserve">. By positioning layer 2 so that the </w:t>
      </w:r>
      <w:r w:rsidR="009821F4">
        <w:t>low-transmission</w:t>
      </w:r>
      <w:r w:rsidR="00236E17">
        <w:t xml:space="preserve"> outline is not visible when illuminated by the alignment hologram, the two metasurfaces </w:t>
      </w:r>
      <w:r w:rsidR="00090017">
        <w:t>are</w:t>
      </w:r>
      <w:r w:rsidR="00236E17">
        <w:t xml:space="preserve"> accurately aligned.</w:t>
      </w:r>
    </w:p>
    <w:p w14:paraId="67E0EF94" w14:textId="053FB382" w:rsidR="00F542AC" w:rsidRPr="008644CE" w:rsidRDefault="00146FF2" w:rsidP="00F55CEB">
      <w:pPr>
        <w:jc w:val="both"/>
        <w:rPr>
          <w:rFonts w:eastAsiaTheme="minorEastAsia"/>
        </w:rPr>
      </w:pPr>
      <w:r>
        <w:t xml:space="preserve">The nanopillar array forming the alignment hologram is </w:t>
      </w:r>
      <m:oMath>
        <m:r>
          <w:rPr>
            <w:rFonts w:ascii="Cambria Math" w:hAnsi="Cambria Math"/>
          </w:rPr>
          <m:t>100μm×100μm</m:t>
        </m:r>
      </m:oMath>
      <w:r>
        <w:rPr>
          <w:rFonts w:eastAsiaTheme="minorEastAsia"/>
        </w:rPr>
        <w:t xml:space="preserve"> in dimension.</w:t>
      </w:r>
      <w:r w:rsidR="00D87BC4">
        <w:rPr>
          <w:rFonts w:eastAsiaTheme="minorEastAsia"/>
        </w:rPr>
        <w:t xml:space="preserve"> </w:t>
      </w:r>
      <w:r w:rsidR="00632B16">
        <w:rPr>
          <w:rFonts w:eastAsiaTheme="minorEastAsia"/>
        </w:rPr>
        <w:t>Figure S4</w:t>
      </w:r>
      <w:r w:rsidR="00416AAE">
        <w:rPr>
          <w:rFonts w:eastAsiaTheme="minorEastAsia"/>
        </w:rPr>
        <w:fldChar w:fldCharType="begin"/>
      </w:r>
      <w:r w:rsidR="00416AAE">
        <w:rPr>
          <w:rFonts w:eastAsiaTheme="minorEastAsia"/>
        </w:rPr>
        <w:instrText xml:space="preserve"> REF _Ref63369228 \h </w:instrText>
      </w:r>
      <w:r w:rsidR="00416AAE">
        <w:rPr>
          <w:rFonts w:eastAsiaTheme="minorEastAsia"/>
        </w:rPr>
      </w:r>
      <w:r w:rsidR="00416AAE">
        <w:rPr>
          <w:rFonts w:eastAsiaTheme="minorEastAsia"/>
        </w:rPr>
        <w:fldChar w:fldCharType="end"/>
      </w:r>
      <w:r>
        <w:rPr>
          <w:rFonts w:eastAsiaTheme="minorEastAsia"/>
        </w:rPr>
        <w:t>(a) shows the phase</w:t>
      </w:r>
      <w:r w:rsidR="00564ABC">
        <w:rPr>
          <w:rFonts w:eastAsiaTheme="minorEastAsia"/>
        </w:rPr>
        <w:t xml:space="preserve"> shift</w:t>
      </w:r>
      <w:r>
        <w:rPr>
          <w:rFonts w:eastAsiaTheme="minorEastAsia"/>
        </w:rPr>
        <w:t xml:space="preserve"> profile of this array</w:t>
      </w:r>
      <w:r w:rsidR="00535355">
        <w:rPr>
          <w:rFonts w:eastAsiaTheme="minorEastAsia"/>
        </w:rPr>
        <w:t xml:space="preserve">, which forms the intensity hologram in </w:t>
      </w:r>
      <w:r w:rsidR="00632B16">
        <w:rPr>
          <w:rFonts w:eastAsiaTheme="minorEastAsia"/>
        </w:rPr>
        <w:t>Figure S4</w:t>
      </w:r>
      <w:r w:rsidR="00416AAE">
        <w:rPr>
          <w:rFonts w:eastAsiaTheme="minorEastAsia"/>
        </w:rPr>
        <w:fldChar w:fldCharType="begin"/>
      </w:r>
      <w:r w:rsidR="00416AAE">
        <w:rPr>
          <w:rFonts w:eastAsiaTheme="minorEastAsia"/>
        </w:rPr>
        <w:instrText xml:space="preserve"> REF _Ref63369228 \h </w:instrText>
      </w:r>
      <w:r w:rsidR="00416AAE">
        <w:rPr>
          <w:rFonts w:eastAsiaTheme="minorEastAsia"/>
        </w:rPr>
      </w:r>
      <w:r w:rsidR="00416AAE">
        <w:rPr>
          <w:rFonts w:eastAsiaTheme="minorEastAsia"/>
        </w:rPr>
        <w:fldChar w:fldCharType="end"/>
      </w:r>
      <w:r w:rsidR="00535355">
        <w:rPr>
          <w:rFonts w:eastAsiaTheme="minorEastAsia"/>
        </w:rPr>
        <w:fldChar w:fldCharType="begin"/>
      </w:r>
      <w:r w:rsidR="00535355">
        <w:rPr>
          <w:rFonts w:eastAsiaTheme="minorEastAsia"/>
        </w:rPr>
        <w:instrText xml:space="preserve"> REF _Ref58418456 \h </w:instrText>
      </w:r>
      <w:r w:rsidR="00F55CEB">
        <w:rPr>
          <w:rFonts w:eastAsiaTheme="minorEastAsia"/>
        </w:rPr>
        <w:instrText xml:space="preserve"> \* MERGEFORMAT </w:instrText>
      </w:r>
      <w:r w:rsidR="00535355">
        <w:rPr>
          <w:rFonts w:eastAsiaTheme="minorEastAsia"/>
        </w:rPr>
      </w:r>
      <w:r w:rsidR="00535355">
        <w:rPr>
          <w:rFonts w:eastAsiaTheme="minorEastAsia"/>
        </w:rPr>
        <w:fldChar w:fldCharType="end"/>
      </w:r>
      <w:r w:rsidR="00535355">
        <w:rPr>
          <w:rFonts w:eastAsiaTheme="minorEastAsia"/>
        </w:rPr>
        <w:t xml:space="preserve">(b). </w:t>
      </w:r>
      <w:r w:rsidR="006F1603">
        <w:rPr>
          <w:rFonts w:eastAsiaTheme="minorEastAsia"/>
        </w:rPr>
        <w:t>T</w:t>
      </w:r>
      <w:r w:rsidR="00535355">
        <w:rPr>
          <w:rFonts w:eastAsiaTheme="minorEastAsia"/>
        </w:rPr>
        <w:t xml:space="preserve">he low-transmission outline </w:t>
      </w:r>
      <w:r w:rsidR="006F1603">
        <w:rPr>
          <w:rFonts w:eastAsiaTheme="minorEastAsia"/>
        </w:rPr>
        <w:t xml:space="preserve">is </w:t>
      </w:r>
      <w:r w:rsidR="00535355">
        <w:rPr>
          <w:rFonts w:eastAsiaTheme="minorEastAsia"/>
        </w:rPr>
        <w:t>aligned with this hologram</w:t>
      </w:r>
      <w:r w:rsidR="006F1603">
        <w:rPr>
          <w:rFonts w:eastAsiaTheme="minorEastAsia"/>
        </w:rPr>
        <w:t xml:space="preserve"> by adjusting the position of layer 2</w:t>
      </w:r>
      <w:r w:rsidR="00A66334">
        <w:rPr>
          <w:rFonts w:eastAsiaTheme="minorEastAsia"/>
        </w:rPr>
        <w:t>,</w:t>
      </w:r>
      <w:r w:rsidR="00535355">
        <w:rPr>
          <w:rFonts w:eastAsiaTheme="minorEastAsia"/>
        </w:rPr>
        <w:t xml:space="preserve"> as shown in </w:t>
      </w:r>
      <w:r w:rsidR="00632B16">
        <w:rPr>
          <w:rFonts w:eastAsiaTheme="minorEastAsia"/>
        </w:rPr>
        <w:t>Figure S4</w:t>
      </w:r>
      <w:r w:rsidR="00535355">
        <w:rPr>
          <w:rFonts w:eastAsiaTheme="minorEastAsia"/>
        </w:rPr>
        <w:fldChar w:fldCharType="begin"/>
      </w:r>
      <w:r w:rsidR="00535355">
        <w:rPr>
          <w:rFonts w:eastAsiaTheme="minorEastAsia"/>
        </w:rPr>
        <w:instrText xml:space="preserve"> REF _Ref58418456 \h </w:instrText>
      </w:r>
      <w:r w:rsidR="00F55CEB">
        <w:rPr>
          <w:rFonts w:eastAsiaTheme="minorEastAsia"/>
        </w:rPr>
        <w:instrText xml:space="preserve"> \* MERGEFORMAT </w:instrText>
      </w:r>
      <w:r w:rsidR="00535355">
        <w:rPr>
          <w:rFonts w:eastAsiaTheme="minorEastAsia"/>
        </w:rPr>
      </w:r>
      <w:r w:rsidR="00535355">
        <w:rPr>
          <w:rFonts w:eastAsiaTheme="minorEastAsia"/>
        </w:rPr>
        <w:fldChar w:fldCharType="end"/>
      </w:r>
      <w:r w:rsidR="00535355">
        <w:rPr>
          <w:rFonts w:eastAsiaTheme="minorEastAsia"/>
        </w:rPr>
        <w:t>(c). This process accurately align</w:t>
      </w:r>
      <w:r w:rsidR="006F1603">
        <w:rPr>
          <w:rFonts w:eastAsiaTheme="minorEastAsia"/>
        </w:rPr>
        <w:t>s</w:t>
      </w:r>
      <w:r w:rsidR="00535355">
        <w:rPr>
          <w:rFonts w:eastAsiaTheme="minorEastAsia"/>
        </w:rPr>
        <w:t xml:space="preserve"> the two metasurfaces</w:t>
      </w:r>
      <w:r w:rsidR="00954FB2">
        <w:rPr>
          <w:rFonts w:eastAsiaTheme="minorEastAsia"/>
        </w:rPr>
        <w:t xml:space="preserve">. Small alignment improvements </w:t>
      </w:r>
      <w:r w:rsidR="00693584">
        <w:rPr>
          <w:rFonts w:eastAsiaTheme="minorEastAsia"/>
        </w:rPr>
        <w:t>are</w:t>
      </w:r>
      <w:r w:rsidR="00954FB2">
        <w:rPr>
          <w:rFonts w:eastAsiaTheme="minorEastAsia"/>
        </w:rPr>
        <w:t xml:space="preserve"> made by </w:t>
      </w:r>
      <w:r w:rsidR="006D2254">
        <w:rPr>
          <w:rFonts w:eastAsiaTheme="minorEastAsia"/>
        </w:rPr>
        <w:t>observing</w:t>
      </w:r>
      <w:r w:rsidR="00954FB2">
        <w:rPr>
          <w:rFonts w:eastAsiaTheme="minorEastAsia"/>
        </w:rPr>
        <w:t xml:space="preserve"> the intensity at a distance from the </w:t>
      </w:r>
      <w:r w:rsidR="005314ED">
        <w:rPr>
          <w:rFonts w:eastAsiaTheme="minorEastAsia"/>
        </w:rPr>
        <w:t>meta-optic</w:t>
      </w:r>
      <w:r w:rsidR="00954FB2">
        <w:rPr>
          <w:rFonts w:eastAsiaTheme="minorEastAsia"/>
        </w:rPr>
        <w:t xml:space="preserve"> output. As the alignment is improved, the phase error on the output field decreases, leading to an intensity image which matches the desired results.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AD1A78" w14:paraId="51948926" w14:textId="77777777" w:rsidTr="00693584">
        <w:tc>
          <w:tcPr>
            <w:tcW w:w="9350" w:type="dxa"/>
          </w:tcPr>
          <w:p w14:paraId="026E98D4" w14:textId="751C1BC1" w:rsidR="0028530B" w:rsidRPr="0028530B" w:rsidRDefault="0028530B" w:rsidP="0028530B">
            <w:pPr>
              <w:jc w:val="center"/>
            </w:pPr>
            <w:bookmarkStart w:id="8" w:name="_Ref58418456"/>
            <w:bookmarkStart w:id="9" w:name="_Ref63369228"/>
            <w:r>
              <w:rPr>
                <w:noProof/>
              </w:rPr>
              <w:drawing>
                <wp:inline distT="0" distB="0" distL="0" distR="0" wp14:anchorId="02D1B421" wp14:editId="7CD214F3">
                  <wp:extent cx="5252122" cy="1703573"/>
                  <wp:effectExtent l="0" t="0" r="5715" b="0"/>
                  <wp:docPr id="19" name="Picture 19"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Diagram&#10;&#10;Description automatically generated with medium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64815" cy="1707690"/>
                          </a:xfrm>
                          <a:prstGeom prst="rect">
                            <a:avLst/>
                          </a:prstGeom>
                        </pic:spPr>
                      </pic:pic>
                    </a:graphicData>
                  </a:graphic>
                </wp:inline>
              </w:drawing>
            </w:r>
          </w:p>
          <w:p w14:paraId="347041AE" w14:textId="45A59F88" w:rsidR="00AD1A78" w:rsidRDefault="00AD1A78" w:rsidP="0028530B">
            <w:pPr>
              <w:pStyle w:val="Caption"/>
            </w:pPr>
            <w:r>
              <w:t>Figure S</w:t>
            </w:r>
            <w:r w:rsidR="003A5086">
              <w:fldChar w:fldCharType="begin"/>
            </w:r>
            <w:r w:rsidR="003A5086">
              <w:instrText xml:space="preserve"> SEQ Figure_S \* ARABIC </w:instrText>
            </w:r>
            <w:r w:rsidR="003A5086">
              <w:fldChar w:fldCharType="separate"/>
            </w:r>
            <w:r w:rsidR="00A67938">
              <w:rPr>
                <w:noProof/>
              </w:rPr>
              <w:t>4</w:t>
            </w:r>
            <w:r w:rsidR="003A5086">
              <w:rPr>
                <w:noProof/>
              </w:rPr>
              <w:fldChar w:fldCharType="end"/>
            </w:r>
            <w:bookmarkEnd w:id="8"/>
            <w:bookmarkEnd w:id="9"/>
            <w:r>
              <w:t>:</w:t>
            </w:r>
            <w:r w:rsidR="006D2254">
              <w:t xml:space="preserve"> Design and performance of the alignment hologram used to align the two metasurfaces. </w:t>
            </w:r>
            <w:r w:rsidR="006D2254" w:rsidRPr="00693584">
              <w:rPr>
                <w:b/>
                <w:bCs/>
              </w:rPr>
              <w:t>(a)</w:t>
            </w:r>
            <w:r w:rsidR="006D2254">
              <w:t xml:space="preserve"> The phase shift profile of a metasurface which forms the desired hologram at the distance where metasurface 2 should be located. </w:t>
            </w:r>
            <w:r w:rsidR="006D2254" w:rsidRPr="00693584">
              <w:rPr>
                <w:b/>
                <w:bCs/>
              </w:rPr>
              <w:t>(b)</w:t>
            </w:r>
            <w:r w:rsidR="006D2254">
              <w:t xml:space="preserve"> Intensity observed at the plane of the second metasurface. The low-transmission pattern is introduced at the same plane as metasurface 2, while the alignment hologram comes into focus at the desired separation distance from metasurface 1. </w:t>
            </w:r>
            <w:r w:rsidR="006D2254" w:rsidRPr="00693584">
              <w:rPr>
                <w:b/>
                <w:bCs/>
              </w:rPr>
              <w:t>(c)</w:t>
            </w:r>
            <w:r w:rsidR="006D2254">
              <w:t xml:space="preserve"> Aligning the low-transmission pattern with the alignment hologram accurately aligns the two metasurfaces with each other. </w:t>
            </w:r>
          </w:p>
        </w:tc>
      </w:tr>
      <w:tr w:rsidR="006F1603" w14:paraId="37F87400" w14:textId="77777777" w:rsidTr="00693584">
        <w:tc>
          <w:tcPr>
            <w:tcW w:w="9350" w:type="dxa"/>
          </w:tcPr>
          <w:p w14:paraId="724764F1" w14:textId="518706FB" w:rsidR="006F1603" w:rsidRDefault="006F1603" w:rsidP="006F1603">
            <w:pPr>
              <w:rPr>
                <w:noProof/>
              </w:rPr>
            </w:pPr>
          </w:p>
        </w:tc>
      </w:tr>
    </w:tbl>
    <w:p w14:paraId="651738A9" w14:textId="41EF89B0" w:rsidR="002C2AE8" w:rsidRDefault="005314ED" w:rsidP="00280BC9">
      <w:pPr>
        <w:pStyle w:val="SMH1"/>
      </w:pPr>
      <w:r>
        <w:t>Meta-optic</w:t>
      </w:r>
      <w:r w:rsidR="002C2AE8">
        <w:t xml:space="preserve"> Design</w:t>
      </w:r>
      <w:r w:rsidR="00BD3F63">
        <w:t>s</w:t>
      </w:r>
      <w:r w:rsidR="002C2AE8">
        <w:t xml:space="preserve"> </w:t>
      </w:r>
    </w:p>
    <w:p w14:paraId="1EF59515" w14:textId="7654F771" w:rsidR="00820FF4" w:rsidRDefault="002A5B6B" w:rsidP="00F55CEB">
      <w:pPr>
        <w:jc w:val="both"/>
        <w:rPr>
          <w:lang w:val="en-GB"/>
        </w:rPr>
      </w:pPr>
      <w:r>
        <w:rPr>
          <w:lang w:val="en-GB"/>
        </w:rPr>
        <w:t>The</w:t>
      </w:r>
      <w:r w:rsidR="00404A13">
        <w:rPr>
          <w:lang w:val="en-GB"/>
        </w:rPr>
        <w:t xml:space="preserve"> des</w:t>
      </w:r>
      <w:r w:rsidR="00820FF4">
        <w:rPr>
          <w:lang w:val="en-GB"/>
        </w:rPr>
        <w:t>ig</w:t>
      </w:r>
      <w:r w:rsidR="00404A13">
        <w:rPr>
          <w:lang w:val="en-GB"/>
        </w:rPr>
        <w:t>n of</w:t>
      </w:r>
      <w:r w:rsidR="00820FF4">
        <w:rPr>
          <w:lang w:val="en-GB"/>
        </w:rPr>
        <w:t xml:space="preserve"> each </w:t>
      </w:r>
      <w:r w:rsidR="005314ED">
        <w:rPr>
          <w:lang w:val="en-GB"/>
        </w:rPr>
        <w:t>meta-optic</w:t>
      </w:r>
      <w:r w:rsidR="00820FF4">
        <w:rPr>
          <w:lang w:val="en-GB"/>
        </w:rPr>
        <w:t xml:space="preserve"> example </w:t>
      </w:r>
      <w:r w:rsidR="00404A13">
        <w:rPr>
          <w:lang w:val="en-GB"/>
        </w:rPr>
        <w:t>and full-wave simulation results for each metasurface are given</w:t>
      </w:r>
      <w:r>
        <w:rPr>
          <w:lang w:val="en-GB"/>
        </w:rPr>
        <w:t xml:space="preserve"> in this section</w:t>
      </w:r>
      <w:r w:rsidR="00404A13">
        <w:rPr>
          <w:lang w:val="en-GB"/>
        </w:rPr>
        <w:t xml:space="preserve">.  </w:t>
      </w:r>
      <w:r w:rsidR="00834551">
        <w:rPr>
          <w:lang w:val="en-GB"/>
        </w:rPr>
        <w:t xml:space="preserve">A </w:t>
      </w:r>
      <w:r w:rsidR="00404A13">
        <w:rPr>
          <w:lang w:val="en-GB"/>
        </w:rPr>
        <w:t>finite difference time</w:t>
      </w:r>
      <w:r w:rsidR="007202F4">
        <w:rPr>
          <w:lang w:val="en-GB"/>
        </w:rPr>
        <w:t xml:space="preserve"> </w:t>
      </w:r>
      <w:r w:rsidR="00404A13">
        <w:rPr>
          <w:lang w:val="en-GB"/>
        </w:rPr>
        <w:t xml:space="preserve">domain </w:t>
      </w:r>
      <w:r w:rsidR="007202F4">
        <w:rPr>
          <w:lang w:val="en-GB"/>
        </w:rPr>
        <w:t xml:space="preserve">(FDTD) </w:t>
      </w:r>
      <w:r w:rsidR="00404A13">
        <w:rPr>
          <w:lang w:val="en-GB"/>
        </w:rPr>
        <w:t>simulation is performed for each metasurface using</w:t>
      </w:r>
      <w:r w:rsidR="007202F4">
        <w:rPr>
          <w:lang w:val="en-GB"/>
        </w:rPr>
        <w:t xml:space="preserve"> MEEP</w:t>
      </w:r>
      <w:r w:rsidR="007202F4">
        <w:rPr>
          <w:lang w:val="en-GB"/>
        </w:rPr>
        <w:fldChar w:fldCharType="begin" w:fldLock="1"/>
      </w:r>
      <w:r w:rsidR="005F6E05">
        <w:rPr>
          <w:lang w:val="en-GB"/>
        </w:rPr>
        <w:instrText>ADDIN CSL_CITATION {"citationItems":[{"id":"ITEM-1","itemData":{"DOI":"10.1016/j.cpc.2009.11.008","ISSN":"00104655","abstract":"This paper describes Meep, a popular free implementation of the finite-difference time-domain (FDTD) method for simulating electromagnetism. In particular, we focus on aspects of implementing a full-featured FDTD package that go beyond standard textbook descriptions of the algorithm, or ways in which Meep differs from typical FDTD implementations. These include pervasive interpolation and accurate modeling of subpixel features, advanced signal processing, support for nonlinear materials via Padé approximants, and flexible scripting capabilities. Program summary: Program title: Meep. Catalogue identifier: AEFU_v1_0. Program summary URL:: http://cpc.cs.qub.ac.uk/summaries/AEFU_v1_0.html. Program obtainable from: CPC Program Library, Queen's University, Belfast, N. Ireland. Licensing provisions: GNU GPL. No. of lines in distributed program, including test data, etc.: 151 821. No. of bytes in distributed program, including test data, etc.: 1 925 774. Distribution format: tar.gz. Programming language: C++. Computer: Any computer with a Unix-like system and a C++ compiler; optionally exploits additional free software packages: GNU Guile [1], libctl interface library [2], HDF5 [3], MPI message-passing interface [4], and Harminv filter-diagonalization [5]. Developed on 2.8 GHz Intel Core 2 Duo. Operating system: Any Unix-like system; developed under Debian GNU/Linux 5.0.2. RAM: Problem dependent (roughly 100 bytes per pixel/voxel). Classification: 10. External routines: Optionally exploits additional free software packages: GNU Guile [1], libctl interface library [2], HDF5 [3], MPI message-passing interface [4], and Harminv filter-diagonalization [5] (which requires LAPACK and BLAS linear-algebra software [6]). Nature of problem: Classical electrodynamics. Solution method: Finite-difference time-domain (FDTD) method. Running time: Problem dependent (typically about 10 ns per pixel per timestep). References: [1] GNU Guile, http://www.gnu.org/software/guile[2] Libctl, http://ab-initio.mit.edu/libctl[3] M. Folk, R.E. McGrath, N. Yeager, HDF: An update and future directions, in: Proc. 1999 Geoscience and Remote Sensing Symposium (IGARSS), Hamburg, Germany, vol. 1, IEEE Press, 1999, pp. 273-275.[4] T.M. Forum, MPI: A Message Passing Interface, in: Supercomputing 93, Portland, OR, 1993, pp. 878-883.[5] Harminv, http://ab-initio.mit.edu/harminv.[6] LAPACK, http://www.netlib.org/lapack/lug. © 2009 Elsevier B.V. All rights reserved.","author":[{"dropping-particle":"","family":"Oskooi","given":"Ardavan F.","non-dropping-particle":"","parse-names":false,"suffix":""},{"dropping-particle":"","family":"Roundy","given":"David","non-dropping-particle":"","parse-names":false,"suffix":""},{"dropping-particle":"","family":"Ibanescu","given":"Mihai","non-dropping-particle":"","parse-names":false,"suffix":""},{"dropping-particle":"","family":"Bermel","given":"Peter","non-dropping-particle":"","parse-names":false,"suffix":""},{"dropping-particle":"","family":"Joannopoulos","given":"J. D.","non-dropping-particle":"","parse-names":false,"suffix":""},{"dropping-particle":"","family":"Johnson","given":"Steven G.","non-dropping-particle":"","parse-names":false,"suffix":""}],"container-title":"Computer Physics Communications","id":"ITEM-1","issue":"3","issued":{"date-parts":[["2010","3","1"]]},"page":"687-702","publisher":"North-Holland","title":"Meep: A flexible free-software package for electromagnetic simulations by the FDTD method","type":"article-journal","volume":"181"},"uris":["http://www.mendeley.com/documents/?uuid=7f359a06-b541-3fb8-b882-708f93cf67ea"]}],"mendeley":{"formattedCitation":"&lt;sup&gt;7&lt;/sup&gt;","plainTextFormattedCitation":"7","previouslyFormattedCitation":"&lt;sup&gt;6&lt;/sup&gt;"},"properties":{"noteIndex":0},"schema":"https://github.com/citation-style-language/schema/raw/master/csl-citation.json"}</w:instrText>
      </w:r>
      <w:r w:rsidR="007202F4">
        <w:rPr>
          <w:lang w:val="en-GB"/>
        </w:rPr>
        <w:fldChar w:fldCharType="separate"/>
      </w:r>
      <w:r w:rsidR="005F6E05" w:rsidRPr="005F6E05">
        <w:rPr>
          <w:noProof/>
          <w:vertAlign w:val="superscript"/>
          <w:lang w:val="en-GB"/>
        </w:rPr>
        <w:t>7</w:t>
      </w:r>
      <w:r w:rsidR="007202F4">
        <w:rPr>
          <w:lang w:val="en-GB"/>
        </w:rPr>
        <w:fldChar w:fldCharType="end"/>
      </w:r>
      <w:r w:rsidR="007202F4">
        <w:rPr>
          <w:lang w:val="en-GB"/>
        </w:rPr>
        <w:t xml:space="preserve"> (an open-source FDTD solver)</w:t>
      </w:r>
      <w:r w:rsidR="00BD3F63">
        <w:rPr>
          <w:lang w:val="en-GB"/>
        </w:rPr>
        <w:t>.</w:t>
      </w:r>
      <w:r w:rsidR="007202F4">
        <w:rPr>
          <w:lang w:val="en-GB"/>
        </w:rPr>
        <w:t xml:space="preserve"> </w:t>
      </w:r>
      <w:r w:rsidR="00BD3F63">
        <w:rPr>
          <w:lang w:val="en-GB"/>
        </w:rPr>
        <w:t>T</w:t>
      </w:r>
      <w:r w:rsidR="007202F4">
        <w:rPr>
          <w:lang w:val="en-GB"/>
        </w:rPr>
        <w:t xml:space="preserve">he </w:t>
      </w:r>
      <w:r w:rsidR="002B36EB">
        <w:rPr>
          <w:lang w:val="en-GB"/>
        </w:rPr>
        <w:t xml:space="preserve">simulated </w:t>
      </w:r>
      <w:r w:rsidR="007202F4">
        <w:rPr>
          <w:lang w:val="en-GB"/>
        </w:rPr>
        <w:t>performance</w:t>
      </w:r>
      <w:r w:rsidR="002B36EB">
        <w:rPr>
          <w:lang w:val="en-GB"/>
        </w:rPr>
        <w:t>s</w:t>
      </w:r>
      <w:r w:rsidR="00BD3F63">
        <w:rPr>
          <w:lang w:val="en-GB"/>
        </w:rPr>
        <w:t xml:space="preserve"> of </w:t>
      </w:r>
      <w:r w:rsidR="00D15750">
        <w:rPr>
          <w:lang w:val="en-GB"/>
        </w:rPr>
        <w:t>each</w:t>
      </w:r>
      <w:r w:rsidR="00BD3F63">
        <w:rPr>
          <w:lang w:val="en-GB"/>
        </w:rPr>
        <w:t xml:space="preserve"> metasurface are</w:t>
      </w:r>
      <w:r w:rsidR="007202F4">
        <w:rPr>
          <w:lang w:val="en-GB"/>
        </w:rPr>
        <w:t xml:space="preserve"> combined</w:t>
      </w:r>
      <w:r w:rsidR="00764075">
        <w:rPr>
          <w:lang w:val="en-GB"/>
        </w:rPr>
        <w:fldChar w:fldCharType="begin" w:fldLock="1"/>
      </w:r>
      <w:r w:rsidR="005F6E05">
        <w:rPr>
          <w:lang w:val="en-GB"/>
        </w:rPr>
        <w:instrText>ADDIN CSL_CITATION {"citationItems":[{"id":"ITEM-1","itemData":{"author":[{"dropping-particle":"","family":"Raeker","given":"Brian O.","non-dropping-particle":"","parse-names":false,"suffix":""},{"dropping-particle":"","family":"Grbic","given":"Anthony","non-dropping-particle":"","parse-names":false,"suffix":""}],"container-title":"arXiv (preprint at https://arxiv.org/abs/2011.07185)","id":"ITEM-1","issued":{"date-parts":[["2020","11","14"]]},"title":"Lossless, Complex-Valued Optical Field Control with Compound Metaoptics","type":"article-journal"},"uris":["http://www.mendeley.com/documents/?uuid=44f62aee-54de-3295-b40d-81c43e9864c4"]}],"mendeley":{"formattedCitation":"&lt;sup&gt;8&lt;/sup&gt;","plainTextFormattedCitation":"8","previouslyFormattedCitation":"&lt;sup&gt;7&lt;/sup&gt;"},"properties":{"noteIndex":0},"schema":"https://github.com/citation-style-language/schema/raw/master/csl-citation.json"}</w:instrText>
      </w:r>
      <w:r w:rsidR="00764075">
        <w:rPr>
          <w:lang w:val="en-GB"/>
        </w:rPr>
        <w:fldChar w:fldCharType="separate"/>
      </w:r>
      <w:r w:rsidR="005F6E05" w:rsidRPr="005F6E05">
        <w:rPr>
          <w:noProof/>
          <w:vertAlign w:val="superscript"/>
          <w:lang w:val="en-GB"/>
        </w:rPr>
        <w:t>8</w:t>
      </w:r>
      <w:r w:rsidR="00764075">
        <w:rPr>
          <w:lang w:val="en-GB"/>
        </w:rPr>
        <w:fldChar w:fldCharType="end"/>
      </w:r>
      <w:r w:rsidR="007202F4">
        <w:rPr>
          <w:lang w:val="en-GB"/>
        </w:rPr>
        <w:t xml:space="preserve"> </w:t>
      </w:r>
      <w:r w:rsidR="00B75774">
        <w:rPr>
          <w:lang w:val="en-GB"/>
        </w:rPr>
        <w:t xml:space="preserve">using spectral domain methods </w:t>
      </w:r>
      <w:r w:rsidR="007202F4">
        <w:rPr>
          <w:lang w:val="en-GB"/>
        </w:rPr>
        <w:t>to obtain the</w:t>
      </w:r>
      <w:r w:rsidR="00D15750">
        <w:rPr>
          <w:lang w:val="en-GB"/>
        </w:rPr>
        <w:t xml:space="preserve"> simulated</w:t>
      </w:r>
      <w:r w:rsidR="007202F4">
        <w:rPr>
          <w:lang w:val="en-GB"/>
        </w:rPr>
        <w:t xml:space="preserve"> output field</w:t>
      </w:r>
      <w:r w:rsidR="00D15750">
        <w:rPr>
          <w:lang w:val="en-GB"/>
        </w:rPr>
        <w:t xml:space="preserve"> of the </w:t>
      </w:r>
      <w:r w:rsidR="005314ED">
        <w:rPr>
          <w:lang w:val="en-GB"/>
        </w:rPr>
        <w:t>meta-optic</w:t>
      </w:r>
      <w:r w:rsidR="00D15750">
        <w:rPr>
          <w:lang w:val="en-GB"/>
        </w:rPr>
        <w:t xml:space="preserve"> device</w:t>
      </w:r>
      <w:r w:rsidR="007202F4">
        <w:rPr>
          <w:lang w:val="en-GB"/>
        </w:rPr>
        <w:t>.</w:t>
      </w:r>
      <w:r w:rsidR="009821F4">
        <w:rPr>
          <w:lang w:val="en-GB"/>
        </w:rPr>
        <w:t xml:space="preserve"> </w:t>
      </w:r>
    </w:p>
    <w:p w14:paraId="38D6E43C" w14:textId="04CB2D09" w:rsidR="002C2AE8" w:rsidRDefault="003B6C96" w:rsidP="00A9522E">
      <w:pPr>
        <w:pStyle w:val="SMH2"/>
      </w:pPr>
      <w:r>
        <w:lastRenderedPageBreak/>
        <w:t>Combined Beam-forming and Splitting: Two Beams</w:t>
      </w:r>
    </w:p>
    <w:p w14:paraId="0CD47935" w14:textId="5A4178DC" w:rsidR="00BC2E21" w:rsidRDefault="009821F4" w:rsidP="00A479CD">
      <w:pPr>
        <w:jc w:val="both"/>
        <w:rPr>
          <w:lang w:val="en-GB"/>
        </w:rPr>
      </w:pPr>
      <w:r>
        <w:rPr>
          <w:lang w:val="en-GB"/>
        </w:rPr>
        <w:t xml:space="preserve">The first </w:t>
      </w:r>
      <w:r w:rsidR="005314ED">
        <w:rPr>
          <w:lang w:val="en-GB"/>
        </w:rPr>
        <w:t>meta-optic</w:t>
      </w:r>
      <w:r>
        <w:rPr>
          <w:lang w:val="en-GB"/>
        </w:rPr>
        <w:t xml:space="preserve"> example </w:t>
      </w:r>
      <w:r w:rsidR="001E0B95">
        <w:rPr>
          <w:lang w:val="en-GB"/>
        </w:rPr>
        <w:t xml:space="preserve">reshapes a circular, uniform illumination to </w:t>
      </w:r>
      <w:r>
        <w:rPr>
          <w:lang w:val="en-GB"/>
        </w:rPr>
        <w:t xml:space="preserve">form the interference pattern between two </w:t>
      </w:r>
      <w:r w:rsidR="001E0B95">
        <w:rPr>
          <w:lang w:val="en-GB"/>
        </w:rPr>
        <w:t xml:space="preserve">Gaussian beams at the output. Specifically, the output field profile is the direct sum of the two Gaussian beam </w:t>
      </w:r>
      <w:r w:rsidR="00D14B46">
        <w:rPr>
          <w:lang w:val="en-GB"/>
        </w:rPr>
        <w:t>profiles.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1"/>
        <w:gridCol w:w="8038"/>
        <w:gridCol w:w="661"/>
      </w:tblGrid>
      <w:tr w:rsidR="001E0B95" w14:paraId="341B7F58" w14:textId="77777777" w:rsidTr="00A479CD">
        <w:tc>
          <w:tcPr>
            <w:tcW w:w="353" w:type="pct"/>
          </w:tcPr>
          <w:p w14:paraId="2A56D656" w14:textId="77777777" w:rsidR="001E0B95" w:rsidRDefault="001E0B95" w:rsidP="00A479CD">
            <w:pPr>
              <w:pStyle w:val="Heading3"/>
              <w:rPr>
                <w:sz w:val="22"/>
                <w:szCs w:val="22"/>
                <w:lang w:val="en-GB"/>
              </w:rPr>
            </w:pPr>
          </w:p>
        </w:tc>
        <w:tc>
          <w:tcPr>
            <w:tcW w:w="4294" w:type="pct"/>
          </w:tcPr>
          <w:p w14:paraId="6069759C" w14:textId="26397BB5" w:rsidR="001E0B95" w:rsidRPr="00320F90" w:rsidRDefault="00DD302A" w:rsidP="00A479CD">
            <w:pPr>
              <w:pStyle w:val="Heading3"/>
              <w:rPr>
                <w:sz w:val="22"/>
                <w:szCs w:val="22"/>
                <w:lang w:val="en-GB"/>
              </w:rPr>
            </w:pPr>
            <m:oMathPara>
              <m:oMathParaPr>
                <m:jc m:val="center"/>
              </m:oMathParaPr>
              <m:oMath>
                <m:sSub>
                  <m:sSubPr>
                    <m:ctrlPr>
                      <w:rPr>
                        <w:rFonts w:ascii="Cambria Math" w:hAnsi="Cambria Math"/>
                        <w:i/>
                        <w:sz w:val="22"/>
                        <w:szCs w:val="22"/>
                        <w:lang w:val="en-GB"/>
                      </w:rPr>
                    </m:ctrlPr>
                  </m:sSubPr>
                  <m:e>
                    <m:r>
                      <w:rPr>
                        <w:rFonts w:ascii="Cambria Math" w:hAnsi="Cambria Math"/>
                        <w:sz w:val="22"/>
                        <w:szCs w:val="22"/>
                        <w:lang w:val="en-GB"/>
                      </w:rPr>
                      <m:t>E</m:t>
                    </m:r>
                  </m:e>
                  <m:sub>
                    <m:r>
                      <w:rPr>
                        <w:rFonts w:ascii="Cambria Math" w:hAnsi="Cambria Math"/>
                        <w:sz w:val="22"/>
                        <w:szCs w:val="22"/>
                        <w:lang w:val="en-GB"/>
                      </w:rPr>
                      <m:t>out</m:t>
                    </m:r>
                  </m:sub>
                </m:sSub>
                <m:r>
                  <w:rPr>
                    <w:rFonts w:ascii="Cambria Math" w:hAnsi="Cambria Math"/>
                    <w:sz w:val="22"/>
                    <w:szCs w:val="22"/>
                    <w:lang w:val="en-GB"/>
                  </w:rPr>
                  <m:t>=</m:t>
                </m:r>
                <m:sSup>
                  <m:sSupPr>
                    <m:ctrlPr>
                      <w:rPr>
                        <w:rFonts w:ascii="Cambria Math" w:hAnsi="Cambria Math"/>
                        <w:i/>
                        <w:sz w:val="22"/>
                        <w:szCs w:val="22"/>
                        <w:lang w:val="en-GB"/>
                      </w:rPr>
                    </m:ctrlPr>
                  </m:sSupPr>
                  <m:e>
                    <m:r>
                      <w:rPr>
                        <w:rFonts w:ascii="Cambria Math" w:hAnsi="Cambria Math"/>
                        <w:sz w:val="22"/>
                        <w:szCs w:val="22"/>
                        <w:lang w:val="en-GB"/>
                      </w:rPr>
                      <m:t>-e</m:t>
                    </m:r>
                  </m:e>
                  <m:sup>
                    <m:r>
                      <w:rPr>
                        <w:rFonts w:ascii="Cambria Math" w:hAnsi="Cambria Math"/>
                        <w:sz w:val="22"/>
                        <w:szCs w:val="22"/>
                        <w:lang w:val="en-GB"/>
                      </w:rPr>
                      <m:t>-</m:t>
                    </m:r>
                    <m:sSup>
                      <m:sSupPr>
                        <m:ctrlPr>
                          <w:rPr>
                            <w:rFonts w:ascii="Cambria Math" w:hAnsi="Cambria Math"/>
                            <w:i/>
                            <w:sz w:val="22"/>
                            <w:szCs w:val="22"/>
                            <w:lang w:val="en-GB"/>
                          </w:rPr>
                        </m:ctrlPr>
                      </m:sSupPr>
                      <m:e>
                        <m:d>
                          <m:dPr>
                            <m:ctrlPr>
                              <w:rPr>
                                <w:rFonts w:ascii="Cambria Math" w:hAnsi="Cambria Math"/>
                                <w:i/>
                                <w:sz w:val="22"/>
                                <w:szCs w:val="22"/>
                                <w:lang w:val="en-GB"/>
                              </w:rPr>
                            </m:ctrlPr>
                          </m:dPr>
                          <m:e>
                            <m:r>
                              <w:rPr>
                                <w:rFonts w:ascii="Cambria Math" w:hAnsi="Cambria Math"/>
                                <w:sz w:val="22"/>
                                <w:szCs w:val="22"/>
                                <w:lang w:val="en-GB"/>
                              </w:rPr>
                              <m:t>r/45.5</m:t>
                            </m:r>
                            <m:sSub>
                              <m:sSubPr>
                                <m:ctrlPr>
                                  <w:rPr>
                                    <w:rFonts w:ascii="Cambria Math" w:hAnsi="Cambria Math"/>
                                    <w:i/>
                                    <w:sz w:val="22"/>
                                    <w:szCs w:val="22"/>
                                    <w:lang w:val="en-GB"/>
                                  </w:rPr>
                                </m:ctrlPr>
                              </m:sSubPr>
                              <m:e>
                                <m:r>
                                  <w:rPr>
                                    <w:rFonts w:ascii="Cambria Math" w:hAnsi="Cambria Math"/>
                                    <w:sz w:val="22"/>
                                    <w:szCs w:val="22"/>
                                    <w:lang w:val="en-GB"/>
                                  </w:rPr>
                                  <m:t>λ</m:t>
                                </m:r>
                              </m:e>
                              <m:sub>
                                <m:r>
                                  <w:rPr>
                                    <w:rFonts w:ascii="Cambria Math" w:hAnsi="Cambria Math"/>
                                    <w:sz w:val="22"/>
                                    <w:szCs w:val="22"/>
                                    <w:lang w:val="en-GB"/>
                                  </w:rPr>
                                  <m:t>0</m:t>
                                </m:r>
                              </m:sub>
                            </m:sSub>
                          </m:e>
                        </m:d>
                      </m:e>
                      <m:sup>
                        <m:r>
                          <w:rPr>
                            <w:rFonts w:ascii="Cambria Math" w:hAnsi="Cambria Math"/>
                            <w:sz w:val="22"/>
                            <w:szCs w:val="22"/>
                            <w:lang w:val="en-GB"/>
                          </w:rPr>
                          <m:t>2</m:t>
                        </m:r>
                      </m:sup>
                    </m:sSup>
                  </m:sup>
                </m:sSup>
                <m:sSup>
                  <m:sSupPr>
                    <m:ctrlPr>
                      <w:rPr>
                        <w:rFonts w:ascii="Cambria Math" w:hAnsi="Cambria Math"/>
                        <w:i/>
                        <w:sz w:val="22"/>
                        <w:szCs w:val="22"/>
                        <w:lang w:val="en-GB"/>
                      </w:rPr>
                    </m:ctrlPr>
                  </m:sSupPr>
                  <m:e>
                    <m:r>
                      <w:rPr>
                        <w:rFonts w:ascii="Cambria Math" w:hAnsi="Cambria Math"/>
                        <w:sz w:val="22"/>
                        <w:szCs w:val="22"/>
                        <w:lang w:val="en-GB"/>
                      </w:rPr>
                      <m:t>e</m:t>
                    </m:r>
                  </m:e>
                  <m:sup>
                    <m:r>
                      <w:rPr>
                        <w:rFonts w:ascii="Cambria Math" w:hAnsi="Cambria Math"/>
                        <w:sz w:val="22"/>
                        <w:szCs w:val="22"/>
                        <w:lang w:val="en-GB"/>
                      </w:rPr>
                      <m:t>i</m:t>
                    </m:r>
                    <m:sSub>
                      <m:sSubPr>
                        <m:ctrlPr>
                          <w:rPr>
                            <w:rFonts w:ascii="Cambria Math" w:hAnsi="Cambria Math"/>
                            <w:i/>
                            <w:sz w:val="22"/>
                            <w:szCs w:val="22"/>
                            <w:lang w:val="en-GB"/>
                          </w:rPr>
                        </m:ctrlPr>
                      </m:sSubPr>
                      <m:e>
                        <m:r>
                          <w:rPr>
                            <w:rFonts w:ascii="Cambria Math" w:hAnsi="Cambria Math"/>
                            <w:sz w:val="22"/>
                            <w:szCs w:val="22"/>
                            <w:lang w:val="en-GB"/>
                          </w:rPr>
                          <m:t>k</m:t>
                        </m:r>
                      </m:e>
                      <m:sub>
                        <m:r>
                          <w:rPr>
                            <w:rFonts w:ascii="Cambria Math" w:hAnsi="Cambria Math"/>
                            <w:sz w:val="22"/>
                            <w:szCs w:val="22"/>
                            <w:lang w:val="en-GB"/>
                          </w:rPr>
                          <m:t>0</m:t>
                        </m:r>
                      </m:sub>
                    </m:sSub>
                    <m:r>
                      <w:rPr>
                        <w:rFonts w:ascii="Cambria Math" w:hAnsi="Cambria Math"/>
                        <w:sz w:val="22"/>
                        <w:szCs w:val="22"/>
                        <w:lang w:val="en-GB"/>
                      </w:rPr>
                      <m:t xml:space="preserve">x </m:t>
                    </m:r>
                    <m:r>
                      <m:rPr>
                        <m:sty m:val="p"/>
                      </m:rPr>
                      <w:rPr>
                        <w:rFonts w:ascii="Cambria Math" w:hAnsi="Cambria Math"/>
                        <w:sz w:val="22"/>
                        <w:szCs w:val="22"/>
                        <w:lang w:val="en-GB"/>
                      </w:rPr>
                      <m:t>sin</m:t>
                    </m:r>
                    <m:d>
                      <m:dPr>
                        <m:ctrlPr>
                          <w:rPr>
                            <w:rFonts w:ascii="Cambria Math" w:hAnsi="Cambria Math"/>
                            <w:i/>
                            <w:sz w:val="22"/>
                            <w:szCs w:val="22"/>
                            <w:lang w:val="en-GB"/>
                          </w:rPr>
                        </m:ctrlPr>
                      </m:dPr>
                      <m:e>
                        <m:sSup>
                          <m:sSupPr>
                            <m:ctrlPr>
                              <w:rPr>
                                <w:rFonts w:ascii="Cambria Math" w:hAnsi="Cambria Math"/>
                                <w:i/>
                                <w:sz w:val="22"/>
                                <w:szCs w:val="22"/>
                                <w:lang w:val="en-GB"/>
                              </w:rPr>
                            </m:ctrlPr>
                          </m:sSupPr>
                          <m:e>
                            <m:r>
                              <w:rPr>
                                <w:rFonts w:ascii="Cambria Math" w:hAnsi="Cambria Math"/>
                                <w:sz w:val="22"/>
                                <w:szCs w:val="22"/>
                                <w:lang w:val="en-GB"/>
                              </w:rPr>
                              <m:t>-2</m:t>
                            </m:r>
                          </m:e>
                          <m:sup>
                            <m:r>
                              <w:rPr>
                                <w:rFonts w:ascii="Cambria Math" w:hAnsi="Cambria Math"/>
                                <w:sz w:val="22"/>
                                <w:szCs w:val="22"/>
                                <w:lang w:val="en-GB"/>
                              </w:rPr>
                              <m:t>∘</m:t>
                            </m:r>
                          </m:sup>
                        </m:sSup>
                      </m:e>
                    </m:d>
                  </m:sup>
                </m:sSup>
                <m:r>
                  <w:rPr>
                    <w:rFonts w:ascii="Cambria Math" w:hAnsi="Cambria Math"/>
                    <w:sz w:val="22"/>
                    <w:szCs w:val="22"/>
                    <w:lang w:val="en-GB"/>
                  </w:rPr>
                  <m:t>+</m:t>
                </m:r>
                <m:rad>
                  <m:radPr>
                    <m:degHide m:val="1"/>
                    <m:ctrlPr>
                      <w:rPr>
                        <w:rFonts w:ascii="Cambria Math" w:hAnsi="Cambria Math"/>
                        <w:i/>
                        <w:sz w:val="22"/>
                        <w:szCs w:val="22"/>
                        <w:lang w:val="en-GB"/>
                      </w:rPr>
                    </m:ctrlPr>
                  </m:radPr>
                  <m:deg/>
                  <m:e>
                    <m:r>
                      <w:rPr>
                        <w:rFonts w:ascii="Cambria Math" w:hAnsi="Cambria Math"/>
                        <w:sz w:val="22"/>
                        <w:szCs w:val="22"/>
                        <w:lang w:val="en-GB"/>
                      </w:rPr>
                      <m:t>0.5</m:t>
                    </m:r>
                  </m:e>
                </m:rad>
                <m:sSup>
                  <m:sSupPr>
                    <m:ctrlPr>
                      <w:rPr>
                        <w:rFonts w:ascii="Cambria Math" w:hAnsi="Cambria Math"/>
                        <w:i/>
                        <w:sz w:val="22"/>
                        <w:szCs w:val="22"/>
                        <w:lang w:val="en-GB"/>
                      </w:rPr>
                    </m:ctrlPr>
                  </m:sSupPr>
                  <m:e>
                    <m:r>
                      <w:rPr>
                        <w:rFonts w:ascii="Cambria Math" w:hAnsi="Cambria Math"/>
                        <w:sz w:val="22"/>
                        <w:szCs w:val="22"/>
                        <w:lang w:val="en-GB"/>
                      </w:rPr>
                      <m:t>e</m:t>
                    </m:r>
                  </m:e>
                  <m:sup>
                    <m:r>
                      <w:rPr>
                        <w:rFonts w:ascii="Cambria Math" w:hAnsi="Cambria Math"/>
                        <w:sz w:val="22"/>
                        <w:szCs w:val="22"/>
                        <w:lang w:val="en-GB"/>
                      </w:rPr>
                      <m:t>-</m:t>
                    </m:r>
                    <m:sSup>
                      <m:sSupPr>
                        <m:ctrlPr>
                          <w:rPr>
                            <w:rFonts w:ascii="Cambria Math" w:hAnsi="Cambria Math"/>
                            <w:i/>
                            <w:sz w:val="22"/>
                            <w:szCs w:val="22"/>
                            <w:lang w:val="en-GB"/>
                          </w:rPr>
                        </m:ctrlPr>
                      </m:sSupPr>
                      <m:e>
                        <m:d>
                          <m:dPr>
                            <m:ctrlPr>
                              <w:rPr>
                                <w:rFonts w:ascii="Cambria Math" w:hAnsi="Cambria Math"/>
                                <w:i/>
                                <w:sz w:val="22"/>
                                <w:szCs w:val="22"/>
                                <w:lang w:val="en-GB"/>
                              </w:rPr>
                            </m:ctrlPr>
                          </m:dPr>
                          <m:e>
                            <m:r>
                              <w:rPr>
                                <w:rFonts w:ascii="Cambria Math" w:hAnsi="Cambria Math"/>
                                <w:sz w:val="22"/>
                                <w:szCs w:val="22"/>
                                <w:lang w:val="en-GB"/>
                              </w:rPr>
                              <m:t>r/32.5</m:t>
                            </m:r>
                            <m:sSub>
                              <m:sSubPr>
                                <m:ctrlPr>
                                  <w:rPr>
                                    <w:rFonts w:ascii="Cambria Math" w:hAnsi="Cambria Math"/>
                                    <w:i/>
                                    <w:sz w:val="22"/>
                                    <w:szCs w:val="22"/>
                                    <w:lang w:val="en-GB"/>
                                  </w:rPr>
                                </m:ctrlPr>
                              </m:sSubPr>
                              <m:e>
                                <m:r>
                                  <w:rPr>
                                    <w:rFonts w:ascii="Cambria Math" w:hAnsi="Cambria Math"/>
                                    <w:sz w:val="22"/>
                                    <w:szCs w:val="22"/>
                                    <w:lang w:val="en-GB"/>
                                  </w:rPr>
                                  <m:t>λ</m:t>
                                </m:r>
                              </m:e>
                              <m:sub>
                                <m:r>
                                  <w:rPr>
                                    <w:rFonts w:ascii="Cambria Math" w:hAnsi="Cambria Math"/>
                                    <w:sz w:val="22"/>
                                    <w:szCs w:val="22"/>
                                    <w:lang w:val="en-GB"/>
                                  </w:rPr>
                                  <m:t>0</m:t>
                                </m:r>
                              </m:sub>
                            </m:sSub>
                          </m:e>
                        </m:d>
                      </m:e>
                      <m:sup>
                        <m:r>
                          <w:rPr>
                            <w:rFonts w:ascii="Cambria Math" w:hAnsi="Cambria Math"/>
                            <w:sz w:val="22"/>
                            <w:szCs w:val="22"/>
                            <w:lang w:val="en-GB"/>
                          </w:rPr>
                          <m:t>2</m:t>
                        </m:r>
                      </m:sup>
                    </m:sSup>
                  </m:sup>
                </m:sSup>
                <m:sSup>
                  <m:sSupPr>
                    <m:ctrlPr>
                      <w:rPr>
                        <w:rFonts w:ascii="Cambria Math" w:hAnsi="Cambria Math"/>
                        <w:i/>
                        <w:sz w:val="22"/>
                        <w:szCs w:val="22"/>
                        <w:lang w:val="en-GB"/>
                      </w:rPr>
                    </m:ctrlPr>
                  </m:sSupPr>
                  <m:e>
                    <m:r>
                      <w:rPr>
                        <w:rFonts w:ascii="Cambria Math" w:hAnsi="Cambria Math"/>
                        <w:sz w:val="22"/>
                        <w:szCs w:val="22"/>
                        <w:lang w:val="en-GB"/>
                      </w:rPr>
                      <m:t>e</m:t>
                    </m:r>
                  </m:e>
                  <m:sup>
                    <m:r>
                      <w:rPr>
                        <w:rFonts w:ascii="Cambria Math" w:hAnsi="Cambria Math"/>
                        <w:sz w:val="22"/>
                        <w:szCs w:val="22"/>
                        <w:lang w:val="en-GB"/>
                      </w:rPr>
                      <m:t>i</m:t>
                    </m:r>
                    <m:sSub>
                      <m:sSubPr>
                        <m:ctrlPr>
                          <w:rPr>
                            <w:rFonts w:ascii="Cambria Math" w:hAnsi="Cambria Math"/>
                            <w:i/>
                            <w:sz w:val="22"/>
                            <w:szCs w:val="22"/>
                            <w:lang w:val="en-GB"/>
                          </w:rPr>
                        </m:ctrlPr>
                      </m:sSubPr>
                      <m:e>
                        <m:r>
                          <w:rPr>
                            <w:rFonts w:ascii="Cambria Math" w:hAnsi="Cambria Math"/>
                            <w:sz w:val="22"/>
                            <w:szCs w:val="22"/>
                            <w:lang w:val="en-GB"/>
                          </w:rPr>
                          <m:t>k</m:t>
                        </m:r>
                      </m:e>
                      <m:sub>
                        <m:r>
                          <w:rPr>
                            <w:rFonts w:ascii="Cambria Math" w:hAnsi="Cambria Math"/>
                            <w:sz w:val="22"/>
                            <w:szCs w:val="22"/>
                            <w:lang w:val="en-GB"/>
                          </w:rPr>
                          <m:t>0</m:t>
                        </m:r>
                      </m:sub>
                    </m:sSub>
                    <m:r>
                      <w:rPr>
                        <w:rFonts w:ascii="Cambria Math" w:hAnsi="Cambria Math"/>
                        <w:sz w:val="22"/>
                        <w:szCs w:val="22"/>
                        <w:lang w:val="en-GB"/>
                      </w:rPr>
                      <m:t xml:space="preserve">x </m:t>
                    </m:r>
                    <m:r>
                      <m:rPr>
                        <m:sty m:val="p"/>
                      </m:rPr>
                      <w:rPr>
                        <w:rFonts w:ascii="Cambria Math" w:hAnsi="Cambria Math"/>
                        <w:sz w:val="22"/>
                        <w:szCs w:val="22"/>
                        <w:lang w:val="en-GB"/>
                      </w:rPr>
                      <m:t>sin</m:t>
                    </m:r>
                    <m:d>
                      <m:dPr>
                        <m:ctrlPr>
                          <w:rPr>
                            <w:rFonts w:ascii="Cambria Math" w:hAnsi="Cambria Math"/>
                            <w:i/>
                            <w:sz w:val="22"/>
                            <w:szCs w:val="22"/>
                            <w:lang w:val="en-GB"/>
                          </w:rPr>
                        </m:ctrlPr>
                      </m:dPr>
                      <m:e>
                        <m:sSup>
                          <m:sSupPr>
                            <m:ctrlPr>
                              <w:rPr>
                                <w:rFonts w:ascii="Cambria Math" w:hAnsi="Cambria Math"/>
                                <w:i/>
                                <w:sz w:val="22"/>
                                <w:szCs w:val="22"/>
                                <w:lang w:val="en-GB"/>
                              </w:rPr>
                            </m:ctrlPr>
                          </m:sSupPr>
                          <m:e>
                            <m:r>
                              <w:rPr>
                                <w:rFonts w:ascii="Cambria Math" w:hAnsi="Cambria Math"/>
                                <w:sz w:val="22"/>
                                <w:szCs w:val="22"/>
                                <w:lang w:val="en-GB"/>
                              </w:rPr>
                              <m:t>2</m:t>
                            </m:r>
                          </m:e>
                          <m:sup>
                            <m:r>
                              <w:rPr>
                                <w:rFonts w:ascii="Cambria Math" w:hAnsi="Cambria Math"/>
                                <w:sz w:val="22"/>
                                <w:szCs w:val="22"/>
                                <w:lang w:val="en-GB"/>
                              </w:rPr>
                              <m:t>∘</m:t>
                            </m:r>
                          </m:sup>
                        </m:sSup>
                      </m:e>
                    </m:d>
                  </m:sup>
                </m:sSup>
              </m:oMath>
            </m:oMathPara>
          </w:p>
        </w:tc>
        <w:tc>
          <w:tcPr>
            <w:tcW w:w="353" w:type="pct"/>
          </w:tcPr>
          <w:p w14:paraId="48D1CFBE" w14:textId="18B569A4" w:rsidR="001E0B95" w:rsidRPr="00320F90" w:rsidRDefault="001E0B95" w:rsidP="0028530B">
            <w:pPr>
              <w:pStyle w:val="Caption"/>
            </w:pPr>
            <w:r w:rsidRPr="00320F90">
              <w:t>(</w:t>
            </w:r>
            <w:r>
              <w:t>S</w:t>
            </w:r>
            <w:r w:rsidR="003A5086">
              <w:fldChar w:fldCharType="begin"/>
            </w:r>
            <w:r w:rsidR="003A5086">
              <w:instrText xml:space="preserve"> SEQ Equation \* ARABIC </w:instrText>
            </w:r>
            <w:r w:rsidR="003A5086">
              <w:fldChar w:fldCharType="separate"/>
            </w:r>
            <w:r>
              <w:rPr>
                <w:noProof/>
              </w:rPr>
              <w:t>1</w:t>
            </w:r>
            <w:r w:rsidR="003A5086">
              <w:rPr>
                <w:noProof/>
              </w:rPr>
              <w:fldChar w:fldCharType="end"/>
            </w:r>
            <w:r w:rsidRPr="00320F90">
              <w:t>)</w:t>
            </w:r>
          </w:p>
        </w:tc>
      </w:tr>
    </w:tbl>
    <w:p w14:paraId="5061EF33" w14:textId="1CC68350" w:rsidR="00A82E2C" w:rsidRDefault="00B75774" w:rsidP="00A479CD">
      <w:pPr>
        <w:jc w:val="both"/>
        <w:rPr>
          <w:lang w:val="en-GB"/>
        </w:rPr>
      </w:pPr>
      <w:r>
        <w:rPr>
          <w:lang w:val="en-GB"/>
        </w:rPr>
        <w:t>The amplitude of t</w:t>
      </w:r>
      <w:r w:rsidR="00A479CD">
        <w:rPr>
          <w:lang w:val="en-GB"/>
        </w:rPr>
        <w:t xml:space="preserve">he desired output field distribution is shown in </w:t>
      </w:r>
      <w:r w:rsidR="00A479CD">
        <w:rPr>
          <w:lang w:val="en-GB"/>
        </w:rPr>
        <w:fldChar w:fldCharType="begin"/>
      </w:r>
      <w:r w:rsidR="00A479CD">
        <w:rPr>
          <w:lang w:val="en-GB"/>
        </w:rPr>
        <w:instrText xml:space="preserve"> REF _Ref59006772 \h </w:instrText>
      </w:r>
      <w:r w:rsidR="00A479CD">
        <w:rPr>
          <w:lang w:val="en-GB"/>
        </w:rPr>
      </w:r>
      <w:r w:rsidR="00A479CD">
        <w:rPr>
          <w:lang w:val="en-GB"/>
        </w:rPr>
        <w:fldChar w:fldCharType="separate"/>
      </w:r>
      <w:r w:rsidR="00D87BC4">
        <w:t>Figure S</w:t>
      </w:r>
      <w:r w:rsidR="00D87BC4">
        <w:rPr>
          <w:noProof/>
        </w:rPr>
        <w:t>5</w:t>
      </w:r>
      <w:r w:rsidR="00A479CD">
        <w:rPr>
          <w:lang w:val="en-GB"/>
        </w:rPr>
        <w:fldChar w:fldCharType="end"/>
      </w:r>
      <w:r w:rsidR="00A479CD">
        <w:rPr>
          <w:lang w:val="en-GB"/>
        </w:rPr>
        <w:t xml:space="preserve">(a) and the phase in </w:t>
      </w:r>
      <w:r w:rsidR="00A479CD">
        <w:rPr>
          <w:lang w:val="en-GB"/>
        </w:rPr>
        <w:fldChar w:fldCharType="begin"/>
      </w:r>
      <w:r w:rsidR="00A479CD">
        <w:rPr>
          <w:lang w:val="en-GB"/>
        </w:rPr>
        <w:instrText xml:space="preserve"> REF _Ref59006772 \h </w:instrText>
      </w:r>
      <w:r w:rsidR="00A479CD">
        <w:rPr>
          <w:lang w:val="en-GB"/>
        </w:rPr>
      </w:r>
      <w:r w:rsidR="00A479CD">
        <w:rPr>
          <w:lang w:val="en-GB"/>
        </w:rPr>
        <w:fldChar w:fldCharType="separate"/>
      </w:r>
      <w:r w:rsidR="00D87BC4">
        <w:t>Figure S</w:t>
      </w:r>
      <w:r w:rsidR="00D87BC4">
        <w:rPr>
          <w:noProof/>
        </w:rPr>
        <w:t>5</w:t>
      </w:r>
      <w:r w:rsidR="00A479CD">
        <w:rPr>
          <w:lang w:val="en-GB"/>
        </w:rPr>
        <w:fldChar w:fldCharType="end"/>
      </w:r>
      <w:r w:rsidR="00A479CD">
        <w:rPr>
          <w:lang w:val="en-GB"/>
        </w:rPr>
        <w:t xml:space="preserve">(b). The </w:t>
      </w:r>
      <w:r w:rsidR="005314ED">
        <w:rPr>
          <w:lang w:val="en-GB"/>
        </w:rPr>
        <w:t>meta-optic</w:t>
      </w:r>
      <w:r w:rsidR="00A479CD">
        <w:rPr>
          <w:lang w:val="en-GB"/>
        </w:rPr>
        <w:t xml:space="preserve"> design process was used to determine the transmission phase profiles of each metasurface so th</w:t>
      </w:r>
      <w:r w:rsidR="00764075">
        <w:rPr>
          <w:lang w:val="en-GB"/>
        </w:rPr>
        <w:t>e</w:t>
      </w:r>
      <w:r w:rsidR="00A479CD">
        <w:rPr>
          <w:lang w:val="en-GB"/>
        </w:rPr>
        <w:t xml:space="preserve"> desired field is formed at the output of the device. The resulting transmission phase profiles are </w:t>
      </w:r>
      <w:r w:rsidR="00764075">
        <w:rPr>
          <w:lang w:val="en-GB"/>
        </w:rPr>
        <w:t>shown</w:t>
      </w:r>
      <w:r w:rsidR="00A479CD">
        <w:rPr>
          <w:lang w:val="en-GB"/>
        </w:rPr>
        <w:t xml:space="preserve"> in </w:t>
      </w:r>
      <w:r w:rsidR="00A479CD">
        <w:rPr>
          <w:lang w:val="en-GB"/>
        </w:rPr>
        <w:fldChar w:fldCharType="begin"/>
      </w:r>
      <w:r w:rsidR="00A479CD">
        <w:rPr>
          <w:lang w:val="en-GB"/>
        </w:rPr>
        <w:instrText xml:space="preserve"> REF _Ref59006772 \h </w:instrText>
      </w:r>
      <w:r w:rsidR="00A479CD">
        <w:rPr>
          <w:lang w:val="en-GB"/>
        </w:rPr>
      </w:r>
      <w:r w:rsidR="00A479CD">
        <w:rPr>
          <w:lang w:val="en-GB"/>
        </w:rPr>
        <w:fldChar w:fldCharType="separate"/>
      </w:r>
      <w:r w:rsidR="00D87BC4">
        <w:t>Figure S</w:t>
      </w:r>
      <w:r w:rsidR="00D87BC4">
        <w:rPr>
          <w:noProof/>
        </w:rPr>
        <w:t>5</w:t>
      </w:r>
      <w:r w:rsidR="00A479CD">
        <w:rPr>
          <w:lang w:val="en-GB"/>
        </w:rPr>
        <w:fldChar w:fldCharType="end"/>
      </w:r>
      <w:r w:rsidR="00A479CD">
        <w:rPr>
          <w:lang w:val="en-GB"/>
        </w:rPr>
        <w:t xml:space="preserve">(c) for metasurface 1 and </w:t>
      </w:r>
      <w:r w:rsidR="00A479CD">
        <w:rPr>
          <w:lang w:val="en-GB"/>
        </w:rPr>
        <w:fldChar w:fldCharType="begin"/>
      </w:r>
      <w:r w:rsidR="00A479CD">
        <w:rPr>
          <w:lang w:val="en-GB"/>
        </w:rPr>
        <w:instrText xml:space="preserve"> REF _Ref59006772 \h </w:instrText>
      </w:r>
      <w:r w:rsidR="00A479CD">
        <w:rPr>
          <w:lang w:val="en-GB"/>
        </w:rPr>
      </w:r>
      <w:r w:rsidR="00A479CD">
        <w:rPr>
          <w:lang w:val="en-GB"/>
        </w:rPr>
        <w:fldChar w:fldCharType="separate"/>
      </w:r>
      <w:r w:rsidR="00D87BC4">
        <w:t>Figure S</w:t>
      </w:r>
      <w:r w:rsidR="00D87BC4">
        <w:rPr>
          <w:noProof/>
        </w:rPr>
        <w:t>5</w:t>
      </w:r>
      <w:r w:rsidR="00A479CD">
        <w:rPr>
          <w:lang w:val="en-GB"/>
        </w:rPr>
        <w:fldChar w:fldCharType="end"/>
      </w:r>
      <w:r w:rsidR="00A479CD">
        <w:rPr>
          <w:lang w:val="en-GB"/>
        </w:rPr>
        <w:t xml:space="preserve">(d) for metasurface 2. These transmission phase profiles are sampled at the unit cell periodicity and </w:t>
      </w:r>
      <w:r w:rsidR="00D56A4A">
        <w:rPr>
          <w:lang w:val="en-GB"/>
        </w:rPr>
        <w:t xml:space="preserve">translated to a distribution of pillar diameters.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A479CD" w14:paraId="2C09C54C" w14:textId="77777777" w:rsidTr="00FB71D4">
        <w:tc>
          <w:tcPr>
            <w:tcW w:w="9350" w:type="dxa"/>
          </w:tcPr>
          <w:p w14:paraId="0DE2C742" w14:textId="77777777" w:rsidR="00A479CD" w:rsidRDefault="00A479CD" w:rsidP="002F3767">
            <w:pPr>
              <w:ind w:left="-106"/>
            </w:pPr>
            <w:r>
              <w:rPr>
                <w:noProof/>
              </w:rPr>
              <w:drawing>
                <wp:inline distT="0" distB="0" distL="0" distR="0" wp14:anchorId="1BB8D6AA" wp14:editId="53607FE7">
                  <wp:extent cx="5943082" cy="1284878"/>
                  <wp:effectExtent l="0" t="0" r="63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082" cy="1284878"/>
                          </a:xfrm>
                          <a:prstGeom prst="rect">
                            <a:avLst/>
                          </a:prstGeom>
                        </pic:spPr>
                      </pic:pic>
                    </a:graphicData>
                  </a:graphic>
                </wp:inline>
              </w:drawing>
            </w:r>
          </w:p>
          <w:p w14:paraId="4347941C" w14:textId="06A8636A" w:rsidR="00A479CD" w:rsidRDefault="00A479CD" w:rsidP="0028530B">
            <w:pPr>
              <w:pStyle w:val="Caption"/>
              <w:rPr>
                <w:lang w:val="en-GB"/>
              </w:rPr>
            </w:pPr>
            <w:bookmarkStart w:id="10" w:name="_Ref59006772"/>
            <w:r>
              <w:t>Figure S</w:t>
            </w:r>
            <w:r w:rsidR="003A5086">
              <w:fldChar w:fldCharType="begin"/>
            </w:r>
            <w:r w:rsidR="003A5086">
              <w:instrText xml:space="preserve"> SEQ Figure_S \* ARABIC </w:instrText>
            </w:r>
            <w:r w:rsidR="003A5086">
              <w:fldChar w:fldCharType="separate"/>
            </w:r>
            <w:r w:rsidR="00A67938">
              <w:rPr>
                <w:noProof/>
              </w:rPr>
              <w:t>5</w:t>
            </w:r>
            <w:r w:rsidR="003A5086">
              <w:rPr>
                <w:noProof/>
              </w:rPr>
              <w:fldChar w:fldCharType="end"/>
            </w:r>
            <w:bookmarkEnd w:id="10"/>
            <w:r>
              <w:t xml:space="preserve">: Design of the </w:t>
            </w:r>
            <w:r w:rsidR="00D87BC4">
              <w:t>combined beam-forming and splitting</w:t>
            </w:r>
            <w:r>
              <w:t xml:space="preserve"> </w:t>
            </w:r>
            <w:r w:rsidR="005314ED">
              <w:t>meta-optic</w:t>
            </w:r>
            <w:r w:rsidR="00D87BC4">
              <w:t xml:space="preserve"> with two beams</w:t>
            </w:r>
            <w:r>
              <w:t>.</w:t>
            </w:r>
            <w:r w:rsidR="002F3767">
              <w:t xml:space="preserve"> </w:t>
            </w:r>
            <w:r w:rsidR="002F3767" w:rsidRPr="00FB71D4">
              <w:rPr>
                <w:b/>
                <w:bCs/>
              </w:rPr>
              <w:t xml:space="preserve">(a, b) </w:t>
            </w:r>
            <w:r w:rsidR="002F3767">
              <w:t xml:space="preserve">The amplitude and phase distributions of the desired </w:t>
            </w:r>
            <w:r w:rsidR="0046002B">
              <w:t xml:space="preserve">output </w:t>
            </w:r>
            <w:r w:rsidR="002F3767">
              <w:t xml:space="preserve">field, which </w:t>
            </w:r>
            <w:r w:rsidR="007B02B1">
              <w:t>is the</w:t>
            </w:r>
            <w:r w:rsidR="002F3767">
              <w:t xml:space="preserve"> interference pattern between two Gaussian beams. </w:t>
            </w:r>
            <w:r w:rsidR="002F3767" w:rsidRPr="00FB71D4">
              <w:rPr>
                <w:b/>
                <w:bCs/>
              </w:rPr>
              <w:t>(c, d)</w:t>
            </w:r>
            <w:r w:rsidR="002F3767">
              <w:t xml:space="preserve"> The transmission phase distributions implemented by each metasurface to form the desired field distribution from a circular</w:t>
            </w:r>
            <w:r w:rsidR="00B453DE">
              <w:t>,</w:t>
            </w:r>
            <w:r w:rsidR="002F3767">
              <w:t xml:space="preserve"> uniform illumination.</w:t>
            </w:r>
          </w:p>
        </w:tc>
      </w:tr>
    </w:tbl>
    <w:p w14:paraId="601FD832" w14:textId="04FA9AB3" w:rsidR="002F3767" w:rsidRDefault="002F3767" w:rsidP="00B453DE">
      <w:pPr>
        <w:spacing w:before="240"/>
        <w:jc w:val="both"/>
        <w:rPr>
          <w:lang w:val="en-GB"/>
        </w:rPr>
      </w:pPr>
      <w:r>
        <w:rPr>
          <w:lang w:val="en-GB"/>
        </w:rPr>
        <w:t xml:space="preserve">The complete </w:t>
      </w:r>
      <w:r w:rsidR="005314ED">
        <w:rPr>
          <w:lang w:val="en-GB"/>
        </w:rPr>
        <w:t>meta-optic</w:t>
      </w:r>
      <w:r>
        <w:rPr>
          <w:lang w:val="en-GB"/>
        </w:rPr>
        <w:t xml:space="preserve"> design was simulated to </w:t>
      </w:r>
      <w:r w:rsidR="00B75774">
        <w:rPr>
          <w:lang w:val="en-GB"/>
        </w:rPr>
        <w:t>verify the</w:t>
      </w:r>
      <w:r>
        <w:rPr>
          <w:lang w:val="en-GB"/>
        </w:rPr>
        <w:t xml:space="preserve"> </w:t>
      </w:r>
      <w:r w:rsidR="00482F7E">
        <w:rPr>
          <w:lang w:val="en-GB"/>
        </w:rPr>
        <w:t xml:space="preserve">device </w:t>
      </w:r>
      <w:r>
        <w:rPr>
          <w:lang w:val="en-GB"/>
        </w:rPr>
        <w:t xml:space="preserve">performance. </w:t>
      </w:r>
      <w:r w:rsidR="00482F7E">
        <w:rPr>
          <w:lang w:val="en-GB"/>
        </w:rPr>
        <w:t>M</w:t>
      </w:r>
      <w:r>
        <w:rPr>
          <w:lang w:val="en-GB"/>
        </w:rPr>
        <w:t xml:space="preserve">etasurface </w:t>
      </w:r>
      <w:r w:rsidR="00482F7E">
        <w:rPr>
          <w:lang w:val="en-GB"/>
        </w:rPr>
        <w:t xml:space="preserve">1 </w:t>
      </w:r>
      <w:r>
        <w:rPr>
          <w:lang w:val="en-GB"/>
        </w:rPr>
        <w:t>was simu</w:t>
      </w:r>
      <w:r w:rsidR="00D135DE">
        <w:rPr>
          <w:lang w:val="en-GB"/>
        </w:rPr>
        <w:t xml:space="preserve">lated using the field profile of </w:t>
      </w:r>
      <w:r w:rsidR="00D135DE">
        <w:rPr>
          <w:lang w:val="en-GB"/>
        </w:rPr>
        <w:fldChar w:fldCharType="begin"/>
      </w:r>
      <w:r w:rsidR="00D135DE">
        <w:rPr>
          <w:lang w:val="en-GB"/>
        </w:rPr>
        <w:instrText xml:space="preserve"> REF _Ref58960818 \h  \* MERGEFORMAT </w:instrText>
      </w:r>
      <w:r w:rsidR="00D135DE">
        <w:rPr>
          <w:lang w:val="en-GB"/>
        </w:rPr>
      </w:r>
      <w:r w:rsidR="00D135DE">
        <w:rPr>
          <w:lang w:val="en-GB"/>
        </w:rPr>
        <w:fldChar w:fldCharType="separate"/>
      </w:r>
      <w:r w:rsidR="00D87BC4">
        <w:t>Figure S6</w:t>
      </w:r>
      <w:r w:rsidR="00D135DE">
        <w:rPr>
          <w:lang w:val="en-GB"/>
        </w:rPr>
        <w:fldChar w:fldCharType="end"/>
      </w:r>
      <w:r w:rsidR="00D135DE">
        <w:rPr>
          <w:lang w:val="en-GB"/>
        </w:rPr>
        <w:t xml:space="preserve">(a) as the </w:t>
      </w:r>
      <w:r w:rsidR="00482F7E">
        <w:rPr>
          <w:lang w:val="en-GB"/>
        </w:rPr>
        <w:t xml:space="preserve">incident </w:t>
      </w:r>
      <w:r w:rsidR="00D135DE">
        <w:rPr>
          <w:lang w:val="en-GB"/>
        </w:rPr>
        <w:t>source fiel</w:t>
      </w:r>
      <w:r w:rsidR="00482F7E">
        <w:rPr>
          <w:lang w:val="en-GB"/>
        </w:rPr>
        <w:t>d</w:t>
      </w:r>
      <w:r w:rsidR="00D135DE">
        <w:rPr>
          <w:lang w:val="en-GB"/>
        </w:rPr>
        <w:t xml:space="preserve">. The transmitted field distribution was recorded </w:t>
      </w:r>
      <w:r w:rsidR="00764075">
        <w:rPr>
          <w:lang w:val="en-GB"/>
        </w:rPr>
        <w:t xml:space="preserve">at </w:t>
      </w:r>
      <w:r w:rsidR="00D135DE">
        <w:rPr>
          <w:lang w:val="en-GB"/>
        </w:rPr>
        <w:t xml:space="preserve">a distance of </w:t>
      </w:r>
      <m:oMath>
        <m:r>
          <w:rPr>
            <w:rFonts w:ascii="Cambria Math" w:hAnsi="Cambria Math"/>
            <w:lang w:val="en-GB"/>
          </w:rPr>
          <m:t>0.4</m:t>
        </m:r>
        <m:sSub>
          <m:sSubPr>
            <m:ctrlPr>
              <w:rPr>
                <w:rFonts w:ascii="Cambria Math" w:hAnsi="Cambria Math"/>
                <w:i/>
                <w:lang w:val="en-GB"/>
              </w:rPr>
            </m:ctrlPr>
          </m:sSubPr>
          <m:e>
            <m:r>
              <w:rPr>
                <w:rFonts w:ascii="Cambria Math" w:hAnsi="Cambria Math"/>
                <w:lang w:val="en-GB"/>
              </w:rPr>
              <m:t>λ</m:t>
            </m:r>
          </m:e>
          <m:sub>
            <m:r>
              <w:rPr>
                <w:rFonts w:ascii="Cambria Math" w:hAnsi="Cambria Math"/>
                <w:lang w:val="en-GB"/>
              </w:rPr>
              <m:t>0</m:t>
            </m:r>
          </m:sub>
        </m:sSub>
      </m:oMath>
      <w:r w:rsidR="00D135DE">
        <w:rPr>
          <w:rFonts w:eastAsiaTheme="minorEastAsia"/>
          <w:lang w:val="en-GB"/>
        </w:rPr>
        <w:t xml:space="preserve"> from the metasurface and is shown in </w:t>
      </w:r>
      <w:r w:rsidR="00D135DE">
        <w:rPr>
          <w:lang w:val="en-GB"/>
        </w:rPr>
        <w:fldChar w:fldCharType="begin"/>
      </w:r>
      <w:r w:rsidR="00D135DE">
        <w:rPr>
          <w:lang w:val="en-GB"/>
        </w:rPr>
        <w:instrText xml:space="preserve"> REF _Ref58960818 \h  \* MERGEFORMAT </w:instrText>
      </w:r>
      <w:r w:rsidR="00D135DE">
        <w:rPr>
          <w:lang w:val="en-GB"/>
        </w:rPr>
      </w:r>
      <w:r w:rsidR="00D135DE">
        <w:rPr>
          <w:lang w:val="en-GB"/>
        </w:rPr>
        <w:fldChar w:fldCharType="separate"/>
      </w:r>
      <w:r w:rsidR="00D87BC4">
        <w:t>Figure S6</w:t>
      </w:r>
      <w:r w:rsidR="00D135DE">
        <w:rPr>
          <w:lang w:val="en-GB"/>
        </w:rPr>
        <w:fldChar w:fldCharType="end"/>
      </w:r>
      <w:r w:rsidR="00D135DE">
        <w:rPr>
          <w:lang w:val="en-GB"/>
        </w:rPr>
        <w:t xml:space="preserve">(b). </w:t>
      </w:r>
      <w:r w:rsidR="00482F7E">
        <w:rPr>
          <w:lang w:val="en-GB"/>
        </w:rPr>
        <w:t>A</w:t>
      </w:r>
      <w:r w:rsidR="00D135DE">
        <w:rPr>
          <w:lang w:val="en-GB"/>
        </w:rPr>
        <w:t xml:space="preserve"> phase shift profile has been imparted on the incident field, and high transmission is maintained. This field profile was numerically propagated across the separation distance to the plane containing the second metasurface</w:t>
      </w:r>
      <w:r w:rsidR="005F3636">
        <w:rPr>
          <w:lang w:val="en-GB"/>
        </w:rPr>
        <w:t xml:space="preserve"> and is shown in </w:t>
      </w:r>
      <w:r w:rsidR="005F3636">
        <w:rPr>
          <w:lang w:val="en-GB"/>
        </w:rPr>
        <w:fldChar w:fldCharType="begin"/>
      </w:r>
      <w:r w:rsidR="005F3636">
        <w:rPr>
          <w:lang w:val="en-GB"/>
        </w:rPr>
        <w:instrText xml:space="preserve"> REF _Ref58960818 \h </w:instrText>
      </w:r>
      <w:r w:rsidR="005F3636">
        <w:rPr>
          <w:lang w:val="en-GB"/>
        </w:rPr>
      </w:r>
      <w:r w:rsidR="005F3636">
        <w:rPr>
          <w:lang w:val="en-GB"/>
        </w:rPr>
        <w:fldChar w:fldCharType="separate"/>
      </w:r>
      <w:r w:rsidR="00D87BC4">
        <w:t>Figure S</w:t>
      </w:r>
      <w:r w:rsidR="00D87BC4">
        <w:rPr>
          <w:noProof/>
        </w:rPr>
        <w:t>6</w:t>
      </w:r>
      <w:r w:rsidR="005F3636">
        <w:rPr>
          <w:lang w:val="en-GB"/>
        </w:rPr>
        <w:fldChar w:fldCharType="end"/>
      </w:r>
      <w:r w:rsidR="005F3636">
        <w:rPr>
          <w:lang w:val="en-GB"/>
        </w:rPr>
        <w:t>(c). This field distribution was</w:t>
      </w:r>
      <w:r w:rsidR="004702E4">
        <w:rPr>
          <w:lang w:val="en-GB"/>
        </w:rPr>
        <w:t xml:space="preserve"> used as the source field of the simulation of metasurface 2</w:t>
      </w:r>
      <w:r w:rsidR="005F3636">
        <w:rPr>
          <w:lang w:val="en-GB"/>
        </w:rPr>
        <w:t xml:space="preserve">. The transmitted field distribution of this simulation is shown in </w:t>
      </w:r>
      <w:r w:rsidR="005F3636">
        <w:rPr>
          <w:lang w:val="en-GB"/>
        </w:rPr>
        <w:fldChar w:fldCharType="begin"/>
      </w:r>
      <w:r w:rsidR="005F3636">
        <w:rPr>
          <w:lang w:val="en-GB"/>
        </w:rPr>
        <w:instrText xml:space="preserve"> REF _Ref58960818 \h </w:instrText>
      </w:r>
      <w:r w:rsidR="005F3636">
        <w:rPr>
          <w:lang w:val="en-GB"/>
        </w:rPr>
      </w:r>
      <w:r w:rsidR="005F3636">
        <w:rPr>
          <w:lang w:val="en-GB"/>
        </w:rPr>
        <w:fldChar w:fldCharType="separate"/>
      </w:r>
      <w:r w:rsidR="00D87BC4">
        <w:t>Figure S</w:t>
      </w:r>
      <w:r w:rsidR="00D87BC4">
        <w:rPr>
          <w:noProof/>
        </w:rPr>
        <w:t>6</w:t>
      </w:r>
      <w:r w:rsidR="005F3636">
        <w:rPr>
          <w:lang w:val="en-GB"/>
        </w:rPr>
        <w:fldChar w:fldCharType="end"/>
      </w:r>
      <w:r w:rsidR="005F3636">
        <w:rPr>
          <w:lang w:val="en-GB"/>
        </w:rPr>
        <w:t>(d), where a transmission phase shift</w:t>
      </w:r>
      <w:r w:rsidR="00482F7E">
        <w:rPr>
          <w:lang w:val="en-GB"/>
        </w:rPr>
        <w:t xml:space="preserve"> occurs</w:t>
      </w:r>
      <w:r w:rsidR="005F3636">
        <w:rPr>
          <w:lang w:val="en-GB"/>
        </w:rPr>
        <w:t xml:space="preserve"> while maintaining high transmission. </w:t>
      </w:r>
    </w:p>
    <w:p w14:paraId="3297162E" w14:textId="28FCFCBA" w:rsidR="00B453DE" w:rsidRDefault="00B453DE" w:rsidP="00B453DE">
      <w:pPr>
        <w:spacing w:before="240"/>
        <w:jc w:val="both"/>
        <w:rPr>
          <w:lang w:val="en-GB"/>
        </w:rPr>
      </w:pPr>
      <w:r>
        <w:rPr>
          <w:lang w:val="en-GB"/>
        </w:rPr>
        <w:t xml:space="preserve">The simulated output field matches the desired output field, showing that the </w:t>
      </w:r>
      <w:r w:rsidR="005314ED">
        <w:rPr>
          <w:lang w:val="en-GB"/>
        </w:rPr>
        <w:t>meta-optic</w:t>
      </w:r>
      <w:r>
        <w:rPr>
          <w:lang w:val="en-GB"/>
        </w:rPr>
        <w:t xml:space="preserve"> design accurately implement</w:t>
      </w:r>
      <w:r w:rsidR="003A1DF9">
        <w:rPr>
          <w:lang w:val="en-GB"/>
        </w:rPr>
        <w:t>s</w:t>
      </w:r>
      <w:r>
        <w:rPr>
          <w:lang w:val="en-GB"/>
        </w:rPr>
        <w:t xml:space="preserve"> the desired complex-valued field conversion from input to output without relying on loss. The simulated output electric field</w:t>
      </w:r>
      <w:r w:rsidR="003A1DF9">
        <w:rPr>
          <w:lang w:val="en-GB"/>
        </w:rPr>
        <w:t xml:space="preserve"> accuracy</w:t>
      </w:r>
      <w:r>
        <w:rPr>
          <w:lang w:val="en-GB"/>
        </w:rPr>
        <w:t xml:space="preserve"> is demonstrated by calculating the error in the amplitude and phase distributions relative to the desired output field.  </w:t>
      </w:r>
      <w:r>
        <w:rPr>
          <w:lang w:val="en-GB"/>
        </w:rPr>
        <w:fldChar w:fldCharType="begin"/>
      </w:r>
      <w:r>
        <w:rPr>
          <w:lang w:val="en-GB"/>
        </w:rPr>
        <w:instrText xml:space="preserve"> REF _Ref63345224 \h </w:instrText>
      </w:r>
      <w:r>
        <w:rPr>
          <w:lang w:val="en-GB"/>
        </w:rPr>
      </w:r>
      <w:r>
        <w:rPr>
          <w:lang w:val="en-GB"/>
        </w:rPr>
        <w:fldChar w:fldCharType="separate"/>
      </w:r>
      <w:r>
        <w:t>Figure S</w:t>
      </w:r>
      <w:r>
        <w:rPr>
          <w:noProof/>
        </w:rPr>
        <w:t>7</w:t>
      </w:r>
      <w:r>
        <w:rPr>
          <w:lang w:val="en-GB"/>
        </w:rPr>
        <w:fldChar w:fldCharType="end"/>
      </w:r>
      <w:r>
        <w:rPr>
          <w:lang w:val="en-GB"/>
        </w:rPr>
        <w:t xml:space="preserve"> displays the amplitude and phase error profiles, showing </w:t>
      </w:r>
      <w:r w:rsidR="003A1DF9">
        <w:rPr>
          <w:lang w:val="en-GB"/>
        </w:rPr>
        <w:t xml:space="preserve">a low error across the </w:t>
      </w:r>
      <w:r w:rsidR="005314ED">
        <w:rPr>
          <w:lang w:val="en-GB"/>
        </w:rPr>
        <w:t>meta-optic</w:t>
      </w:r>
      <w:r w:rsidR="003A1DF9">
        <w:rPr>
          <w:lang w:val="en-GB"/>
        </w:rPr>
        <w:t xml:space="preserve"> output</w:t>
      </w:r>
      <w:r>
        <w:rPr>
          <w:lang w:val="en-GB"/>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F4429B" w14:paraId="47873901" w14:textId="77777777" w:rsidTr="00FB71D4">
        <w:tc>
          <w:tcPr>
            <w:tcW w:w="9350" w:type="dxa"/>
          </w:tcPr>
          <w:p w14:paraId="22BF8D85" w14:textId="77777777" w:rsidR="00C547E7" w:rsidRDefault="00C547E7" w:rsidP="00C547E7">
            <w:pPr>
              <w:keepNext/>
              <w:ind w:left="-109"/>
            </w:pPr>
            <w:r>
              <w:rPr>
                <w:noProof/>
                <w:lang w:val="en-GB"/>
              </w:rPr>
              <w:lastRenderedPageBreak/>
              <w:drawing>
                <wp:inline distT="0" distB="0" distL="0" distR="0" wp14:anchorId="09CEF73F" wp14:editId="0B63E5F4">
                  <wp:extent cx="5943391" cy="2590851"/>
                  <wp:effectExtent l="0" t="0" r="63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391" cy="2590851"/>
                          </a:xfrm>
                          <a:prstGeom prst="rect">
                            <a:avLst/>
                          </a:prstGeom>
                        </pic:spPr>
                      </pic:pic>
                    </a:graphicData>
                  </a:graphic>
                </wp:inline>
              </w:drawing>
            </w:r>
          </w:p>
          <w:p w14:paraId="392B2716" w14:textId="093B5E2F" w:rsidR="00F4429B" w:rsidRDefault="00C547E7" w:rsidP="0028530B">
            <w:pPr>
              <w:pStyle w:val="Caption"/>
              <w:rPr>
                <w:lang w:val="en-GB"/>
              </w:rPr>
            </w:pPr>
            <w:bookmarkStart w:id="11" w:name="_Ref58960818"/>
            <w:r>
              <w:t>Figure S</w:t>
            </w:r>
            <w:r w:rsidR="003A5086">
              <w:fldChar w:fldCharType="begin"/>
            </w:r>
            <w:r w:rsidR="003A5086">
              <w:instrText xml:space="preserve"> SEQ Figure_S \* ARABIC </w:instrText>
            </w:r>
            <w:r w:rsidR="003A5086">
              <w:fldChar w:fldCharType="separate"/>
            </w:r>
            <w:r w:rsidR="00A67938">
              <w:rPr>
                <w:noProof/>
              </w:rPr>
              <w:t>6</w:t>
            </w:r>
            <w:r w:rsidR="003A5086">
              <w:rPr>
                <w:noProof/>
              </w:rPr>
              <w:fldChar w:fldCharType="end"/>
            </w:r>
            <w:bookmarkEnd w:id="11"/>
            <w:r>
              <w:t xml:space="preserve">: </w:t>
            </w:r>
            <w:r w:rsidR="005F3636">
              <w:t>FDTD s</w:t>
            </w:r>
            <w:r>
              <w:t xml:space="preserve">imulation results </w:t>
            </w:r>
            <w:r w:rsidR="00462032">
              <w:t>of the</w:t>
            </w:r>
            <w:r>
              <w:t xml:space="preserve"> </w:t>
            </w:r>
            <w:r w:rsidR="00462032">
              <w:t>beam-former and splitter</w:t>
            </w:r>
            <w:r w:rsidR="005F3636">
              <w:t xml:space="preserve"> </w:t>
            </w:r>
            <w:r w:rsidR="005314ED">
              <w:t>meta-optic</w:t>
            </w:r>
            <w:r w:rsidR="005F3636">
              <w:t xml:space="preserve"> example</w:t>
            </w:r>
            <w:r w:rsidR="00462032">
              <w:t xml:space="preserve"> with two beams</w:t>
            </w:r>
            <w:r>
              <w:t>.</w:t>
            </w:r>
            <w:r w:rsidR="005F3636">
              <w:t xml:space="preserve"> </w:t>
            </w:r>
            <w:r w:rsidR="005F3636" w:rsidRPr="00FB71D4">
              <w:rPr>
                <w:b/>
                <w:bCs/>
              </w:rPr>
              <w:t>(a)</w:t>
            </w:r>
            <w:r w:rsidR="005F3636">
              <w:t xml:space="preserve"> The field distribution used as the input to the </w:t>
            </w:r>
            <w:r w:rsidR="005314ED">
              <w:t>meta-optic</w:t>
            </w:r>
            <w:r w:rsidR="005F3636">
              <w:t xml:space="preserve"> is a circular, uniform illumination. </w:t>
            </w:r>
            <w:r w:rsidR="005F3636" w:rsidRPr="00FB71D4">
              <w:rPr>
                <w:b/>
                <w:bCs/>
              </w:rPr>
              <w:t>(b)</w:t>
            </w:r>
            <w:r w:rsidR="005F3636">
              <w:t xml:space="preserve"> The simulated transmitted field from metasurface 1 shows that the meta</w:t>
            </w:r>
            <w:r w:rsidR="00E95F04">
              <w:t xml:space="preserve">surface applies the desired transmission phase shift with high transmission magnitude. </w:t>
            </w:r>
            <w:r w:rsidR="00E95F04" w:rsidRPr="00FB71D4">
              <w:rPr>
                <w:b/>
                <w:bCs/>
              </w:rPr>
              <w:t>(c)</w:t>
            </w:r>
            <w:r w:rsidR="00E95F04">
              <w:t xml:space="preserve"> The transmitted field from metasurface 1 is numerically propagated to the plane containing metasurface 2. At this plane, the field amplitude distribution matches the desired field amplitude, but the phase is incorrect. </w:t>
            </w:r>
            <w:r w:rsidR="00E95F04" w:rsidRPr="00FB71D4">
              <w:rPr>
                <w:b/>
                <w:bCs/>
              </w:rPr>
              <w:t>(d)</w:t>
            </w:r>
            <w:r w:rsidR="00E95F04">
              <w:t xml:space="preserve"> The simulated transmitted field from metasurface 2 shows that the metasurface applies the desired transmission phase with high transmission magnitude. This field </w:t>
            </w:r>
            <w:r w:rsidR="009161CA">
              <w:t>distribution</w:t>
            </w:r>
            <w:r w:rsidR="00E95F04">
              <w:t xml:space="preserve"> accurately matches the desired </w:t>
            </w:r>
            <w:r w:rsidR="009161CA">
              <w:t>output field</w:t>
            </w:r>
            <w:r w:rsidR="00E95F04">
              <w:t xml:space="preserve">, indicating that the </w:t>
            </w:r>
            <w:r w:rsidR="005314ED">
              <w:t>meta-optic</w:t>
            </w:r>
            <w:r w:rsidR="00E95F04">
              <w:t xml:space="preserve"> should perform as expected.</w:t>
            </w:r>
          </w:p>
        </w:tc>
      </w:tr>
    </w:tbl>
    <w:p w14:paraId="0A677DCC" w14:textId="6EAD9D06" w:rsidR="00526294" w:rsidRDefault="00526294" w:rsidP="00711780">
      <w:pPr>
        <w:jc w:val="both"/>
        <w:rPr>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65"/>
        <w:gridCol w:w="7020"/>
        <w:gridCol w:w="1165"/>
      </w:tblGrid>
      <w:tr w:rsidR="006C77C9" w14:paraId="5676DC4D" w14:textId="3DD97A7D" w:rsidTr="00462032">
        <w:tc>
          <w:tcPr>
            <w:tcW w:w="1165" w:type="dxa"/>
          </w:tcPr>
          <w:p w14:paraId="65B166EE" w14:textId="18E02629" w:rsidR="006C77C9" w:rsidRDefault="006C77C9" w:rsidP="00CA0DBD">
            <w:pPr>
              <w:keepNext/>
              <w:jc w:val="center"/>
              <w:rPr>
                <w:noProof/>
                <w:lang w:val="en-GB"/>
              </w:rPr>
            </w:pPr>
          </w:p>
        </w:tc>
        <w:tc>
          <w:tcPr>
            <w:tcW w:w="7020" w:type="dxa"/>
          </w:tcPr>
          <w:p w14:paraId="715CD2B6" w14:textId="56787952" w:rsidR="006C77C9" w:rsidRDefault="006C77C9" w:rsidP="00CA0DBD">
            <w:pPr>
              <w:keepNext/>
              <w:jc w:val="center"/>
            </w:pPr>
            <w:r>
              <w:rPr>
                <w:noProof/>
                <w:lang w:val="en-GB"/>
              </w:rPr>
              <w:drawing>
                <wp:inline distT="0" distB="0" distL="0" distR="0" wp14:anchorId="7841164F" wp14:editId="0544028D">
                  <wp:extent cx="3606472" cy="16002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606472" cy="1600200"/>
                          </a:xfrm>
                          <a:prstGeom prst="rect">
                            <a:avLst/>
                          </a:prstGeom>
                        </pic:spPr>
                      </pic:pic>
                    </a:graphicData>
                  </a:graphic>
                </wp:inline>
              </w:drawing>
            </w:r>
          </w:p>
          <w:p w14:paraId="33296790" w14:textId="4598E932" w:rsidR="006C77C9" w:rsidRPr="00CA0DBD" w:rsidRDefault="006C77C9" w:rsidP="0028530B">
            <w:pPr>
              <w:pStyle w:val="Caption"/>
              <w:rPr>
                <w:lang w:val="en-GB"/>
              </w:rPr>
            </w:pPr>
            <w:bookmarkStart w:id="12" w:name="_Ref63345224"/>
            <w:r>
              <w:t>Figure S</w:t>
            </w:r>
            <w:r w:rsidR="003A5086">
              <w:fldChar w:fldCharType="begin"/>
            </w:r>
            <w:r w:rsidR="003A5086">
              <w:instrText xml:space="preserve"> SEQ Figure_S \* ARABIC </w:instrText>
            </w:r>
            <w:r w:rsidR="003A5086">
              <w:fldChar w:fldCharType="separate"/>
            </w:r>
            <w:r w:rsidR="00A67938">
              <w:rPr>
                <w:noProof/>
              </w:rPr>
              <w:t>7</w:t>
            </w:r>
            <w:r w:rsidR="003A5086">
              <w:rPr>
                <w:noProof/>
              </w:rPr>
              <w:fldChar w:fldCharType="end"/>
            </w:r>
            <w:bookmarkEnd w:id="12"/>
            <w:r>
              <w:t xml:space="preserve">: The amplitude and phase error of the simulated output field relative to the desired output field </w:t>
            </w:r>
            <w:r w:rsidR="00462032">
              <w:t xml:space="preserve">is low </w:t>
            </w:r>
            <w:r>
              <w:t xml:space="preserve">for </w:t>
            </w:r>
            <w:r w:rsidR="00462032">
              <w:t>the two-beam former and splitter</w:t>
            </w:r>
            <w:r>
              <w:t xml:space="preserve"> example, showing the accuracy of the </w:t>
            </w:r>
            <w:r w:rsidR="005314ED">
              <w:t>meta-optic</w:t>
            </w:r>
            <w:r>
              <w:t xml:space="preserve"> performance. </w:t>
            </w:r>
            <w:r w:rsidRPr="00CA0DBD">
              <w:rPr>
                <w:b/>
                <w:bCs/>
              </w:rPr>
              <w:t>(a)</w:t>
            </w:r>
            <w:r>
              <w:t xml:space="preserve"> The amplitude error is shown as the root-mean-square error. </w:t>
            </w:r>
            <w:r w:rsidRPr="00CA0DBD">
              <w:rPr>
                <w:b/>
                <w:bCs/>
              </w:rPr>
              <w:t>(b)</w:t>
            </w:r>
            <w:r>
              <w:rPr>
                <w:b/>
                <w:bCs/>
              </w:rPr>
              <w:t xml:space="preserve"> </w:t>
            </w:r>
            <w:r>
              <w:t xml:space="preserve">The phase error of the simulated output field. </w:t>
            </w:r>
          </w:p>
        </w:tc>
        <w:tc>
          <w:tcPr>
            <w:tcW w:w="1165" w:type="dxa"/>
          </w:tcPr>
          <w:p w14:paraId="5B3CEEBE" w14:textId="29A77254" w:rsidR="006C77C9" w:rsidRDefault="006C77C9" w:rsidP="00CA0DBD">
            <w:pPr>
              <w:keepNext/>
              <w:jc w:val="center"/>
              <w:rPr>
                <w:noProof/>
                <w:lang w:val="en-GB"/>
              </w:rPr>
            </w:pPr>
          </w:p>
        </w:tc>
      </w:tr>
    </w:tbl>
    <w:p w14:paraId="6B0BE128" w14:textId="77777777" w:rsidR="006C77C9" w:rsidRDefault="006C77C9" w:rsidP="00BC2E21">
      <w:pPr>
        <w:rPr>
          <w:lang w:val="en-GB"/>
        </w:rPr>
      </w:pPr>
    </w:p>
    <w:p w14:paraId="51863BE5" w14:textId="72E8CDA8" w:rsidR="00B128EA" w:rsidRDefault="00B128EA" w:rsidP="00A9522E">
      <w:pPr>
        <w:pStyle w:val="SMH2"/>
      </w:pPr>
      <w:r>
        <w:t xml:space="preserve">Combined </w:t>
      </w:r>
      <w:proofErr w:type="gramStart"/>
      <w:r>
        <w:t>Beam-forming</w:t>
      </w:r>
      <w:proofErr w:type="gramEnd"/>
      <w:r>
        <w:t xml:space="preserve"> and Splitting: Three Beams</w:t>
      </w:r>
    </w:p>
    <w:p w14:paraId="56248678" w14:textId="71A09C54" w:rsidR="00BC2E21" w:rsidRDefault="00154E1E" w:rsidP="00D603AA">
      <w:pPr>
        <w:jc w:val="both"/>
        <w:rPr>
          <w:lang w:val="en-GB"/>
        </w:rPr>
      </w:pPr>
      <w:r>
        <w:rPr>
          <w:lang w:val="en-GB"/>
        </w:rPr>
        <w:t>T</w:t>
      </w:r>
      <w:r w:rsidR="00DF3A0A">
        <w:rPr>
          <w:lang w:val="en-GB"/>
        </w:rPr>
        <w:t>he second beam-</w:t>
      </w:r>
      <w:r w:rsidR="007D0B16">
        <w:rPr>
          <w:lang w:val="en-GB"/>
        </w:rPr>
        <w:t xml:space="preserve">former and </w:t>
      </w:r>
      <w:r w:rsidR="00DF3A0A">
        <w:rPr>
          <w:lang w:val="en-GB"/>
        </w:rPr>
        <w:t xml:space="preserve">splitter example forms three output Gaussian beams with </w:t>
      </w:r>
      <w:r w:rsidR="003B5127">
        <w:rPr>
          <w:lang w:val="en-GB"/>
        </w:rPr>
        <w:t xml:space="preserve">different peak intensities and propagation directions. The desired output field is calculated as the sum of three </w:t>
      </w:r>
      <w:r w:rsidR="00BF7546">
        <w:rPr>
          <w:lang w:val="en-GB"/>
        </w:rPr>
        <w:t>beams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1"/>
        <w:gridCol w:w="8038"/>
        <w:gridCol w:w="661"/>
      </w:tblGrid>
      <w:tr w:rsidR="003B5127" w14:paraId="7C77F8C9" w14:textId="77777777" w:rsidTr="005E23B7">
        <w:tc>
          <w:tcPr>
            <w:tcW w:w="353" w:type="pct"/>
          </w:tcPr>
          <w:p w14:paraId="63DE6FA9" w14:textId="77777777" w:rsidR="003B5127" w:rsidRDefault="003B5127" w:rsidP="005E23B7">
            <w:pPr>
              <w:pStyle w:val="Heading3"/>
              <w:rPr>
                <w:sz w:val="22"/>
                <w:szCs w:val="22"/>
                <w:lang w:val="en-GB"/>
              </w:rPr>
            </w:pPr>
          </w:p>
        </w:tc>
        <w:tc>
          <w:tcPr>
            <w:tcW w:w="4294" w:type="pct"/>
          </w:tcPr>
          <w:p w14:paraId="676E943D" w14:textId="4C75E19A" w:rsidR="003B5127" w:rsidRPr="00320F90" w:rsidRDefault="00DD302A" w:rsidP="005E23B7">
            <w:pPr>
              <w:pStyle w:val="Heading3"/>
              <w:rPr>
                <w:sz w:val="22"/>
                <w:szCs w:val="22"/>
                <w:lang w:val="en-GB"/>
              </w:rPr>
            </w:pPr>
            <m:oMathPara>
              <m:oMathParaPr>
                <m:jc m:val="center"/>
              </m:oMathParaPr>
              <m:oMath>
                <m:sSub>
                  <m:sSubPr>
                    <m:ctrlPr>
                      <w:rPr>
                        <w:rFonts w:ascii="Cambria Math" w:hAnsi="Cambria Math"/>
                        <w:i/>
                        <w:sz w:val="22"/>
                        <w:szCs w:val="22"/>
                        <w:lang w:val="en-GB"/>
                      </w:rPr>
                    </m:ctrlPr>
                  </m:sSubPr>
                  <m:e>
                    <m:r>
                      <w:rPr>
                        <w:rFonts w:ascii="Cambria Math" w:hAnsi="Cambria Math"/>
                        <w:sz w:val="22"/>
                        <w:szCs w:val="22"/>
                        <w:lang w:val="en-GB"/>
                      </w:rPr>
                      <m:t>E</m:t>
                    </m:r>
                  </m:e>
                  <m:sub>
                    <m:r>
                      <w:rPr>
                        <w:rFonts w:ascii="Cambria Math" w:hAnsi="Cambria Math"/>
                        <w:sz w:val="22"/>
                        <w:szCs w:val="22"/>
                        <w:lang w:val="en-GB"/>
                      </w:rPr>
                      <m:t>out</m:t>
                    </m:r>
                  </m:sub>
                </m:sSub>
                <m:r>
                  <w:rPr>
                    <w:rFonts w:ascii="Cambria Math" w:hAnsi="Cambria Math"/>
                    <w:sz w:val="22"/>
                    <w:szCs w:val="22"/>
                    <w:lang w:val="en-GB"/>
                  </w:rPr>
                  <m:t>=</m:t>
                </m:r>
                <m:sSup>
                  <m:sSupPr>
                    <m:ctrlPr>
                      <w:rPr>
                        <w:rFonts w:ascii="Cambria Math" w:hAnsi="Cambria Math"/>
                        <w:i/>
                        <w:sz w:val="22"/>
                        <w:szCs w:val="22"/>
                        <w:lang w:val="en-GB"/>
                      </w:rPr>
                    </m:ctrlPr>
                  </m:sSupPr>
                  <m:e>
                    <m:r>
                      <w:rPr>
                        <w:rFonts w:ascii="Cambria Math" w:hAnsi="Cambria Math"/>
                        <w:sz w:val="22"/>
                        <w:szCs w:val="22"/>
                        <w:lang w:val="en-GB"/>
                      </w:rPr>
                      <m:t>e</m:t>
                    </m:r>
                  </m:e>
                  <m:sup>
                    <m:r>
                      <w:rPr>
                        <w:rFonts w:ascii="Cambria Math" w:hAnsi="Cambria Math"/>
                        <w:sz w:val="22"/>
                        <w:szCs w:val="22"/>
                        <w:lang w:val="en-GB"/>
                      </w:rPr>
                      <m:t>-</m:t>
                    </m:r>
                    <m:sSup>
                      <m:sSupPr>
                        <m:ctrlPr>
                          <w:rPr>
                            <w:rFonts w:ascii="Cambria Math" w:hAnsi="Cambria Math"/>
                            <w:i/>
                            <w:sz w:val="22"/>
                            <w:szCs w:val="22"/>
                            <w:lang w:val="en-GB"/>
                          </w:rPr>
                        </m:ctrlPr>
                      </m:sSupPr>
                      <m:e>
                        <m:d>
                          <m:dPr>
                            <m:ctrlPr>
                              <w:rPr>
                                <w:rFonts w:ascii="Cambria Math" w:hAnsi="Cambria Math"/>
                                <w:i/>
                                <w:sz w:val="22"/>
                                <w:szCs w:val="22"/>
                                <w:lang w:val="en-GB"/>
                              </w:rPr>
                            </m:ctrlPr>
                          </m:dPr>
                          <m:e>
                            <m:r>
                              <w:rPr>
                                <w:rFonts w:ascii="Cambria Math" w:hAnsi="Cambria Math"/>
                                <w:sz w:val="22"/>
                                <w:szCs w:val="22"/>
                                <w:lang w:val="en-GB"/>
                              </w:rPr>
                              <m:t>r/45</m:t>
                            </m:r>
                            <m:sSub>
                              <m:sSubPr>
                                <m:ctrlPr>
                                  <w:rPr>
                                    <w:rFonts w:ascii="Cambria Math" w:hAnsi="Cambria Math"/>
                                    <w:i/>
                                    <w:sz w:val="22"/>
                                    <w:szCs w:val="22"/>
                                    <w:lang w:val="en-GB"/>
                                  </w:rPr>
                                </m:ctrlPr>
                              </m:sSubPr>
                              <m:e>
                                <m:r>
                                  <w:rPr>
                                    <w:rFonts w:ascii="Cambria Math" w:hAnsi="Cambria Math"/>
                                    <w:sz w:val="22"/>
                                    <w:szCs w:val="22"/>
                                    <w:lang w:val="en-GB"/>
                                  </w:rPr>
                                  <m:t>λ</m:t>
                                </m:r>
                              </m:e>
                              <m:sub>
                                <m:r>
                                  <w:rPr>
                                    <w:rFonts w:ascii="Cambria Math" w:hAnsi="Cambria Math"/>
                                    <w:sz w:val="22"/>
                                    <w:szCs w:val="22"/>
                                    <w:lang w:val="en-GB"/>
                                  </w:rPr>
                                  <m:t>0</m:t>
                                </m:r>
                              </m:sub>
                            </m:sSub>
                          </m:e>
                        </m:d>
                      </m:e>
                      <m:sup>
                        <m:r>
                          <w:rPr>
                            <w:rFonts w:ascii="Cambria Math" w:hAnsi="Cambria Math"/>
                            <w:sz w:val="22"/>
                            <w:szCs w:val="22"/>
                            <w:lang w:val="en-GB"/>
                          </w:rPr>
                          <m:t>2</m:t>
                        </m:r>
                      </m:sup>
                    </m:sSup>
                  </m:sup>
                </m:sSup>
                <m:d>
                  <m:dPr>
                    <m:begChr m:val="["/>
                    <m:endChr m:val="]"/>
                    <m:ctrlPr>
                      <w:rPr>
                        <w:rFonts w:ascii="Cambria Math" w:hAnsi="Cambria Math"/>
                        <w:i/>
                        <w:sz w:val="22"/>
                        <w:szCs w:val="22"/>
                        <w:lang w:val="en-GB"/>
                      </w:rPr>
                    </m:ctrlPr>
                  </m:dPr>
                  <m:e>
                    <m:r>
                      <w:rPr>
                        <w:rFonts w:ascii="Cambria Math" w:hAnsi="Cambria Math"/>
                        <w:sz w:val="22"/>
                        <w:szCs w:val="22"/>
                        <w:lang w:val="en-GB"/>
                      </w:rPr>
                      <m:t xml:space="preserve"> </m:t>
                    </m:r>
                    <m:sSup>
                      <m:sSupPr>
                        <m:ctrlPr>
                          <w:rPr>
                            <w:rFonts w:ascii="Cambria Math" w:hAnsi="Cambria Math"/>
                            <w:i/>
                            <w:sz w:val="22"/>
                            <w:szCs w:val="22"/>
                            <w:lang w:val="en-GB"/>
                          </w:rPr>
                        </m:ctrlPr>
                      </m:sSupPr>
                      <m:e>
                        <m:r>
                          <w:rPr>
                            <w:rFonts w:ascii="Cambria Math" w:hAnsi="Cambria Math"/>
                            <w:sz w:val="22"/>
                            <w:szCs w:val="22"/>
                            <w:lang w:val="en-GB"/>
                          </w:rPr>
                          <m:t>e</m:t>
                        </m:r>
                      </m:e>
                      <m:sup>
                        <m:r>
                          <w:rPr>
                            <w:rFonts w:ascii="Cambria Math" w:hAnsi="Cambria Math"/>
                            <w:sz w:val="22"/>
                            <w:szCs w:val="22"/>
                            <w:lang w:val="en-GB"/>
                          </w:rPr>
                          <m:t>i</m:t>
                        </m:r>
                        <m:sSub>
                          <m:sSubPr>
                            <m:ctrlPr>
                              <w:rPr>
                                <w:rFonts w:ascii="Cambria Math" w:hAnsi="Cambria Math"/>
                                <w:i/>
                                <w:sz w:val="22"/>
                                <w:szCs w:val="22"/>
                                <w:lang w:val="en-GB"/>
                              </w:rPr>
                            </m:ctrlPr>
                          </m:sSubPr>
                          <m:e>
                            <m:r>
                              <w:rPr>
                                <w:rFonts w:ascii="Cambria Math" w:hAnsi="Cambria Math"/>
                                <w:sz w:val="22"/>
                                <w:szCs w:val="22"/>
                                <w:lang w:val="en-GB"/>
                              </w:rPr>
                              <m:t>k</m:t>
                            </m:r>
                          </m:e>
                          <m:sub>
                            <m:r>
                              <w:rPr>
                                <w:rFonts w:ascii="Cambria Math" w:hAnsi="Cambria Math"/>
                                <w:sz w:val="22"/>
                                <w:szCs w:val="22"/>
                                <w:lang w:val="en-GB"/>
                              </w:rPr>
                              <m:t>0</m:t>
                            </m:r>
                          </m:sub>
                        </m:sSub>
                        <m:r>
                          <w:rPr>
                            <w:rFonts w:ascii="Cambria Math" w:hAnsi="Cambria Math"/>
                            <w:sz w:val="22"/>
                            <w:szCs w:val="22"/>
                            <w:lang w:val="en-GB"/>
                          </w:rPr>
                          <m:t xml:space="preserve">[x </m:t>
                        </m:r>
                        <m:r>
                          <m:rPr>
                            <m:sty m:val="p"/>
                          </m:rPr>
                          <w:rPr>
                            <w:rFonts w:ascii="Cambria Math" w:hAnsi="Cambria Math"/>
                            <w:sz w:val="22"/>
                            <w:szCs w:val="22"/>
                            <w:lang w:val="en-GB"/>
                          </w:rPr>
                          <m:t>sin</m:t>
                        </m:r>
                        <m:d>
                          <m:dPr>
                            <m:ctrlPr>
                              <w:rPr>
                                <w:rFonts w:ascii="Cambria Math" w:hAnsi="Cambria Math"/>
                                <w:i/>
                                <w:sz w:val="22"/>
                                <w:szCs w:val="22"/>
                                <w:lang w:val="en-GB"/>
                              </w:rPr>
                            </m:ctrlPr>
                          </m:dPr>
                          <m:e>
                            <m:sSup>
                              <m:sSupPr>
                                <m:ctrlPr>
                                  <w:rPr>
                                    <w:rFonts w:ascii="Cambria Math" w:hAnsi="Cambria Math"/>
                                    <w:i/>
                                    <w:sz w:val="22"/>
                                    <w:szCs w:val="22"/>
                                    <w:lang w:val="en-GB"/>
                                  </w:rPr>
                                </m:ctrlPr>
                              </m:sSupPr>
                              <m:e>
                                <m:r>
                                  <w:rPr>
                                    <w:rFonts w:ascii="Cambria Math" w:hAnsi="Cambria Math"/>
                                    <w:sz w:val="22"/>
                                    <w:szCs w:val="22"/>
                                    <w:lang w:val="en-GB"/>
                                  </w:rPr>
                                  <m:t>2</m:t>
                                </m:r>
                              </m:e>
                              <m:sup>
                                <m:r>
                                  <w:rPr>
                                    <w:rFonts w:ascii="Cambria Math" w:hAnsi="Cambria Math"/>
                                    <w:sz w:val="22"/>
                                    <w:szCs w:val="22"/>
                                    <w:lang w:val="en-GB"/>
                                  </w:rPr>
                                  <m:t>∘</m:t>
                                </m:r>
                              </m:sup>
                            </m:sSup>
                          </m:e>
                        </m:d>
                        <m:r>
                          <w:rPr>
                            <w:rFonts w:ascii="Cambria Math" w:hAnsi="Cambria Math"/>
                            <w:sz w:val="22"/>
                            <w:szCs w:val="22"/>
                            <w:lang w:val="en-GB"/>
                          </w:rPr>
                          <m:t xml:space="preserve">+y </m:t>
                        </m:r>
                        <m:r>
                          <m:rPr>
                            <m:sty m:val="p"/>
                          </m:rPr>
                          <w:rPr>
                            <w:rFonts w:ascii="Cambria Math" w:hAnsi="Cambria Math"/>
                            <w:sz w:val="22"/>
                            <w:szCs w:val="22"/>
                            <w:lang w:val="en-GB"/>
                          </w:rPr>
                          <m:t>sin</m:t>
                        </m:r>
                        <m:d>
                          <m:dPr>
                            <m:ctrlPr>
                              <w:rPr>
                                <w:rFonts w:ascii="Cambria Math" w:hAnsi="Cambria Math"/>
                                <w:i/>
                                <w:sz w:val="22"/>
                                <w:szCs w:val="22"/>
                                <w:lang w:val="en-GB"/>
                              </w:rPr>
                            </m:ctrlPr>
                          </m:dPr>
                          <m:e>
                            <m:sSup>
                              <m:sSupPr>
                                <m:ctrlPr>
                                  <w:rPr>
                                    <w:rFonts w:ascii="Cambria Math" w:hAnsi="Cambria Math"/>
                                    <w:i/>
                                    <w:sz w:val="22"/>
                                    <w:szCs w:val="22"/>
                                    <w:lang w:val="en-GB"/>
                                  </w:rPr>
                                </m:ctrlPr>
                              </m:sSupPr>
                              <m:e>
                                <m:r>
                                  <w:rPr>
                                    <w:rFonts w:ascii="Cambria Math" w:hAnsi="Cambria Math"/>
                                    <w:sz w:val="22"/>
                                    <w:szCs w:val="22"/>
                                    <w:lang w:val="en-GB"/>
                                  </w:rPr>
                                  <m:t>0</m:t>
                                </m:r>
                              </m:e>
                              <m:sup>
                                <m:r>
                                  <w:rPr>
                                    <w:rFonts w:ascii="Cambria Math" w:hAnsi="Cambria Math"/>
                                    <w:sz w:val="22"/>
                                    <w:szCs w:val="22"/>
                                    <w:lang w:val="en-GB"/>
                                  </w:rPr>
                                  <m:t>∘</m:t>
                                </m:r>
                              </m:sup>
                            </m:sSup>
                          </m:e>
                        </m:d>
                        <m:r>
                          <w:rPr>
                            <w:rFonts w:ascii="Cambria Math" w:hAnsi="Cambria Math"/>
                            <w:sz w:val="22"/>
                            <w:szCs w:val="22"/>
                            <w:lang w:val="en-GB"/>
                          </w:rPr>
                          <m:t>]</m:t>
                        </m:r>
                      </m:sup>
                    </m:sSup>
                    <m:r>
                      <w:rPr>
                        <w:rFonts w:ascii="Cambria Math" w:hAnsi="Cambria Math"/>
                        <w:sz w:val="22"/>
                        <w:szCs w:val="22"/>
                        <w:lang w:val="en-GB"/>
                      </w:rPr>
                      <m:t>+</m:t>
                    </m:r>
                    <m:sSup>
                      <m:sSupPr>
                        <m:ctrlPr>
                          <w:rPr>
                            <w:rFonts w:ascii="Cambria Math" w:hAnsi="Cambria Math"/>
                            <w:i/>
                            <w:sz w:val="22"/>
                            <w:szCs w:val="22"/>
                            <w:lang w:val="en-GB"/>
                          </w:rPr>
                        </m:ctrlPr>
                      </m:sSupPr>
                      <m:e>
                        <m:rad>
                          <m:radPr>
                            <m:degHide m:val="1"/>
                            <m:ctrlPr>
                              <w:rPr>
                                <w:rFonts w:ascii="Cambria Math" w:hAnsi="Cambria Math"/>
                                <w:i/>
                                <w:sz w:val="22"/>
                                <w:szCs w:val="22"/>
                                <w:lang w:val="en-GB"/>
                              </w:rPr>
                            </m:ctrlPr>
                          </m:radPr>
                          <m:deg/>
                          <m:e>
                            <m:r>
                              <w:rPr>
                                <w:rFonts w:ascii="Cambria Math" w:hAnsi="Cambria Math"/>
                                <w:sz w:val="22"/>
                                <w:szCs w:val="22"/>
                                <w:lang w:val="en-GB"/>
                              </w:rPr>
                              <m:t>0.75</m:t>
                            </m:r>
                          </m:e>
                        </m:rad>
                        <m:r>
                          <w:rPr>
                            <w:rFonts w:ascii="Cambria Math" w:hAnsi="Cambria Math"/>
                            <w:sz w:val="22"/>
                            <w:szCs w:val="22"/>
                            <w:lang w:val="en-GB"/>
                          </w:rPr>
                          <m:t xml:space="preserve"> e</m:t>
                        </m:r>
                      </m:e>
                      <m:sup>
                        <m:r>
                          <w:rPr>
                            <w:rFonts w:ascii="Cambria Math" w:hAnsi="Cambria Math"/>
                            <w:sz w:val="22"/>
                            <w:szCs w:val="22"/>
                            <w:lang w:val="en-GB"/>
                          </w:rPr>
                          <m:t>i</m:t>
                        </m:r>
                        <m:sSub>
                          <m:sSubPr>
                            <m:ctrlPr>
                              <w:rPr>
                                <w:rFonts w:ascii="Cambria Math" w:hAnsi="Cambria Math"/>
                                <w:i/>
                                <w:sz w:val="22"/>
                                <w:szCs w:val="22"/>
                                <w:lang w:val="en-GB"/>
                              </w:rPr>
                            </m:ctrlPr>
                          </m:sSubPr>
                          <m:e>
                            <m:r>
                              <w:rPr>
                                <w:rFonts w:ascii="Cambria Math" w:hAnsi="Cambria Math"/>
                                <w:sz w:val="22"/>
                                <w:szCs w:val="22"/>
                                <w:lang w:val="en-GB"/>
                              </w:rPr>
                              <m:t>k</m:t>
                            </m:r>
                          </m:e>
                          <m:sub>
                            <m:r>
                              <w:rPr>
                                <w:rFonts w:ascii="Cambria Math" w:hAnsi="Cambria Math"/>
                                <w:sz w:val="22"/>
                                <w:szCs w:val="22"/>
                                <w:lang w:val="en-GB"/>
                              </w:rPr>
                              <m:t>0</m:t>
                            </m:r>
                          </m:sub>
                        </m:sSub>
                        <m:d>
                          <m:dPr>
                            <m:begChr m:val="["/>
                            <m:endChr m:val="]"/>
                            <m:ctrlPr>
                              <w:rPr>
                                <w:rFonts w:ascii="Cambria Math" w:hAnsi="Cambria Math"/>
                                <w:i/>
                                <w:sz w:val="22"/>
                                <w:szCs w:val="22"/>
                                <w:lang w:val="en-GB"/>
                              </w:rPr>
                            </m:ctrlPr>
                          </m:dPr>
                          <m:e>
                            <m:r>
                              <w:rPr>
                                <w:rFonts w:ascii="Cambria Math" w:hAnsi="Cambria Math"/>
                                <w:sz w:val="22"/>
                                <w:szCs w:val="22"/>
                                <w:lang w:val="en-GB"/>
                              </w:rPr>
                              <m:t xml:space="preserve">x </m:t>
                            </m:r>
                            <m:r>
                              <m:rPr>
                                <m:sty m:val="p"/>
                              </m:rPr>
                              <w:rPr>
                                <w:rFonts w:ascii="Cambria Math" w:hAnsi="Cambria Math"/>
                                <w:sz w:val="22"/>
                                <w:szCs w:val="22"/>
                                <w:lang w:val="en-GB"/>
                              </w:rPr>
                              <m:t>sin</m:t>
                            </m:r>
                            <m:d>
                              <m:dPr>
                                <m:ctrlPr>
                                  <w:rPr>
                                    <w:rFonts w:ascii="Cambria Math" w:hAnsi="Cambria Math"/>
                                    <w:i/>
                                    <w:sz w:val="22"/>
                                    <w:szCs w:val="22"/>
                                    <w:lang w:val="en-GB"/>
                                  </w:rPr>
                                </m:ctrlPr>
                              </m:dPr>
                              <m:e>
                                <m:sSup>
                                  <m:sSupPr>
                                    <m:ctrlPr>
                                      <w:rPr>
                                        <w:rFonts w:ascii="Cambria Math" w:hAnsi="Cambria Math"/>
                                        <w:i/>
                                        <w:sz w:val="22"/>
                                        <w:szCs w:val="22"/>
                                        <w:lang w:val="en-GB"/>
                                      </w:rPr>
                                    </m:ctrlPr>
                                  </m:sSupPr>
                                  <m:e>
                                    <m:r>
                                      <w:rPr>
                                        <w:rFonts w:ascii="Cambria Math" w:hAnsi="Cambria Math"/>
                                        <w:sz w:val="22"/>
                                        <w:szCs w:val="22"/>
                                        <w:lang w:val="en-GB"/>
                                      </w:rPr>
                                      <m:t>-1</m:t>
                                    </m:r>
                                  </m:e>
                                  <m:sup>
                                    <m:r>
                                      <w:rPr>
                                        <w:rFonts w:ascii="Cambria Math" w:hAnsi="Cambria Math"/>
                                        <w:sz w:val="22"/>
                                        <w:szCs w:val="22"/>
                                        <w:lang w:val="en-GB"/>
                                      </w:rPr>
                                      <m:t>∘</m:t>
                                    </m:r>
                                  </m:sup>
                                </m:sSup>
                              </m:e>
                            </m:d>
                            <m:r>
                              <w:rPr>
                                <w:rFonts w:ascii="Cambria Math" w:hAnsi="Cambria Math"/>
                                <w:sz w:val="22"/>
                                <w:szCs w:val="22"/>
                                <w:lang w:val="en-GB"/>
                              </w:rPr>
                              <m:t xml:space="preserve">+y </m:t>
                            </m:r>
                            <m:r>
                              <m:rPr>
                                <m:sty m:val="p"/>
                              </m:rPr>
                              <w:rPr>
                                <w:rFonts w:ascii="Cambria Math" w:hAnsi="Cambria Math"/>
                                <w:sz w:val="22"/>
                                <w:szCs w:val="22"/>
                                <w:lang w:val="en-GB"/>
                              </w:rPr>
                              <m:t>sin</m:t>
                            </m:r>
                            <m:d>
                              <m:dPr>
                                <m:ctrlPr>
                                  <w:rPr>
                                    <w:rFonts w:ascii="Cambria Math" w:hAnsi="Cambria Math"/>
                                    <w:i/>
                                    <w:sz w:val="22"/>
                                    <w:szCs w:val="22"/>
                                    <w:lang w:val="en-GB"/>
                                  </w:rPr>
                                </m:ctrlPr>
                              </m:dPr>
                              <m:e>
                                <m:sSup>
                                  <m:sSupPr>
                                    <m:ctrlPr>
                                      <w:rPr>
                                        <w:rFonts w:ascii="Cambria Math" w:hAnsi="Cambria Math"/>
                                        <w:i/>
                                        <w:sz w:val="22"/>
                                        <w:szCs w:val="22"/>
                                        <w:lang w:val="en-GB"/>
                                      </w:rPr>
                                    </m:ctrlPr>
                                  </m:sSupPr>
                                  <m:e>
                                    <m:r>
                                      <w:rPr>
                                        <w:rFonts w:ascii="Cambria Math" w:hAnsi="Cambria Math"/>
                                        <w:sz w:val="22"/>
                                        <w:szCs w:val="22"/>
                                        <w:lang w:val="en-GB"/>
                                      </w:rPr>
                                      <m:t>3</m:t>
                                    </m:r>
                                  </m:e>
                                  <m:sup>
                                    <m:r>
                                      <w:rPr>
                                        <w:rFonts w:ascii="Cambria Math" w:hAnsi="Cambria Math"/>
                                        <w:sz w:val="22"/>
                                        <w:szCs w:val="22"/>
                                        <w:lang w:val="en-GB"/>
                                      </w:rPr>
                                      <m:t>∘</m:t>
                                    </m:r>
                                  </m:sup>
                                </m:sSup>
                              </m:e>
                            </m:d>
                          </m:e>
                        </m:d>
                      </m:sup>
                    </m:sSup>
                    <m:r>
                      <w:rPr>
                        <w:rFonts w:ascii="Cambria Math" w:hAnsi="Cambria Math"/>
                        <w:sz w:val="22"/>
                        <w:szCs w:val="22"/>
                        <w:lang w:val="en-GB"/>
                      </w:rPr>
                      <m:t>+</m:t>
                    </m:r>
                    <m:rad>
                      <m:radPr>
                        <m:degHide m:val="1"/>
                        <m:ctrlPr>
                          <w:rPr>
                            <w:rFonts w:ascii="Cambria Math" w:hAnsi="Cambria Math"/>
                            <w:i/>
                            <w:sz w:val="22"/>
                            <w:szCs w:val="22"/>
                            <w:lang w:val="en-GB"/>
                          </w:rPr>
                        </m:ctrlPr>
                      </m:radPr>
                      <m:deg/>
                      <m:e>
                        <m:r>
                          <w:rPr>
                            <w:rFonts w:ascii="Cambria Math" w:hAnsi="Cambria Math"/>
                            <w:sz w:val="22"/>
                            <w:szCs w:val="22"/>
                            <w:lang w:val="en-GB"/>
                          </w:rPr>
                          <m:t>0.5</m:t>
                        </m:r>
                      </m:e>
                    </m:rad>
                    <m:r>
                      <w:rPr>
                        <w:rFonts w:ascii="Cambria Math" w:hAnsi="Cambria Math"/>
                        <w:sz w:val="22"/>
                        <w:szCs w:val="22"/>
                        <w:lang w:val="en-GB"/>
                      </w:rPr>
                      <m:t xml:space="preserve"> </m:t>
                    </m:r>
                    <m:sSup>
                      <m:sSupPr>
                        <m:ctrlPr>
                          <w:rPr>
                            <w:rFonts w:ascii="Cambria Math" w:hAnsi="Cambria Math"/>
                            <w:i/>
                            <w:sz w:val="22"/>
                            <w:szCs w:val="22"/>
                            <w:lang w:val="en-GB"/>
                          </w:rPr>
                        </m:ctrlPr>
                      </m:sSupPr>
                      <m:e>
                        <m:r>
                          <w:rPr>
                            <w:rFonts w:ascii="Cambria Math" w:hAnsi="Cambria Math"/>
                            <w:sz w:val="22"/>
                            <w:szCs w:val="22"/>
                            <w:lang w:val="en-GB"/>
                          </w:rPr>
                          <m:t>e</m:t>
                        </m:r>
                      </m:e>
                      <m:sup>
                        <m:r>
                          <w:rPr>
                            <w:rFonts w:ascii="Cambria Math" w:hAnsi="Cambria Math"/>
                            <w:sz w:val="22"/>
                            <w:szCs w:val="22"/>
                            <w:lang w:val="en-GB"/>
                          </w:rPr>
                          <m:t>i</m:t>
                        </m:r>
                        <m:sSub>
                          <m:sSubPr>
                            <m:ctrlPr>
                              <w:rPr>
                                <w:rFonts w:ascii="Cambria Math" w:hAnsi="Cambria Math"/>
                                <w:i/>
                                <w:sz w:val="22"/>
                                <w:szCs w:val="22"/>
                                <w:lang w:val="en-GB"/>
                              </w:rPr>
                            </m:ctrlPr>
                          </m:sSubPr>
                          <m:e>
                            <m:r>
                              <w:rPr>
                                <w:rFonts w:ascii="Cambria Math" w:hAnsi="Cambria Math"/>
                                <w:sz w:val="22"/>
                                <w:szCs w:val="22"/>
                                <w:lang w:val="en-GB"/>
                              </w:rPr>
                              <m:t>k</m:t>
                            </m:r>
                          </m:e>
                          <m:sub>
                            <m:r>
                              <w:rPr>
                                <w:rFonts w:ascii="Cambria Math" w:hAnsi="Cambria Math"/>
                                <w:sz w:val="22"/>
                                <w:szCs w:val="22"/>
                                <w:lang w:val="en-GB"/>
                              </w:rPr>
                              <m:t>0</m:t>
                            </m:r>
                          </m:sub>
                        </m:sSub>
                        <m:d>
                          <m:dPr>
                            <m:begChr m:val="["/>
                            <m:endChr m:val="]"/>
                            <m:ctrlPr>
                              <w:rPr>
                                <w:rFonts w:ascii="Cambria Math" w:hAnsi="Cambria Math"/>
                                <w:i/>
                                <w:sz w:val="22"/>
                                <w:szCs w:val="22"/>
                                <w:lang w:val="en-GB"/>
                              </w:rPr>
                            </m:ctrlPr>
                          </m:dPr>
                          <m:e>
                            <m:r>
                              <w:rPr>
                                <w:rFonts w:ascii="Cambria Math" w:hAnsi="Cambria Math"/>
                                <w:sz w:val="22"/>
                                <w:szCs w:val="22"/>
                                <w:lang w:val="en-GB"/>
                              </w:rPr>
                              <m:t xml:space="preserve">x </m:t>
                            </m:r>
                            <m:r>
                              <m:rPr>
                                <m:sty m:val="p"/>
                              </m:rPr>
                              <w:rPr>
                                <w:rFonts w:ascii="Cambria Math" w:hAnsi="Cambria Math"/>
                                <w:sz w:val="22"/>
                                <w:szCs w:val="22"/>
                                <w:lang w:val="en-GB"/>
                              </w:rPr>
                              <m:t>sin</m:t>
                            </m:r>
                            <m:d>
                              <m:dPr>
                                <m:ctrlPr>
                                  <w:rPr>
                                    <w:rFonts w:ascii="Cambria Math" w:hAnsi="Cambria Math"/>
                                    <w:i/>
                                    <w:sz w:val="22"/>
                                    <w:szCs w:val="22"/>
                                    <w:lang w:val="en-GB"/>
                                  </w:rPr>
                                </m:ctrlPr>
                              </m:dPr>
                              <m:e>
                                <m:sSup>
                                  <m:sSupPr>
                                    <m:ctrlPr>
                                      <w:rPr>
                                        <w:rFonts w:ascii="Cambria Math" w:hAnsi="Cambria Math"/>
                                        <w:i/>
                                        <w:sz w:val="22"/>
                                        <w:szCs w:val="22"/>
                                        <w:lang w:val="en-GB"/>
                                      </w:rPr>
                                    </m:ctrlPr>
                                  </m:sSupPr>
                                  <m:e>
                                    <m:r>
                                      <w:rPr>
                                        <w:rFonts w:ascii="Cambria Math" w:hAnsi="Cambria Math"/>
                                        <w:sz w:val="22"/>
                                        <w:szCs w:val="22"/>
                                        <w:lang w:val="en-GB"/>
                                      </w:rPr>
                                      <m:t>-2</m:t>
                                    </m:r>
                                  </m:e>
                                  <m:sup>
                                    <m:r>
                                      <w:rPr>
                                        <w:rFonts w:ascii="Cambria Math" w:hAnsi="Cambria Math"/>
                                        <w:sz w:val="22"/>
                                        <w:szCs w:val="22"/>
                                        <w:lang w:val="en-GB"/>
                                      </w:rPr>
                                      <m:t>∘</m:t>
                                    </m:r>
                                  </m:sup>
                                </m:sSup>
                              </m:e>
                            </m:d>
                            <m:r>
                              <w:rPr>
                                <w:rFonts w:ascii="Cambria Math" w:hAnsi="Cambria Math"/>
                                <w:sz w:val="22"/>
                                <w:szCs w:val="22"/>
                                <w:lang w:val="en-GB"/>
                              </w:rPr>
                              <m:t xml:space="preserve">+y </m:t>
                            </m:r>
                            <m:r>
                              <m:rPr>
                                <m:sty m:val="p"/>
                              </m:rPr>
                              <w:rPr>
                                <w:rFonts w:ascii="Cambria Math" w:hAnsi="Cambria Math"/>
                                <w:sz w:val="22"/>
                                <w:szCs w:val="22"/>
                                <w:lang w:val="en-GB"/>
                              </w:rPr>
                              <m:t>sin</m:t>
                            </m:r>
                            <m:d>
                              <m:dPr>
                                <m:ctrlPr>
                                  <w:rPr>
                                    <w:rFonts w:ascii="Cambria Math" w:hAnsi="Cambria Math"/>
                                    <w:i/>
                                    <w:sz w:val="22"/>
                                    <w:szCs w:val="22"/>
                                    <w:lang w:val="en-GB"/>
                                  </w:rPr>
                                </m:ctrlPr>
                              </m:dPr>
                              <m:e>
                                <m:r>
                                  <w:rPr>
                                    <w:rFonts w:ascii="Cambria Math" w:hAnsi="Cambria Math"/>
                                    <w:sz w:val="22"/>
                                    <w:szCs w:val="22"/>
                                    <w:lang w:val="en-GB"/>
                                  </w:rPr>
                                  <m:t>-</m:t>
                                </m:r>
                                <m:sSup>
                                  <m:sSupPr>
                                    <m:ctrlPr>
                                      <w:rPr>
                                        <w:rFonts w:ascii="Cambria Math" w:hAnsi="Cambria Math"/>
                                        <w:i/>
                                        <w:sz w:val="22"/>
                                        <w:szCs w:val="22"/>
                                        <w:lang w:val="en-GB"/>
                                      </w:rPr>
                                    </m:ctrlPr>
                                  </m:sSupPr>
                                  <m:e>
                                    <m:r>
                                      <w:rPr>
                                        <w:rFonts w:ascii="Cambria Math" w:hAnsi="Cambria Math"/>
                                        <w:sz w:val="22"/>
                                        <w:szCs w:val="22"/>
                                        <w:lang w:val="en-GB"/>
                                      </w:rPr>
                                      <m:t>2</m:t>
                                    </m:r>
                                  </m:e>
                                  <m:sup>
                                    <m:r>
                                      <w:rPr>
                                        <w:rFonts w:ascii="Cambria Math" w:hAnsi="Cambria Math"/>
                                        <w:sz w:val="22"/>
                                        <w:szCs w:val="22"/>
                                        <w:lang w:val="en-GB"/>
                                      </w:rPr>
                                      <m:t>∘</m:t>
                                    </m:r>
                                  </m:sup>
                                </m:sSup>
                              </m:e>
                            </m:d>
                          </m:e>
                        </m:d>
                      </m:sup>
                    </m:sSup>
                  </m:e>
                </m:d>
                <m:r>
                  <w:rPr>
                    <w:rFonts w:ascii="Cambria Math" w:hAnsi="Cambria Math"/>
                    <w:sz w:val="22"/>
                    <w:szCs w:val="22"/>
                    <w:lang w:val="en-GB"/>
                  </w:rPr>
                  <m:t>.</m:t>
                </m:r>
              </m:oMath>
            </m:oMathPara>
          </w:p>
        </w:tc>
        <w:tc>
          <w:tcPr>
            <w:tcW w:w="353" w:type="pct"/>
          </w:tcPr>
          <w:p w14:paraId="1839CCF1" w14:textId="0538C6E8" w:rsidR="003B5127" w:rsidRPr="00320F90" w:rsidRDefault="003B5127" w:rsidP="0028530B">
            <w:pPr>
              <w:pStyle w:val="Caption"/>
            </w:pPr>
            <w:r w:rsidRPr="00320F90">
              <w:t>(</w:t>
            </w:r>
            <w:r>
              <w:t>S</w:t>
            </w:r>
            <w:r w:rsidR="003A5086">
              <w:fldChar w:fldCharType="begin"/>
            </w:r>
            <w:r w:rsidR="003A5086">
              <w:instrText xml:space="preserve"> SEQ Equation \* ARABIC </w:instrText>
            </w:r>
            <w:r w:rsidR="003A5086">
              <w:fldChar w:fldCharType="separate"/>
            </w:r>
            <w:r w:rsidR="007D0B16">
              <w:rPr>
                <w:noProof/>
              </w:rPr>
              <w:t>2</w:t>
            </w:r>
            <w:r w:rsidR="003A5086">
              <w:rPr>
                <w:noProof/>
              </w:rPr>
              <w:fldChar w:fldCharType="end"/>
            </w:r>
            <w:r w:rsidRPr="00320F90">
              <w:t>)</w:t>
            </w:r>
          </w:p>
        </w:tc>
      </w:tr>
    </w:tbl>
    <w:p w14:paraId="1166F803" w14:textId="07507748" w:rsidR="003B5127" w:rsidRDefault="00B75774" w:rsidP="00D603AA">
      <w:pPr>
        <w:jc w:val="both"/>
        <w:rPr>
          <w:lang w:val="en-GB"/>
        </w:rPr>
      </w:pPr>
      <w:r>
        <w:rPr>
          <w:lang w:val="en-GB"/>
        </w:rPr>
        <w:lastRenderedPageBreak/>
        <w:t>The amplitude of the</w:t>
      </w:r>
      <w:r w:rsidR="003B5127">
        <w:rPr>
          <w:lang w:val="en-GB"/>
        </w:rPr>
        <w:t xml:space="preserve"> desired </w:t>
      </w:r>
      <w:r w:rsidR="008D70C2">
        <w:rPr>
          <w:lang w:val="en-GB"/>
        </w:rPr>
        <w:t xml:space="preserve">output </w:t>
      </w:r>
      <w:r w:rsidR="003B5127">
        <w:rPr>
          <w:lang w:val="en-GB"/>
        </w:rPr>
        <w:t xml:space="preserve">field is shown in </w:t>
      </w:r>
      <w:r w:rsidR="003B5127">
        <w:rPr>
          <w:lang w:val="en-GB"/>
        </w:rPr>
        <w:fldChar w:fldCharType="begin"/>
      </w:r>
      <w:r w:rsidR="003B5127">
        <w:rPr>
          <w:lang w:val="en-GB"/>
        </w:rPr>
        <w:instrText xml:space="preserve"> REF _Ref59009853 \h </w:instrText>
      </w:r>
      <w:r w:rsidR="003B5127">
        <w:rPr>
          <w:lang w:val="en-GB"/>
        </w:rPr>
      </w:r>
      <w:r w:rsidR="003B5127">
        <w:rPr>
          <w:lang w:val="en-GB"/>
        </w:rPr>
        <w:fldChar w:fldCharType="separate"/>
      </w:r>
      <w:r w:rsidR="00462032">
        <w:t>Figure S</w:t>
      </w:r>
      <w:r w:rsidR="00462032">
        <w:rPr>
          <w:noProof/>
        </w:rPr>
        <w:t>8</w:t>
      </w:r>
      <w:r w:rsidR="003B5127">
        <w:rPr>
          <w:lang w:val="en-GB"/>
        </w:rPr>
        <w:fldChar w:fldCharType="end"/>
      </w:r>
      <w:r w:rsidR="003B5127">
        <w:rPr>
          <w:lang w:val="en-GB"/>
        </w:rPr>
        <w:t>(a) and</w:t>
      </w:r>
      <w:r>
        <w:rPr>
          <w:lang w:val="en-GB"/>
        </w:rPr>
        <w:t xml:space="preserve"> the phase in</w:t>
      </w:r>
      <w:r w:rsidR="003B5127">
        <w:rPr>
          <w:lang w:val="en-GB"/>
        </w:rPr>
        <w:t xml:space="preserve"> </w:t>
      </w:r>
      <w:r w:rsidR="003B5127">
        <w:rPr>
          <w:lang w:val="en-GB"/>
        </w:rPr>
        <w:fldChar w:fldCharType="begin"/>
      </w:r>
      <w:r w:rsidR="003B5127">
        <w:rPr>
          <w:lang w:val="en-GB"/>
        </w:rPr>
        <w:instrText xml:space="preserve"> REF _Ref59009853 \h </w:instrText>
      </w:r>
      <w:r w:rsidR="003B5127">
        <w:rPr>
          <w:lang w:val="en-GB"/>
        </w:rPr>
      </w:r>
      <w:r w:rsidR="003B5127">
        <w:rPr>
          <w:lang w:val="en-GB"/>
        </w:rPr>
        <w:fldChar w:fldCharType="separate"/>
      </w:r>
      <w:r w:rsidR="00462032">
        <w:t>Figure S</w:t>
      </w:r>
      <w:r w:rsidR="00462032">
        <w:rPr>
          <w:noProof/>
        </w:rPr>
        <w:t>8</w:t>
      </w:r>
      <w:r w:rsidR="003B5127">
        <w:rPr>
          <w:lang w:val="en-GB"/>
        </w:rPr>
        <w:fldChar w:fldCharType="end"/>
      </w:r>
      <w:r w:rsidR="003B5127">
        <w:rPr>
          <w:lang w:val="en-GB"/>
        </w:rPr>
        <w:t>(b).</w:t>
      </w:r>
      <w:r w:rsidR="00D603AA">
        <w:rPr>
          <w:lang w:val="en-GB"/>
        </w:rPr>
        <w:t xml:space="preserve"> The transmission phase profiles of </w:t>
      </w:r>
      <w:r w:rsidR="008D70C2">
        <w:rPr>
          <w:lang w:val="en-GB"/>
        </w:rPr>
        <w:t>the</w:t>
      </w:r>
      <w:r w:rsidR="00D603AA">
        <w:rPr>
          <w:lang w:val="en-GB"/>
        </w:rPr>
        <w:t xml:space="preserve"> metasurface</w:t>
      </w:r>
      <w:r w:rsidR="008D70C2">
        <w:rPr>
          <w:lang w:val="en-GB"/>
        </w:rPr>
        <w:t>s</w:t>
      </w:r>
      <w:r>
        <w:rPr>
          <w:lang w:val="en-GB"/>
        </w:rPr>
        <w:t xml:space="preserve"> needed</w:t>
      </w:r>
      <w:r w:rsidR="00D603AA">
        <w:rPr>
          <w:lang w:val="en-GB"/>
        </w:rPr>
        <w:t xml:space="preserve"> to form the desired output field distribution are given in </w:t>
      </w:r>
      <w:r w:rsidR="00D603AA">
        <w:rPr>
          <w:lang w:val="en-GB"/>
        </w:rPr>
        <w:fldChar w:fldCharType="begin"/>
      </w:r>
      <w:r w:rsidR="00D603AA">
        <w:rPr>
          <w:lang w:val="en-GB"/>
        </w:rPr>
        <w:instrText xml:space="preserve"> REF _Ref59009853 \h </w:instrText>
      </w:r>
      <w:r w:rsidR="00D603AA">
        <w:rPr>
          <w:lang w:val="en-GB"/>
        </w:rPr>
      </w:r>
      <w:r w:rsidR="00D603AA">
        <w:rPr>
          <w:lang w:val="en-GB"/>
        </w:rPr>
        <w:fldChar w:fldCharType="separate"/>
      </w:r>
      <w:r w:rsidR="00462032">
        <w:t>Figure S</w:t>
      </w:r>
      <w:r w:rsidR="00462032">
        <w:rPr>
          <w:noProof/>
        </w:rPr>
        <w:t>8</w:t>
      </w:r>
      <w:r w:rsidR="00D603AA">
        <w:rPr>
          <w:lang w:val="en-GB"/>
        </w:rPr>
        <w:fldChar w:fldCharType="end"/>
      </w:r>
      <w:r w:rsidR="00D603AA">
        <w:rPr>
          <w:lang w:val="en-GB"/>
        </w:rPr>
        <w:t xml:space="preserve">(c, d).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D64645" w14:paraId="317D2560" w14:textId="77777777" w:rsidTr="00462032">
        <w:tc>
          <w:tcPr>
            <w:tcW w:w="9360" w:type="dxa"/>
          </w:tcPr>
          <w:p w14:paraId="32AD5614" w14:textId="718271F2" w:rsidR="00C32890" w:rsidRDefault="00BD5619" w:rsidP="00C32890">
            <w:pPr>
              <w:keepNext/>
              <w:ind w:left="-120"/>
              <w:jc w:val="both"/>
            </w:pPr>
            <w:r>
              <w:rPr>
                <w:noProof/>
              </w:rPr>
              <w:drawing>
                <wp:inline distT="0" distB="0" distL="0" distR="0" wp14:anchorId="345A3B17" wp14:editId="10AE6DEB">
                  <wp:extent cx="5941475" cy="1276920"/>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1475" cy="1276920"/>
                          </a:xfrm>
                          <a:prstGeom prst="rect">
                            <a:avLst/>
                          </a:prstGeom>
                        </pic:spPr>
                      </pic:pic>
                    </a:graphicData>
                  </a:graphic>
                </wp:inline>
              </w:drawing>
            </w:r>
          </w:p>
          <w:p w14:paraId="4195F8F8" w14:textId="1636FEE1" w:rsidR="00D64645" w:rsidRDefault="00C32890" w:rsidP="0028530B">
            <w:pPr>
              <w:pStyle w:val="Caption"/>
              <w:rPr>
                <w:lang w:val="en-GB"/>
              </w:rPr>
            </w:pPr>
            <w:bookmarkStart w:id="13" w:name="_Ref59009853"/>
            <w:r>
              <w:t>Figure S</w:t>
            </w:r>
            <w:r w:rsidR="003A5086">
              <w:fldChar w:fldCharType="begin"/>
            </w:r>
            <w:r w:rsidR="003A5086">
              <w:instrText xml:space="preserve"> SEQ Figure_S \* ARABIC </w:instrText>
            </w:r>
            <w:r w:rsidR="003A5086">
              <w:fldChar w:fldCharType="separate"/>
            </w:r>
            <w:r w:rsidR="00A67938">
              <w:rPr>
                <w:noProof/>
              </w:rPr>
              <w:t>8</w:t>
            </w:r>
            <w:r w:rsidR="003A5086">
              <w:rPr>
                <w:noProof/>
              </w:rPr>
              <w:fldChar w:fldCharType="end"/>
            </w:r>
            <w:bookmarkEnd w:id="13"/>
            <w:r>
              <w:t xml:space="preserve">: Design </w:t>
            </w:r>
            <w:r w:rsidR="0046002B">
              <w:t xml:space="preserve">of the </w:t>
            </w:r>
            <w:r w:rsidR="007B02B1">
              <w:t xml:space="preserve">combined beam-forming and </w:t>
            </w:r>
            <w:r w:rsidR="0046002B">
              <w:t>splitt</w:t>
            </w:r>
            <w:r w:rsidR="007B02B1">
              <w:t xml:space="preserve">ing </w:t>
            </w:r>
            <w:r w:rsidR="005314ED">
              <w:t>meta-optic</w:t>
            </w:r>
            <w:r w:rsidR="007B02B1">
              <w:t xml:space="preserve"> with three beams</w:t>
            </w:r>
            <w:r w:rsidR="0046002B">
              <w:t xml:space="preserve">. </w:t>
            </w:r>
            <w:r w:rsidR="0046002B" w:rsidRPr="007D0B16">
              <w:rPr>
                <w:b/>
                <w:bCs/>
              </w:rPr>
              <w:t>(a, b)</w:t>
            </w:r>
            <w:r w:rsidR="0046002B">
              <w:t xml:space="preserve"> The amplitude and phase distributions of the desired output field, which is the interference pattern between three Gaussian beams. </w:t>
            </w:r>
            <w:r w:rsidR="0046002B" w:rsidRPr="007D0B16">
              <w:rPr>
                <w:b/>
                <w:bCs/>
              </w:rPr>
              <w:t>(c, d)</w:t>
            </w:r>
            <w:r w:rsidR="0046002B">
              <w:t xml:space="preserve"> The transmission phase distributions implemented by each metasurface to form the desired output field from the uniform, circular illumination.</w:t>
            </w:r>
          </w:p>
        </w:tc>
      </w:tr>
    </w:tbl>
    <w:p w14:paraId="4BDD2F23" w14:textId="6D6A46EC" w:rsidR="00462032" w:rsidRDefault="00462032" w:rsidP="008D70C2">
      <w:pPr>
        <w:spacing w:before="240"/>
        <w:jc w:val="both"/>
        <w:rPr>
          <w:lang w:val="en-GB"/>
        </w:rPr>
      </w:pPr>
      <w:r>
        <w:rPr>
          <w:lang w:val="en-GB"/>
        </w:rPr>
        <w:t xml:space="preserve">The </w:t>
      </w:r>
      <w:r w:rsidR="005314ED">
        <w:rPr>
          <w:lang w:val="en-GB"/>
        </w:rPr>
        <w:t>meta-optic</w:t>
      </w:r>
      <w:r>
        <w:rPr>
          <w:lang w:val="en-GB"/>
        </w:rPr>
        <w:t xml:space="preserve"> simulation process was performed, with results displayed in </w:t>
      </w:r>
      <w:r>
        <w:rPr>
          <w:lang w:val="en-GB"/>
        </w:rPr>
        <w:fldChar w:fldCharType="begin"/>
      </w:r>
      <w:r>
        <w:rPr>
          <w:lang w:val="en-GB"/>
        </w:rPr>
        <w:instrText xml:space="preserve"> REF _Ref59010293 \h </w:instrText>
      </w:r>
      <w:r>
        <w:rPr>
          <w:lang w:val="en-GB"/>
        </w:rPr>
      </w:r>
      <w:r>
        <w:rPr>
          <w:lang w:val="en-GB"/>
        </w:rPr>
        <w:fldChar w:fldCharType="separate"/>
      </w:r>
      <w:r>
        <w:t>Figure S</w:t>
      </w:r>
      <w:r>
        <w:rPr>
          <w:noProof/>
        </w:rPr>
        <w:t>9</w:t>
      </w:r>
      <w:r>
        <w:rPr>
          <w:lang w:val="en-GB"/>
        </w:rPr>
        <w:fldChar w:fldCharType="end"/>
      </w:r>
      <w:r>
        <w:rPr>
          <w:lang w:val="en-GB"/>
        </w:rPr>
        <w:t xml:space="preserve">. </w:t>
      </w:r>
      <w:r w:rsidR="00B75774">
        <w:rPr>
          <w:lang w:val="en-GB"/>
        </w:rPr>
        <w:t>C</w:t>
      </w:r>
      <w:r>
        <w:rPr>
          <w:lang w:val="en-GB"/>
        </w:rPr>
        <w:t xml:space="preserve">omparing the simulated output field in </w:t>
      </w:r>
      <w:r>
        <w:rPr>
          <w:lang w:val="en-GB"/>
        </w:rPr>
        <w:fldChar w:fldCharType="begin"/>
      </w:r>
      <w:r>
        <w:rPr>
          <w:lang w:val="en-GB"/>
        </w:rPr>
        <w:instrText xml:space="preserve"> REF _Ref59010293 \h </w:instrText>
      </w:r>
      <w:r>
        <w:rPr>
          <w:lang w:val="en-GB"/>
        </w:rPr>
      </w:r>
      <w:r>
        <w:rPr>
          <w:lang w:val="en-GB"/>
        </w:rPr>
        <w:fldChar w:fldCharType="separate"/>
      </w:r>
      <w:r>
        <w:t>Figure S</w:t>
      </w:r>
      <w:r>
        <w:rPr>
          <w:noProof/>
        </w:rPr>
        <w:t>9</w:t>
      </w:r>
      <w:r>
        <w:rPr>
          <w:lang w:val="en-GB"/>
        </w:rPr>
        <w:fldChar w:fldCharType="end"/>
      </w:r>
      <w:r>
        <w:rPr>
          <w:lang w:val="en-GB"/>
        </w:rPr>
        <w:t xml:space="preserve">(d) to the desired output field in </w:t>
      </w:r>
      <w:r>
        <w:rPr>
          <w:lang w:val="en-GB"/>
        </w:rPr>
        <w:fldChar w:fldCharType="begin"/>
      </w:r>
      <w:r>
        <w:rPr>
          <w:lang w:val="en-GB"/>
        </w:rPr>
        <w:instrText xml:space="preserve"> REF _Ref59009853 \h </w:instrText>
      </w:r>
      <w:r>
        <w:rPr>
          <w:lang w:val="en-GB"/>
        </w:rPr>
      </w:r>
      <w:r>
        <w:rPr>
          <w:lang w:val="en-GB"/>
        </w:rPr>
        <w:fldChar w:fldCharType="separate"/>
      </w:r>
      <w:r>
        <w:t>Figure S</w:t>
      </w:r>
      <w:r>
        <w:rPr>
          <w:noProof/>
        </w:rPr>
        <w:t>8</w:t>
      </w:r>
      <w:r>
        <w:rPr>
          <w:lang w:val="en-GB"/>
        </w:rPr>
        <w:fldChar w:fldCharType="end"/>
      </w:r>
      <w:r>
        <w:rPr>
          <w:lang w:val="en-GB"/>
        </w:rPr>
        <w:t xml:space="preserve">(a, b), we see that the </w:t>
      </w:r>
      <w:r w:rsidR="005314ED">
        <w:rPr>
          <w:lang w:val="en-GB"/>
        </w:rPr>
        <w:t>meta-optic</w:t>
      </w:r>
      <w:r>
        <w:rPr>
          <w:lang w:val="en-GB"/>
        </w:rPr>
        <w:t xml:space="preserve"> design accurately perform</w:t>
      </w:r>
      <w:r w:rsidR="00B75774">
        <w:rPr>
          <w:lang w:val="en-GB"/>
        </w:rPr>
        <w:t>s</w:t>
      </w:r>
      <w:r>
        <w:rPr>
          <w:lang w:val="en-GB"/>
        </w:rPr>
        <w:t xml:space="preserve"> the desired complex-valued field conversion.  This is further verified </w:t>
      </w:r>
      <w:r w:rsidR="00B75774">
        <w:rPr>
          <w:lang w:val="en-GB"/>
        </w:rPr>
        <w:t>by</w:t>
      </w:r>
      <w:r>
        <w:rPr>
          <w:lang w:val="en-GB"/>
        </w:rPr>
        <w:t xml:space="preserve"> </w:t>
      </w:r>
      <w:r>
        <w:rPr>
          <w:lang w:val="en-GB"/>
        </w:rPr>
        <w:fldChar w:fldCharType="begin"/>
      </w:r>
      <w:r>
        <w:rPr>
          <w:lang w:val="en-GB"/>
        </w:rPr>
        <w:instrText xml:space="preserve"> REF _Ref63346863 \h </w:instrText>
      </w:r>
      <w:r>
        <w:rPr>
          <w:lang w:val="en-GB"/>
        </w:rPr>
      </w:r>
      <w:r>
        <w:rPr>
          <w:lang w:val="en-GB"/>
        </w:rPr>
        <w:fldChar w:fldCharType="separate"/>
      </w:r>
      <w:r>
        <w:t>Figure S</w:t>
      </w:r>
      <w:r>
        <w:rPr>
          <w:noProof/>
        </w:rPr>
        <w:t>10</w:t>
      </w:r>
      <w:r>
        <w:rPr>
          <w:lang w:val="en-GB"/>
        </w:rPr>
        <w:fldChar w:fldCharType="end"/>
      </w:r>
      <w:r>
        <w:rPr>
          <w:lang w:val="en-GB"/>
        </w:rPr>
        <w:t xml:space="preserve"> </w:t>
      </w:r>
      <w:r w:rsidR="00B75774">
        <w:rPr>
          <w:lang w:val="en-GB"/>
        </w:rPr>
        <w:t>which shows</w:t>
      </w:r>
      <w:r>
        <w:rPr>
          <w:lang w:val="en-GB"/>
        </w:rPr>
        <w:t xml:space="preserve"> the amplitude and phase error distribution of the simulated output field.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D64645" w14:paraId="0A705E06" w14:textId="77777777" w:rsidTr="007D0B16">
        <w:tc>
          <w:tcPr>
            <w:tcW w:w="9350" w:type="dxa"/>
          </w:tcPr>
          <w:p w14:paraId="1FA0B9B5" w14:textId="77777777" w:rsidR="00C32890" w:rsidRDefault="00D64645" w:rsidP="00182517">
            <w:pPr>
              <w:keepNext/>
              <w:spacing w:after="0"/>
              <w:ind w:left="-109"/>
            </w:pPr>
            <w:r>
              <w:rPr>
                <w:noProof/>
                <w:lang w:val="en-GB"/>
              </w:rPr>
              <w:drawing>
                <wp:inline distT="0" distB="0" distL="0" distR="0" wp14:anchorId="62C4201D" wp14:editId="4C9B1809">
                  <wp:extent cx="5943598" cy="2577177"/>
                  <wp:effectExtent l="0" t="0" r="63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598" cy="2577177"/>
                          </a:xfrm>
                          <a:prstGeom prst="rect">
                            <a:avLst/>
                          </a:prstGeom>
                        </pic:spPr>
                      </pic:pic>
                    </a:graphicData>
                  </a:graphic>
                </wp:inline>
              </w:drawing>
            </w:r>
          </w:p>
          <w:p w14:paraId="0629BE26" w14:textId="19BE5377" w:rsidR="00D64645" w:rsidRDefault="00C32890" w:rsidP="0028530B">
            <w:pPr>
              <w:pStyle w:val="Caption"/>
              <w:rPr>
                <w:lang w:val="en-GB"/>
              </w:rPr>
            </w:pPr>
            <w:bookmarkStart w:id="14" w:name="_Ref59010293"/>
            <w:r>
              <w:t>Figure S</w:t>
            </w:r>
            <w:r w:rsidR="003A5086">
              <w:fldChar w:fldCharType="begin"/>
            </w:r>
            <w:r w:rsidR="003A5086">
              <w:instrText xml:space="preserve"> SEQ Figure_S \* ARABIC </w:instrText>
            </w:r>
            <w:r w:rsidR="003A5086">
              <w:fldChar w:fldCharType="separate"/>
            </w:r>
            <w:r w:rsidR="00A67938">
              <w:rPr>
                <w:noProof/>
              </w:rPr>
              <w:t>9</w:t>
            </w:r>
            <w:r w:rsidR="003A5086">
              <w:rPr>
                <w:noProof/>
              </w:rPr>
              <w:fldChar w:fldCharType="end"/>
            </w:r>
            <w:bookmarkEnd w:id="14"/>
            <w:r>
              <w:t xml:space="preserve">: </w:t>
            </w:r>
            <w:bookmarkStart w:id="15" w:name="_Hlk62224673"/>
            <w:r w:rsidR="009161CA">
              <w:t xml:space="preserve">FDTD </w:t>
            </w:r>
            <w:r w:rsidR="00BF7546">
              <w:t>s</w:t>
            </w:r>
            <w:r>
              <w:t>imulation results of</w:t>
            </w:r>
            <w:r w:rsidR="00462032">
              <w:t xml:space="preserve"> the beam-former and splitter</w:t>
            </w:r>
            <w:r w:rsidR="009161CA">
              <w:t xml:space="preserve"> </w:t>
            </w:r>
            <w:r w:rsidR="005314ED">
              <w:t>meta-optic</w:t>
            </w:r>
            <w:r w:rsidR="009161CA">
              <w:t xml:space="preserve"> example</w:t>
            </w:r>
            <w:r w:rsidR="00462032">
              <w:t xml:space="preserve"> with three beams</w:t>
            </w:r>
            <w:r>
              <w:t>.</w:t>
            </w:r>
            <w:r w:rsidR="009161CA">
              <w:t xml:space="preserve"> </w:t>
            </w:r>
            <w:r w:rsidR="009161CA" w:rsidRPr="007D0B16">
              <w:rPr>
                <w:b/>
                <w:bCs/>
              </w:rPr>
              <w:t xml:space="preserve">(a) </w:t>
            </w:r>
            <w:r w:rsidR="009161CA">
              <w:t xml:space="preserve">The input field distribution to the </w:t>
            </w:r>
            <w:r w:rsidR="005314ED">
              <w:t>meta-optic</w:t>
            </w:r>
            <w:r w:rsidR="009161CA">
              <w:t xml:space="preserve"> is a circular, uniform distribution. </w:t>
            </w:r>
            <w:r w:rsidR="009161CA" w:rsidRPr="007D0B16">
              <w:rPr>
                <w:b/>
                <w:bCs/>
              </w:rPr>
              <w:t>(b)</w:t>
            </w:r>
            <w:r w:rsidR="009161CA">
              <w:t xml:space="preserve"> The simulated transmitted field from metasurface 1 exhibits the desired phase shift with a high transmission magnitude. </w:t>
            </w:r>
            <w:r w:rsidR="009161CA" w:rsidRPr="007D0B16">
              <w:rPr>
                <w:b/>
                <w:bCs/>
              </w:rPr>
              <w:t>(c)</w:t>
            </w:r>
            <w:r w:rsidR="009161CA">
              <w:t xml:space="preserve"> The transmitted field from metasurface 1 is numerically propagated to the plane containing metasurface 2. At this plane, the desired amplitude distribution is formed, but the phase is incorrect. </w:t>
            </w:r>
            <w:r w:rsidR="009161CA" w:rsidRPr="007D0B16">
              <w:rPr>
                <w:b/>
                <w:bCs/>
              </w:rPr>
              <w:t>(d)</w:t>
            </w:r>
            <w:r w:rsidR="009161CA">
              <w:t xml:space="preserve"> The simulated transmitted field from metasurface 2. This field accurately matches the desired output field distribution, indicating that the </w:t>
            </w:r>
            <w:r w:rsidR="005314ED">
              <w:t>meta-optic</w:t>
            </w:r>
            <w:r w:rsidR="009161CA">
              <w:t xml:space="preserve"> should perform as expected. </w:t>
            </w:r>
            <w:bookmarkEnd w:id="15"/>
          </w:p>
        </w:tc>
      </w:tr>
    </w:tbl>
    <w:p w14:paraId="6853F9F5" w14:textId="334F1F20" w:rsidR="00D64645" w:rsidRDefault="00D64645" w:rsidP="00BC2E21">
      <w:pPr>
        <w:rPr>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65"/>
        <w:gridCol w:w="7020"/>
        <w:gridCol w:w="1165"/>
      </w:tblGrid>
      <w:tr w:rsidR="006C77C9" w14:paraId="6EDC310E" w14:textId="77777777" w:rsidTr="00462032">
        <w:tc>
          <w:tcPr>
            <w:tcW w:w="1165" w:type="dxa"/>
          </w:tcPr>
          <w:p w14:paraId="45D1CC7D" w14:textId="77777777" w:rsidR="006C77C9" w:rsidRDefault="006C77C9" w:rsidP="006C77C9">
            <w:pPr>
              <w:keepNext/>
              <w:jc w:val="center"/>
              <w:rPr>
                <w:noProof/>
                <w:lang w:val="en-GB"/>
              </w:rPr>
            </w:pPr>
          </w:p>
        </w:tc>
        <w:tc>
          <w:tcPr>
            <w:tcW w:w="7020" w:type="dxa"/>
          </w:tcPr>
          <w:p w14:paraId="5DA414C6" w14:textId="77777777" w:rsidR="00A67938" w:rsidRDefault="006C77C9" w:rsidP="00A67938">
            <w:pPr>
              <w:keepNext/>
              <w:jc w:val="center"/>
            </w:pPr>
            <w:r>
              <w:rPr>
                <w:noProof/>
                <w:lang w:val="en-GB"/>
              </w:rPr>
              <w:drawing>
                <wp:inline distT="0" distB="0" distL="0" distR="0" wp14:anchorId="14FA7914" wp14:editId="1A2F5880">
                  <wp:extent cx="3606472" cy="16002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606472" cy="1600200"/>
                          </a:xfrm>
                          <a:prstGeom prst="rect">
                            <a:avLst/>
                          </a:prstGeom>
                        </pic:spPr>
                      </pic:pic>
                    </a:graphicData>
                  </a:graphic>
                </wp:inline>
              </w:drawing>
            </w:r>
          </w:p>
          <w:p w14:paraId="0FDA4C3A" w14:textId="3594BB19" w:rsidR="006C77C9" w:rsidRPr="006C77C9" w:rsidRDefault="00A67938" w:rsidP="0028530B">
            <w:pPr>
              <w:pStyle w:val="Caption"/>
            </w:pPr>
            <w:bookmarkStart w:id="16" w:name="_Ref63346863"/>
            <w:r>
              <w:t>Figure S</w:t>
            </w:r>
            <w:r w:rsidR="003A5086">
              <w:fldChar w:fldCharType="begin"/>
            </w:r>
            <w:r w:rsidR="003A5086">
              <w:instrText xml:space="preserve"> SEQ Figure_S \* ARABIC </w:instrText>
            </w:r>
            <w:r w:rsidR="003A5086">
              <w:fldChar w:fldCharType="separate"/>
            </w:r>
            <w:r>
              <w:rPr>
                <w:noProof/>
              </w:rPr>
              <w:t>10</w:t>
            </w:r>
            <w:r w:rsidR="003A5086">
              <w:rPr>
                <w:noProof/>
              </w:rPr>
              <w:fldChar w:fldCharType="end"/>
            </w:r>
            <w:bookmarkEnd w:id="16"/>
            <w:r>
              <w:t xml:space="preserve">: The amplitude and phase distribution error of the simulated output field relative to the desired output field </w:t>
            </w:r>
            <w:r w:rsidR="00462032">
              <w:t xml:space="preserve">is low </w:t>
            </w:r>
            <w:r>
              <w:t xml:space="preserve">for the </w:t>
            </w:r>
            <w:r w:rsidR="00462032">
              <w:t>three-beam former and splitter example</w:t>
            </w:r>
            <w:r>
              <w:t xml:space="preserve">, showing the accuracy of the </w:t>
            </w:r>
            <w:r w:rsidR="005314ED">
              <w:t>meta-optic</w:t>
            </w:r>
            <w:r>
              <w:t xml:space="preserve"> performance. </w:t>
            </w:r>
            <w:r w:rsidRPr="00CA0DBD">
              <w:rPr>
                <w:b/>
                <w:bCs/>
              </w:rPr>
              <w:t>(a)</w:t>
            </w:r>
            <w:r>
              <w:t xml:space="preserve"> The amplitude error is shown as the root-mean-square error. </w:t>
            </w:r>
            <w:r w:rsidRPr="00CA0DBD">
              <w:rPr>
                <w:b/>
                <w:bCs/>
              </w:rPr>
              <w:t>(b)</w:t>
            </w:r>
            <w:r>
              <w:rPr>
                <w:b/>
                <w:bCs/>
              </w:rPr>
              <w:t xml:space="preserve"> </w:t>
            </w:r>
            <w:r>
              <w:t>The phase error of the simulated output field.</w:t>
            </w:r>
          </w:p>
        </w:tc>
        <w:tc>
          <w:tcPr>
            <w:tcW w:w="1165" w:type="dxa"/>
          </w:tcPr>
          <w:p w14:paraId="44AAFDEC" w14:textId="77777777" w:rsidR="006C77C9" w:rsidRDefault="006C77C9" w:rsidP="006C77C9">
            <w:pPr>
              <w:keepNext/>
              <w:jc w:val="center"/>
              <w:rPr>
                <w:noProof/>
                <w:lang w:val="en-GB"/>
              </w:rPr>
            </w:pPr>
          </w:p>
        </w:tc>
      </w:tr>
    </w:tbl>
    <w:p w14:paraId="5000B2A2" w14:textId="77777777" w:rsidR="006C77C9" w:rsidRDefault="006C77C9" w:rsidP="00BC2E21">
      <w:pPr>
        <w:rPr>
          <w:lang w:val="en-GB"/>
        </w:rPr>
      </w:pPr>
    </w:p>
    <w:p w14:paraId="4A3EDB54" w14:textId="64703B45" w:rsidR="00BC2E21" w:rsidRDefault="00BC2E21" w:rsidP="00A9522E">
      <w:pPr>
        <w:pStyle w:val="SMH2"/>
      </w:pPr>
      <w:r>
        <w:t xml:space="preserve">Point-source </w:t>
      </w:r>
      <w:r w:rsidR="00B128EA">
        <w:t xml:space="preserve">Three-dimensional </w:t>
      </w:r>
      <w:r>
        <w:t>Hologram</w:t>
      </w:r>
    </w:p>
    <w:p w14:paraId="1F823919" w14:textId="4ED8B0F5" w:rsidR="00BC2E21" w:rsidRDefault="00154E1E" w:rsidP="004873B9">
      <w:pPr>
        <w:jc w:val="both"/>
        <w:rPr>
          <w:lang w:val="en-GB"/>
        </w:rPr>
      </w:pPr>
      <w:r>
        <w:rPr>
          <w:lang w:val="en-GB"/>
        </w:rPr>
        <w:t>T</w:t>
      </w:r>
      <w:r w:rsidR="00D72A40">
        <w:rPr>
          <w:lang w:val="en-GB"/>
        </w:rPr>
        <w:t xml:space="preserve">he first three-dimensional hologram example forms </w:t>
      </w:r>
      <w:r w:rsidR="00BC4694">
        <w:rPr>
          <w:lang w:val="en-GB"/>
        </w:rPr>
        <w:t xml:space="preserve">a constellation of point sources. The point sources trace the outline of the University of Michigan and Vanderbilt University logos, tilted in space to provide depth. </w:t>
      </w:r>
      <w:r w:rsidR="00255EA0">
        <w:rPr>
          <w:lang w:val="en-GB"/>
        </w:rPr>
        <w:t xml:space="preserve">Each logo was tilted 15 degrees about its center. </w:t>
      </w:r>
      <w:r w:rsidR="00BC4694">
        <w:rPr>
          <w:lang w:val="en-GB"/>
        </w:rPr>
        <w:t xml:space="preserve">The </w:t>
      </w:r>
      <w:r w:rsidR="005314ED">
        <w:rPr>
          <w:lang w:val="en-GB"/>
        </w:rPr>
        <w:t>meta-optic</w:t>
      </w:r>
      <w:r w:rsidR="001179E6">
        <w:rPr>
          <w:lang w:val="en-GB"/>
        </w:rPr>
        <w:t xml:space="preserve"> output field</w:t>
      </w:r>
      <w:r w:rsidR="00BC4694">
        <w:rPr>
          <w:lang w:val="en-GB"/>
        </w:rPr>
        <w:t xml:space="preserve"> was constructed by</w:t>
      </w:r>
      <w:r w:rsidR="00751D7F">
        <w:rPr>
          <w:lang w:val="en-GB"/>
        </w:rPr>
        <w:t xml:space="preserve"> propagating the field from each point source to </w:t>
      </w:r>
      <w:r w:rsidR="004873B9">
        <w:rPr>
          <w:lang w:val="en-GB"/>
        </w:rPr>
        <w:t>the</w:t>
      </w:r>
      <w:r w:rsidR="00764075">
        <w:rPr>
          <w:lang w:val="en-GB"/>
        </w:rPr>
        <w:t xml:space="preserve"> </w:t>
      </w:r>
      <w:r w:rsidR="005314ED">
        <w:rPr>
          <w:lang w:val="en-GB"/>
        </w:rPr>
        <w:t>meta-optic</w:t>
      </w:r>
      <w:r w:rsidR="001179E6">
        <w:rPr>
          <w:lang w:val="en-GB"/>
        </w:rPr>
        <w:t xml:space="preserve"> </w:t>
      </w:r>
      <w:r w:rsidR="00764075">
        <w:rPr>
          <w:lang w:val="en-GB"/>
        </w:rPr>
        <w:t>output</w:t>
      </w:r>
      <w:r w:rsidR="004873B9">
        <w:rPr>
          <w:lang w:val="en-GB"/>
        </w:rPr>
        <w:t xml:space="preserve"> plane</w:t>
      </w:r>
      <w:r w:rsidR="001179E6">
        <w:rPr>
          <w:lang w:val="en-GB"/>
        </w:rPr>
        <w:t xml:space="preserve"> </w:t>
      </w:r>
      <w:r w:rsidR="004873B9">
        <w:rPr>
          <w:lang w:val="en-GB"/>
        </w:rPr>
        <w:t xml:space="preserve">and summing them together. The complex conjugate of this field profile was used as the desired output field </w:t>
      </w:r>
      <w:r w:rsidR="001179E6">
        <w:rPr>
          <w:lang w:val="en-GB"/>
        </w:rPr>
        <w:t>distribution,</w:t>
      </w:r>
      <w:r w:rsidR="004873B9">
        <w:rPr>
          <w:lang w:val="en-GB"/>
        </w:rPr>
        <w:t xml:space="preserve"> so the hologram was formed beyond the </w:t>
      </w:r>
      <w:r w:rsidR="005314ED">
        <w:rPr>
          <w:lang w:val="en-GB"/>
        </w:rPr>
        <w:t>meta-optic</w:t>
      </w:r>
      <w:r w:rsidR="00B75774">
        <w:rPr>
          <w:lang w:val="en-GB"/>
        </w:rPr>
        <w:t xml:space="preserve"> (the observer side of the output plane)</w:t>
      </w:r>
      <w:r w:rsidR="004873B9">
        <w:rPr>
          <w:lang w:val="en-GB"/>
        </w:rPr>
        <w:t xml:space="preserve">.  The operating wavelength of this example </w:t>
      </w:r>
      <w:r w:rsidR="001179E6">
        <w:rPr>
          <w:lang w:val="en-GB"/>
        </w:rPr>
        <w:t>is</w:t>
      </w:r>
      <w:r w:rsidR="004873B9">
        <w:rPr>
          <w:lang w:val="en-GB"/>
        </w:rPr>
        <w:t xml:space="preserve"> </w:t>
      </w:r>
      <m:oMath>
        <m:sSub>
          <m:sSubPr>
            <m:ctrlPr>
              <w:rPr>
                <w:rFonts w:ascii="Cambria Math" w:hAnsi="Cambria Math"/>
                <w:i/>
                <w:lang w:val="en-GB"/>
              </w:rPr>
            </m:ctrlPr>
          </m:sSubPr>
          <m:e>
            <m:r>
              <w:rPr>
                <w:rFonts w:ascii="Cambria Math" w:hAnsi="Cambria Math"/>
                <w:lang w:val="en-GB"/>
              </w:rPr>
              <m:t>λ</m:t>
            </m:r>
          </m:e>
          <m:sub>
            <m:r>
              <w:rPr>
                <w:rFonts w:ascii="Cambria Math" w:hAnsi="Cambria Math"/>
                <w:lang w:val="en-GB"/>
              </w:rPr>
              <m:t>0</m:t>
            </m:r>
          </m:sub>
        </m:sSub>
        <m:r>
          <w:rPr>
            <w:rFonts w:ascii="Cambria Math" w:hAnsi="Cambria Math"/>
            <w:lang w:val="en-GB"/>
          </w:rPr>
          <m:t>=1.1μm</m:t>
        </m:r>
      </m:oMath>
      <w:r w:rsidR="004873B9">
        <w:rPr>
          <w:rFonts w:eastAsiaTheme="minorEastAsia"/>
          <w:lang w:val="en-GB"/>
        </w:rPr>
        <w:t xml:space="preserve">, with the unit cell transmission characteristics shown in </w:t>
      </w:r>
      <w:r w:rsidR="004873B9">
        <w:rPr>
          <w:rFonts w:eastAsiaTheme="minorEastAsia"/>
          <w:lang w:val="en-GB"/>
        </w:rPr>
        <w:fldChar w:fldCharType="begin"/>
      </w:r>
      <w:r w:rsidR="004873B9">
        <w:rPr>
          <w:rFonts w:eastAsiaTheme="minorEastAsia"/>
          <w:lang w:val="en-GB"/>
        </w:rPr>
        <w:instrText xml:space="preserve"> REF _Ref61986971 \h </w:instrText>
      </w:r>
      <w:r w:rsidR="004873B9">
        <w:rPr>
          <w:rFonts w:eastAsiaTheme="minorEastAsia"/>
          <w:lang w:val="en-GB"/>
        </w:rPr>
      </w:r>
      <w:r w:rsidR="004873B9">
        <w:rPr>
          <w:rFonts w:eastAsiaTheme="minorEastAsia"/>
          <w:lang w:val="en-GB"/>
        </w:rPr>
        <w:fldChar w:fldCharType="separate"/>
      </w:r>
      <w:r w:rsidR="00E27EFC">
        <w:t>Figure S</w:t>
      </w:r>
      <w:r w:rsidR="00E27EFC">
        <w:rPr>
          <w:noProof/>
        </w:rPr>
        <w:t>11</w:t>
      </w:r>
      <w:r w:rsidR="004873B9">
        <w:rPr>
          <w:rFonts w:eastAsiaTheme="minorEastAsia"/>
          <w:lang w:val="en-GB"/>
        </w:rPr>
        <w:fldChar w:fldCharType="end"/>
      </w:r>
      <w:r w:rsidR="004873B9">
        <w:rPr>
          <w:rFonts w:eastAsiaTheme="minorEastAsia"/>
          <w:lang w:val="en-GB"/>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55"/>
        <w:gridCol w:w="6930"/>
        <w:gridCol w:w="1165"/>
      </w:tblGrid>
      <w:tr w:rsidR="006A27B0" w14:paraId="73FFE0C3" w14:textId="7CE3E4E2" w:rsidTr="005F5DE3">
        <w:tc>
          <w:tcPr>
            <w:tcW w:w="1255" w:type="dxa"/>
          </w:tcPr>
          <w:p w14:paraId="6538E9FE" w14:textId="77777777" w:rsidR="006A27B0" w:rsidRDefault="006A27B0" w:rsidP="005F5DE3">
            <w:pPr>
              <w:keepNext/>
              <w:jc w:val="center"/>
              <w:rPr>
                <w:noProof/>
                <w:lang w:val="en-GB"/>
              </w:rPr>
            </w:pPr>
          </w:p>
        </w:tc>
        <w:tc>
          <w:tcPr>
            <w:tcW w:w="6930" w:type="dxa"/>
          </w:tcPr>
          <w:p w14:paraId="3087957B" w14:textId="0650FCE2" w:rsidR="006A27B0" w:rsidRDefault="006A27B0" w:rsidP="005F5DE3">
            <w:pPr>
              <w:keepNext/>
              <w:spacing w:after="0"/>
              <w:jc w:val="center"/>
            </w:pPr>
            <w:r>
              <w:rPr>
                <w:noProof/>
                <w:lang w:val="en-GB"/>
              </w:rPr>
              <w:drawing>
                <wp:inline distT="0" distB="0" distL="0" distR="0" wp14:anchorId="3A5E803E" wp14:editId="389E9B9F">
                  <wp:extent cx="2675105" cy="2026833"/>
                  <wp:effectExtent l="0" t="0" r="7620" b="2540"/>
                  <wp:docPr id="17" name="Graphic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Graphic 17"/>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675105" cy="2026833"/>
                          </a:xfrm>
                          <a:prstGeom prst="rect">
                            <a:avLst/>
                          </a:prstGeom>
                        </pic:spPr>
                      </pic:pic>
                    </a:graphicData>
                  </a:graphic>
                </wp:inline>
              </w:drawing>
            </w:r>
          </w:p>
          <w:p w14:paraId="5C7E4A93" w14:textId="6A09748D" w:rsidR="006A27B0" w:rsidRDefault="006A27B0" w:rsidP="0028530B">
            <w:pPr>
              <w:pStyle w:val="Caption"/>
              <w:rPr>
                <w:lang w:val="en-GB"/>
              </w:rPr>
            </w:pPr>
            <w:bookmarkStart w:id="17" w:name="_Ref61986971"/>
            <w:r>
              <w:t>Figure S</w:t>
            </w:r>
            <w:r w:rsidR="003A5086">
              <w:fldChar w:fldCharType="begin"/>
            </w:r>
            <w:r w:rsidR="003A5086">
              <w:instrText xml:space="preserve"> SEQ Figure_S \* ARABIC </w:instrText>
            </w:r>
            <w:r w:rsidR="003A5086">
              <w:fldChar w:fldCharType="separate"/>
            </w:r>
            <w:r w:rsidR="00A67938">
              <w:rPr>
                <w:noProof/>
              </w:rPr>
              <w:t>11</w:t>
            </w:r>
            <w:r w:rsidR="003A5086">
              <w:rPr>
                <w:noProof/>
              </w:rPr>
              <w:fldChar w:fldCharType="end"/>
            </w:r>
            <w:bookmarkEnd w:id="17"/>
            <w:r>
              <w:t xml:space="preserve">: Unit cell transmission characteristics for the </w:t>
            </w:r>
            <m:oMath>
              <m:sSub>
                <m:sSubPr>
                  <m:ctrlPr>
                    <w:rPr>
                      <w:rFonts w:ascii="Cambria Math" w:hAnsi="Cambria Math"/>
                      <w:i/>
                    </w:rPr>
                  </m:ctrlPr>
                </m:sSubPr>
                <m:e>
                  <m:r>
                    <w:rPr>
                      <w:rFonts w:ascii="Cambria Math" w:hAnsi="Cambria Math"/>
                    </w:rPr>
                    <m:t>λ</m:t>
                  </m:r>
                </m:e>
                <m:sub>
                  <m:r>
                    <w:rPr>
                      <w:rFonts w:ascii="Cambria Math" w:hAnsi="Cambria Math"/>
                    </w:rPr>
                    <m:t>0</m:t>
                  </m:r>
                </m:sub>
              </m:sSub>
              <m:r>
                <w:rPr>
                  <w:rFonts w:ascii="Cambria Math" w:hAnsi="Cambria Math"/>
                </w:rPr>
                <m:t>=1.1μm</m:t>
              </m:r>
            </m:oMath>
            <w:r>
              <w:t xml:space="preserve"> implementation of the point-source hologram </w:t>
            </w:r>
            <w:r w:rsidR="005314ED">
              <w:t>meta-optic</w:t>
            </w:r>
            <w:r>
              <w:t>. For this unit cell design, the period is 400nm, the pillar height 750nm, and the pillar diameter ranges from 150nm-360nm while skipping the 255nm-290nm range</w:t>
            </w:r>
            <w:r w:rsidR="00764075">
              <w:t xml:space="preserve"> due to low transmission</w:t>
            </w:r>
            <w:r>
              <w:t xml:space="preserve">.  </w:t>
            </w:r>
          </w:p>
        </w:tc>
        <w:tc>
          <w:tcPr>
            <w:tcW w:w="1165" w:type="dxa"/>
          </w:tcPr>
          <w:p w14:paraId="4DD0B96C" w14:textId="77777777" w:rsidR="006A27B0" w:rsidRDefault="006A27B0" w:rsidP="005F5DE3">
            <w:pPr>
              <w:keepNext/>
              <w:jc w:val="center"/>
              <w:rPr>
                <w:noProof/>
                <w:lang w:val="en-GB"/>
              </w:rPr>
            </w:pPr>
          </w:p>
        </w:tc>
      </w:tr>
    </w:tbl>
    <w:p w14:paraId="6A9E53EA" w14:textId="07C9455B" w:rsidR="00F756E5" w:rsidRDefault="00F756E5" w:rsidP="001179E6">
      <w:pPr>
        <w:spacing w:before="240"/>
        <w:jc w:val="both"/>
        <w:rPr>
          <w:rFonts w:eastAsiaTheme="minorEastAsia"/>
          <w:lang w:val="en-GB"/>
        </w:rPr>
      </w:pPr>
      <w:r>
        <w:rPr>
          <w:lang w:val="en-GB"/>
        </w:rPr>
        <w:t>The</w:t>
      </w:r>
      <w:r w:rsidR="00B75774">
        <w:rPr>
          <w:lang w:val="en-GB"/>
        </w:rPr>
        <w:t xml:space="preserve"> amplitude and phase distribution</w:t>
      </w:r>
      <w:r w:rsidR="00354BE0">
        <w:rPr>
          <w:lang w:val="en-GB"/>
        </w:rPr>
        <w:t>s</w:t>
      </w:r>
      <w:r w:rsidR="00B75774">
        <w:rPr>
          <w:lang w:val="en-GB"/>
        </w:rPr>
        <w:t xml:space="preserve"> of the</w:t>
      </w:r>
      <w:r>
        <w:rPr>
          <w:lang w:val="en-GB"/>
        </w:rPr>
        <w:t xml:space="preserve"> </w:t>
      </w:r>
      <w:r w:rsidR="005314ED">
        <w:rPr>
          <w:lang w:val="en-GB"/>
        </w:rPr>
        <w:t>meta-optic</w:t>
      </w:r>
      <w:r w:rsidR="001179E6">
        <w:rPr>
          <w:lang w:val="en-GB"/>
        </w:rPr>
        <w:t xml:space="preserve"> output </w:t>
      </w:r>
      <w:r>
        <w:rPr>
          <w:lang w:val="en-GB"/>
        </w:rPr>
        <w:t xml:space="preserve">field forming the point source hologram </w:t>
      </w:r>
      <w:r w:rsidR="00354BE0">
        <w:rPr>
          <w:rFonts w:eastAsiaTheme="minorEastAsia"/>
          <w:lang w:val="en-GB"/>
        </w:rPr>
        <w:t>are</w:t>
      </w:r>
      <w:r>
        <w:rPr>
          <w:rFonts w:eastAsiaTheme="minorEastAsia"/>
          <w:lang w:val="en-GB"/>
        </w:rPr>
        <w:t xml:space="preserve"> shown in </w:t>
      </w:r>
      <w:r>
        <w:rPr>
          <w:rFonts w:eastAsiaTheme="minorEastAsia"/>
          <w:lang w:val="en-GB"/>
        </w:rPr>
        <w:fldChar w:fldCharType="begin"/>
      </w:r>
      <w:r>
        <w:rPr>
          <w:rFonts w:eastAsiaTheme="minorEastAsia"/>
          <w:lang w:val="en-GB"/>
        </w:rPr>
        <w:instrText xml:space="preserve"> REF _Ref61987208 \h </w:instrText>
      </w:r>
      <w:r>
        <w:rPr>
          <w:rFonts w:eastAsiaTheme="minorEastAsia"/>
          <w:lang w:val="en-GB"/>
        </w:rPr>
      </w:r>
      <w:r>
        <w:rPr>
          <w:rFonts w:eastAsiaTheme="minorEastAsia"/>
          <w:lang w:val="en-GB"/>
        </w:rPr>
        <w:fldChar w:fldCharType="separate"/>
      </w:r>
      <w:r w:rsidR="00E27EFC">
        <w:t>Figure S</w:t>
      </w:r>
      <w:r w:rsidR="00E27EFC">
        <w:rPr>
          <w:noProof/>
        </w:rPr>
        <w:t>12</w:t>
      </w:r>
      <w:r>
        <w:rPr>
          <w:rFonts w:eastAsiaTheme="minorEastAsia"/>
          <w:lang w:val="en-GB"/>
        </w:rPr>
        <w:fldChar w:fldCharType="end"/>
      </w:r>
      <w:r>
        <w:rPr>
          <w:rFonts w:eastAsiaTheme="minorEastAsia"/>
          <w:lang w:val="en-GB"/>
        </w:rPr>
        <w:t xml:space="preserve">(a, b). The </w:t>
      </w:r>
      <w:r w:rsidR="001179E6">
        <w:rPr>
          <w:rFonts w:eastAsiaTheme="minorEastAsia"/>
          <w:lang w:val="en-GB"/>
        </w:rPr>
        <w:t xml:space="preserve">metasurface </w:t>
      </w:r>
      <w:r>
        <w:rPr>
          <w:rFonts w:eastAsiaTheme="minorEastAsia"/>
          <w:lang w:val="en-GB"/>
        </w:rPr>
        <w:t xml:space="preserve">transmission phase profiles are shown in </w:t>
      </w:r>
      <w:r>
        <w:rPr>
          <w:rFonts w:eastAsiaTheme="minorEastAsia"/>
          <w:lang w:val="en-GB"/>
        </w:rPr>
        <w:fldChar w:fldCharType="begin"/>
      </w:r>
      <w:r>
        <w:rPr>
          <w:rFonts w:eastAsiaTheme="minorEastAsia"/>
          <w:lang w:val="en-GB"/>
        </w:rPr>
        <w:instrText xml:space="preserve"> REF _Ref61987208 \h </w:instrText>
      </w:r>
      <w:r>
        <w:rPr>
          <w:rFonts w:eastAsiaTheme="minorEastAsia"/>
          <w:lang w:val="en-GB"/>
        </w:rPr>
      </w:r>
      <w:r>
        <w:rPr>
          <w:rFonts w:eastAsiaTheme="minorEastAsia"/>
          <w:lang w:val="en-GB"/>
        </w:rPr>
        <w:fldChar w:fldCharType="separate"/>
      </w:r>
      <w:r w:rsidR="00E27EFC">
        <w:t>Figure S</w:t>
      </w:r>
      <w:r w:rsidR="00E27EFC">
        <w:rPr>
          <w:noProof/>
        </w:rPr>
        <w:t>12</w:t>
      </w:r>
      <w:r>
        <w:rPr>
          <w:rFonts w:eastAsiaTheme="minorEastAsia"/>
          <w:lang w:val="en-GB"/>
        </w:rPr>
        <w:fldChar w:fldCharType="end"/>
      </w:r>
      <w:r>
        <w:rPr>
          <w:rFonts w:eastAsiaTheme="minorEastAsia"/>
          <w:lang w:val="en-GB"/>
        </w:rPr>
        <w:t>(c, d).</w:t>
      </w:r>
    </w:p>
    <w:p w14:paraId="607B9819" w14:textId="0A2A1E92" w:rsidR="00096315" w:rsidRDefault="00096315" w:rsidP="004873B9">
      <w:pPr>
        <w:jc w:val="both"/>
        <w:rPr>
          <w:lang w:val="en-GB"/>
        </w:rPr>
      </w:pPr>
      <w:r>
        <w:rPr>
          <w:lang w:val="en-GB"/>
        </w:rPr>
        <w:t xml:space="preserve">The </w:t>
      </w:r>
      <w:r w:rsidR="005314ED">
        <w:rPr>
          <w:lang w:val="en-GB"/>
        </w:rPr>
        <w:t>meta-optic</w:t>
      </w:r>
      <w:r>
        <w:rPr>
          <w:lang w:val="en-GB"/>
        </w:rPr>
        <w:t xml:space="preserve"> </w:t>
      </w:r>
      <w:r w:rsidR="001179E6">
        <w:rPr>
          <w:lang w:val="en-GB"/>
        </w:rPr>
        <w:t>was simulated</w:t>
      </w:r>
      <w:r>
        <w:rPr>
          <w:lang w:val="en-GB"/>
        </w:rPr>
        <w:t xml:space="preserve">, with results given in </w:t>
      </w:r>
      <w:r>
        <w:rPr>
          <w:lang w:val="en-GB"/>
        </w:rPr>
        <w:fldChar w:fldCharType="begin"/>
      </w:r>
      <w:r>
        <w:rPr>
          <w:lang w:val="en-GB"/>
        </w:rPr>
        <w:instrText xml:space="preserve"> REF _Ref61987374 \h </w:instrText>
      </w:r>
      <w:r>
        <w:rPr>
          <w:lang w:val="en-GB"/>
        </w:rPr>
      </w:r>
      <w:r>
        <w:rPr>
          <w:lang w:val="en-GB"/>
        </w:rPr>
        <w:fldChar w:fldCharType="separate"/>
      </w:r>
      <w:r w:rsidR="001179E6">
        <w:t>Figure S</w:t>
      </w:r>
      <w:r w:rsidR="001179E6">
        <w:rPr>
          <w:noProof/>
        </w:rPr>
        <w:t>13</w:t>
      </w:r>
      <w:r>
        <w:rPr>
          <w:lang w:val="en-GB"/>
        </w:rPr>
        <w:fldChar w:fldCharType="end"/>
      </w:r>
      <w:r>
        <w:rPr>
          <w:lang w:val="en-GB"/>
        </w:rPr>
        <w:t xml:space="preserve">. Comparing the simulated output field in </w:t>
      </w:r>
      <w:r>
        <w:rPr>
          <w:lang w:val="en-GB"/>
        </w:rPr>
        <w:fldChar w:fldCharType="begin"/>
      </w:r>
      <w:r>
        <w:rPr>
          <w:lang w:val="en-GB"/>
        </w:rPr>
        <w:instrText xml:space="preserve"> REF _Ref61987374 \h </w:instrText>
      </w:r>
      <w:r>
        <w:rPr>
          <w:lang w:val="en-GB"/>
        </w:rPr>
      </w:r>
      <w:r>
        <w:rPr>
          <w:lang w:val="en-GB"/>
        </w:rPr>
        <w:fldChar w:fldCharType="separate"/>
      </w:r>
      <w:r>
        <w:t>Figure S</w:t>
      </w:r>
      <w:r>
        <w:rPr>
          <w:noProof/>
        </w:rPr>
        <w:t>13</w:t>
      </w:r>
      <w:r>
        <w:rPr>
          <w:lang w:val="en-GB"/>
        </w:rPr>
        <w:fldChar w:fldCharType="end"/>
      </w:r>
      <w:r>
        <w:rPr>
          <w:lang w:val="en-GB"/>
        </w:rPr>
        <w:t xml:space="preserve">(d) to the desired output field in </w:t>
      </w:r>
      <w:r>
        <w:rPr>
          <w:rFonts w:eastAsiaTheme="minorEastAsia"/>
          <w:lang w:val="en-GB"/>
        </w:rPr>
        <w:fldChar w:fldCharType="begin"/>
      </w:r>
      <w:r>
        <w:rPr>
          <w:rFonts w:eastAsiaTheme="minorEastAsia"/>
          <w:lang w:val="en-GB"/>
        </w:rPr>
        <w:instrText xml:space="preserve"> REF _Ref61987208 \h </w:instrText>
      </w:r>
      <w:r>
        <w:rPr>
          <w:rFonts w:eastAsiaTheme="minorEastAsia"/>
          <w:lang w:val="en-GB"/>
        </w:rPr>
      </w:r>
      <w:r>
        <w:rPr>
          <w:rFonts w:eastAsiaTheme="minorEastAsia"/>
          <w:lang w:val="en-GB"/>
        </w:rPr>
        <w:fldChar w:fldCharType="separate"/>
      </w:r>
      <w:r>
        <w:t>Figure S</w:t>
      </w:r>
      <w:r>
        <w:rPr>
          <w:noProof/>
        </w:rPr>
        <w:t>12</w:t>
      </w:r>
      <w:r>
        <w:rPr>
          <w:rFonts w:eastAsiaTheme="minorEastAsia"/>
          <w:lang w:val="en-GB"/>
        </w:rPr>
        <w:fldChar w:fldCharType="end"/>
      </w:r>
      <w:r>
        <w:rPr>
          <w:rFonts w:eastAsiaTheme="minorEastAsia"/>
          <w:lang w:val="en-GB"/>
        </w:rPr>
        <w:t>(</w:t>
      </w:r>
      <w:r>
        <w:rPr>
          <w:lang w:val="en-GB"/>
        </w:rPr>
        <w:t xml:space="preserve">a, b), we see that the </w:t>
      </w:r>
      <w:r w:rsidR="005314ED">
        <w:rPr>
          <w:lang w:val="en-GB"/>
        </w:rPr>
        <w:t>meta-optic</w:t>
      </w:r>
      <w:r>
        <w:rPr>
          <w:lang w:val="en-GB"/>
        </w:rPr>
        <w:t xml:space="preserve"> design accurately performs the desired complex-valued field conversion. This is further verified in </w:t>
      </w:r>
      <w:r>
        <w:rPr>
          <w:lang w:val="en-GB"/>
        </w:rPr>
        <w:fldChar w:fldCharType="begin"/>
      </w:r>
      <w:r>
        <w:rPr>
          <w:lang w:val="en-GB"/>
        </w:rPr>
        <w:instrText xml:space="preserve"> REF _Ref63347030 \h </w:instrText>
      </w:r>
      <w:r>
        <w:rPr>
          <w:lang w:val="en-GB"/>
        </w:rPr>
      </w:r>
      <w:r>
        <w:rPr>
          <w:lang w:val="en-GB"/>
        </w:rPr>
        <w:fldChar w:fldCharType="separate"/>
      </w:r>
      <w:r>
        <w:t>Figure S</w:t>
      </w:r>
      <w:r>
        <w:rPr>
          <w:noProof/>
        </w:rPr>
        <w:t>14</w:t>
      </w:r>
      <w:r>
        <w:rPr>
          <w:lang w:val="en-GB"/>
        </w:rPr>
        <w:fldChar w:fldCharType="end"/>
      </w:r>
      <w:r>
        <w:rPr>
          <w:lang w:val="en-GB"/>
        </w:rPr>
        <w:t xml:space="preserve"> when observing the amplitude and phase error distribution of the simulated output field.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CE17FA" w14:paraId="682D88DE" w14:textId="77777777" w:rsidTr="007D0B16">
        <w:tc>
          <w:tcPr>
            <w:tcW w:w="9350" w:type="dxa"/>
          </w:tcPr>
          <w:p w14:paraId="1FB67A32" w14:textId="77777777" w:rsidR="00F756E5" w:rsidRDefault="00293765" w:rsidP="0028530B">
            <w:pPr>
              <w:pStyle w:val="Caption"/>
            </w:pPr>
            <w:r>
              <w:rPr>
                <w:noProof/>
              </w:rPr>
              <w:lastRenderedPageBreak/>
              <w:drawing>
                <wp:inline distT="0" distB="0" distL="0" distR="0" wp14:anchorId="06280047" wp14:editId="47316B37">
                  <wp:extent cx="5943600" cy="1283372"/>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3600" cy="1283372"/>
                          </a:xfrm>
                          <a:prstGeom prst="rect">
                            <a:avLst/>
                          </a:prstGeom>
                        </pic:spPr>
                      </pic:pic>
                    </a:graphicData>
                  </a:graphic>
                </wp:inline>
              </w:drawing>
            </w:r>
          </w:p>
          <w:p w14:paraId="37DB03CC" w14:textId="40827CDA" w:rsidR="00CE17FA" w:rsidRDefault="00EF7991" w:rsidP="0028530B">
            <w:pPr>
              <w:pStyle w:val="Caption"/>
              <w:rPr>
                <w:lang w:val="en-GB"/>
              </w:rPr>
            </w:pPr>
            <w:bookmarkStart w:id="18" w:name="_Ref61987208"/>
            <w:r>
              <w:t>Figure S</w:t>
            </w:r>
            <w:r w:rsidR="003A5086">
              <w:fldChar w:fldCharType="begin"/>
            </w:r>
            <w:r w:rsidR="003A5086">
              <w:instrText xml:space="preserve"> SEQ Figure_S \* ARABIC </w:instrText>
            </w:r>
            <w:r w:rsidR="003A5086">
              <w:fldChar w:fldCharType="separate"/>
            </w:r>
            <w:r w:rsidR="00A67938">
              <w:rPr>
                <w:noProof/>
              </w:rPr>
              <w:t>12</w:t>
            </w:r>
            <w:r w:rsidR="003A5086">
              <w:rPr>
                <w:noProof/>
              </w:rPr>
              <w:fldChar w:fldCharType="end"/>
            </w:r>
            <w:bookmarkEnd w:id="18"/>
            <w:r>
              <w:t xml:space="preserve">: </w:t>
            </w:r>
            <w:r w:rsidR="00293560">
              <w:t xml:space="preserve">Design of the point source hologram </w:t>
            </w:r>
            <w:r w:rsidR="005314ED">
              <w:t>meta-optic</w:t>
            </w:r>
            <w:r w:rsidR="00293560">
              <w:t xml:space="preserve">. </w:t>
            </w:r>
            <w:r w:rsidR="00293560" w:rsidRPr="007D0B16">
              <w:rPr>
                <w:b/>
                <w:bCs/>
              </w:rPr>
              <w:t xml:space="preserve">(a, b) </w:t>
            </w:r>
            <w:r w:rsidR="00293560">
              <w:t xml:space="preserve">The amplitude and phase distributions of the desired output field, which is the complex conjugate of the interference pattern </w:t>
            </w:r>
            <w:r w:rsidR="007D0B16">
              <w:t>formed by</w:t>
            </w:r>
            <w:r w:rsidR="00293560">
              <w:t xml:space="preserve"> the point sources in the hologram. </w:t>
            </w:r>
            <w:r w:rsidR="00293560" w:rsidRPr="007D0B16">
              <w:rPr>
                <w:b/>
                <w:bCs/>
              </w:rPr>
              <w:t>(c, d)</w:t>
            </w:r>
            <w:r w:rsidR="00293560">
              <w:t xml:space="preserve"> The transmission phase</w:t>
            </w:r>
            <w:r w:rsidR="007D0B16">
              <w:t xml:space="preserve"> shift</w:t>
            </w:r>
            <w:r w:rsidR="00293560">
              <w:t xml:space="preserve"> </w:t>
            </w:r>
            <w:r w:rsidR="001179E6">
              <w:t>profiles</w:t>
            </w:r>
            <w:r w:rsidR="00293560">
              <w:t xml:space="preserve"> implemented by each metasurface to form the desired output field from the uniform, square illumination.</w:t>
            </w:r>
          </w:p>
        </w:tc>
      </w:tr>
    </w:tbl>
    <w:p w14:paraId="4B93649F" w14:textId="79A6896A" w:rsidR="002505EF" w:rsidRDefault="002505EF" w:rsidP="001179E6">
      <w:pPr>
        <w:spacing w:after="0"/>
        <w:rPr>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293765" w14:paraId="68AE9DD3" w14:textId="77777777" w:rsidTr="00A16651">
        <w:tc>
          <w:tcPr>
            <w:tcW w:w="9350" w:type="dxa"/>
          </w:tcPr>
          <w:p w14:paraId="5A439246" w14:textId="77777777" w:rsidR="00293765" w:rsidRDefault="00293765" w:rsidP="00182517">
            <w:pPr>
              <w:keepNext/>
              <w:spacing w:after="0"/>
              <w:ind w:left="-117"/>
            </w:pPr>
            <w:r>
              <w:rPr>
                <w:noProof/>
                <w:lang w:val="en-GB"/>
              </w:rPr>
              <w:drawing>
                <wp:inline distT="0" distB="0" distL="0" distR="0" wp14:anchorId="394ACA60" wp14:editId="62FA814C">
                  <wp:extent cx="5943599" cy="2589414"/>
                  <wp:effectExtent l="0" t="0" r="635" b="190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943599" cy="2589414"/>
                          </a:xfrm>
                          <a:prstGeom prst="rect">
                            <a:avLst/>
                          </a:prstGeom>
                        </pic:spPr>
                      </pic:pic>
                    </a:graphicData>
                  </a:graphic>
                </wp:inline>
              </w:drawing>
            </w:r>
          </w:p>
          <w:p w14:paraId="72C773B3" w14:textId="1DBA25B9" w:rsidR="00293765" w:rsidRDefault="00293765" w:rsidP="0028530B">
            <w:pPr>
              <w:pStyle w:val="Caption"/>
              <w:rPr>
                <w:lang w:val="en-GB"/>
              </w:rPr>
            </w:pPr>
            <w:bookmarkStart w:id="19" w:name="_Ref61987374"/>
            <w:r>
              <w:t>Figure S</w:t>
            </w:r>
            <w:r w:rsidR="003A5086">
              <w:fldChar w:fldCharType="begin"/>
            </w:r>
            <w:r w:rsidR="003A5086">
              <w:instrText xml:space="preserve"> SEQ Figure_S \* ARABIC </w:instrText>
            </w:r>
            <w:r w:rsidR="003A5086">
              <w:fldChar w:fldCharType="separate"/>
            </w:r>
            <w:r w:rsidR="00A67938">
              <w:rPr>
                <w:noProof/>
              </w:rPr>
              <w:t>13</w:t>
            </w:r>
            <w:r w:rsidR="003A5086">
              <w:rPr>
                <w:noProof/>
              </w:rPr>
              <w:fldChar w:fldCharType="end"/>
            </w:r>
            <w:bookmarkEnd w:id="19"/>
            <w:r>
              <w:t xml:space="preserve">: </w:t>
            </w:r>
            <w:r w:rsidR="00293560">
              <w:t xml:space="preserve">FDTD simulation results of </w:t>
            </w:r>
            <w:r w:rsidR="001179E6">
              <w:t xml:space="preserve">the </w:t>
            </w:r>
            <w:r w:rsidR="00293560">
              <w:t xml:space="preserve">point source hologram </w:t>
            </w:r>
            <w:r w:rsidR="005314ED">
              <w:t>meta-optic</w:t>
            </w:r>
            <w:r w:rsidR="00293560">
              <w:t xml:space="preserve"> example. </w:t>
            </w:r>
            <w:r w:rsidR="00293560" w:rsidRPr="002443DC">
              <w:rPr>
                <w:b/>
                <w:bCs/>
              </w:rPr>
              <w:t>(a)</w:t>
            </w:r>
            <w:r w:rsidR="00293560">
              <w:t xml:space="preserve"> The input field distribution to the </w:t>
            </w:r>
            <w:r w:rsidR="005314ED">
              <w:t>meta-optic</w:t>
            </w:r>
            <w:r w:rsidR="00293560">
              <w:t xml:space="preserve"> is a square, uniform distribution. </w:t>
            </w:r>
            <w:r w:rsidR="00293560" w:rsidRPr="00A16651">
              <w:rPr>
                <w:b/>
                <w:bCs/>
              </w:rPr>
              <w:t>(b)</w:t>
            </w:r>
            <w:r w:rsidR="00293560">
              <w:t xml:space="preserve"> The simulated transmitted field from metasurface 1 exhibits the desired phase shift with a high transmission magnitude. </w:t>
            </w:r>
            <w:r w:rsidR="00293560" w:rsidRPr="00A16651">
              <w:rPr>
                <w:b/>
                <w:bCs/>
              </w:rPr>
              <w:t>(c)</w:t>
            </w:r>
            <w:r w:rsidR="00293560">
              <w:t xml:space="preserve"> The transmitted field from metasurface 1 is numerically propagated to the plane containing metasurface 2. At this plane, the desired amplitude distribution is formed, but the phase is incorrect. </w:t>
            </w:r>
            <w:r w:rsidR="00293560" w:rsidRPr="00A16651">
              <w:rPr>
                <w:b/>
                <w:bCs/>
              </w:rPr>
              <w:t>(d)</w:t>
            </w:r>
            <w:r w:rsidR="00293560">
              <w:t xml:space="preserve"> The simulated transmitted field from metasurface 2. This field accurately matches the desired output field distribution, indicating that the </w:t>
            </w:r>
            <w:r w:rsidR="005314ED">
              <w:t>meta-optic</w:t>
            </w:r>
            <w:r w:rsidR="00293560">
              <w:t xml:space="preserve"> should perform as expected.</w:t>
            </w:r>
          </w:p>
        </w:tc>
      </w:tr>
    </w:tbl>
    <w:p w14:paraId="00C8DCED" w14:textId="44C8A30F" w:rsidR="00293765" w:rsidRDefault="00293765" w:rsidP="001179E6">
      <w:pPr>
        <w:spacing w:after="0"/>
        <w:rPr>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65"/>
        <w:gridCol w:w="7020"/>
        <w:gridCol w:w="1165"/>
      </w:tblGrid>
      <w:tr w:rsidR="006C77C9" w14:paraId="432C3706" w14:textId="77777777" w:rsidTr="00E27EFC">
        <w:tc>
          <w:tcPr>
            <w:tcW w:w="1165" w:type="dxa"/>
          </w:tcPr>
          <w:p w14:paraId="69C39A74" w14:textId="77777777" w:rsidR="006C77C9" w:rsidRDefault="006C77C9" w:rsidP="006C77C9">
            <w:pPr>
              <w:keepNext/>
              <w:jc w:val="center"/>
              <w:rPr>
                <w:noProof/>
                <w:lang w:val="en-GB"/>
              </w:rPr>
            </w:pPr>
          </w:p>
        </w:tc>
        <w:tc>
          <w:tcPr>
            <w:tcW w:w="7020" w:type="dxa"/>
          </w:tcPr>
          <w:p w14:paraId="06BC5AB9" w14:textId="77777777" w:rsidR="00A67938" w:rsidRDefault="006C77C9" w:rsidP="001179E6">
            <w:pPr>
              <w:keepNext/>
              <w:spacing w:after="0"/>
              <w:jc w:val="center"/>
            </w:pPr>
            <w:r>
              <w:rPr>
                <w:noProof/>
                <w:lang w:val="en-GB"/>
              </w:rPr>
              <w:drawing>
                <wp:inline distT="0" distB="0" distL="0" distR="0" wp14:anchorId="0AFC7E94" wp14:editId="7398B76E">
                  <wp:extent cx="3606472" cy="16002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606472" cy="1600200"/>
                          </a:xfrm>
                          <a:prstGeom prst="rect">
                            <a:avLst/>
                          </a:prstGeom>
                        </pic:spPr>
                      </pic:pic>
                    </a:graphicData>
                  </a:graphic>
                </wp:inline>
              </w:drawing>
            </w:r>
          </w:p>
          <w:p w14:paraId="100948A8" w14:textId="0945F537" w:rsidR="006C77C9" w:rsidRPr="006C77C9" w:rsidRDefault="00A67938" w:rsidP="0028530B">
            <w:pPr>
              <w:pStyle w:val="Caption"/>
            </w:pPr>
            <w:bookmarkStart w:id="20" w:name="_Ref63347030"/>
            <w:r>
              <w:t>Figure S</w:t>
            </w:r>
            <w:r w:rsidR="003A5086">
              <w:fldChar w:fldCharType="begin"/>
            </w:r>
            <w:r w:rsidR="003A5086">
              <w:instrText xml:space="preserve"> SEQ Figure_S \* ARABIC </w:instrText>
            </w:r>
            <w:r w:rsidR="003A5086">
              <w:fldChar w:fldCharType="separate"/>
            </w:r>
            <w:r>
              <w:rPr>
                <w:noProof/>
              </w:rPr>
              <w:t>14</w:t>
            </w:r>
            <w:r w:rsidR="003A5086">
              <w:rPr>
                <w:noProof/>
              </w:rPr>
              <w:fldChar w:fldCharType="end"/>
            </w:r>
            <w:bookmarkEnd w:id="20"/>
            <w:r>
              <w:t xml:space="preserve">: The amplitude and phase distribution error of the simulated output field relative to the desired output field </w:t>
            </w:r>
            <w:r w:rsidR="00E27EFC">
              <w:t xml:space="preserve">is low </w:t>
            </w:r>
            <w:r>
              <w:t xml:space="preserve">for the point-source hologram example, showing the accuracy of the </w:t>
            </w:r>
            <w:r w:rsidR="005314ED">
              <w:t>meta-optic</w:t>
            </w:r>
            <w:r>
              <w:t xml:space="preserve"> performance. </w:t>
            </w:r>
            <w:r w:rsidRPr="00CA0DBD">
              <w:rPr>
                <w:b/>
                <w:bCs/>
              </w:rPr>
              <w:t>(a)</w:t>
            </w:r>
            <w:r>
              <w:t xml:space="preserve"> The amplitude error is shown as the root-mean-square error. </w:t>
            </w:r>
            <w:r w:rsidRPr="00CA0DBD">
              <w:rPr>
                <w:b/>
                <w:bCs/>
              </w:rPr>
              <w:t>(b)</w:t>
            </w:r>
            <w:r>
              <w:rPr>
                <w:b/>
                <w:bCs/>
              </w:rPr>
              <w:t xml:space="preserve"> </w:t>
            </w:r>
            <w:r>
              <w:t>The phase error of the simulated output field.</w:t>
            </w:r>
          </w:p>
        </w:tc>
        <w:tc>
          <w:tcPr>
            <w:tcW w:w="1165" w:type="dxa"/>
          </w:tcPr>
          <w:p w14:paraId="4F3519D1" w14:textId="77777777" w:rsidR="006C77C9" w:rsidRDefault="006C77C9" w:rsidP="006C77C9">
            <w:pPr>
              <w:keepNext/>
              <w:jc w:val="center"/>
              <w:rPr>
                <w:noProof/>
                <w:lang w:val="en-GB"/>
              </w:rPr>
            </w:pPr>
          </w:p>
        </w:tc>
      </w:tr>
    </w:tbl>
    <w:p w14:paraId="29598156" w14:textId="0D890C02" w:rsidR="006C77C9" w:rsidRDefault="006C77C9" w:rsidP="00293765">
      <w:pPr>
        <w:rPr>
          <w:lang w:val="en-GB"/>
        </w:rPr>
      </w:pPr>
    </w:p>
    <w:p w14:paraId="5D9E5289" w14:textId="77777777" w:rsidR="001179E6" w:rsidRPr="00293765" w:rsidRDefault="001179E6" w:rsidP="00293765">
      <w:pPr>
        <w:rPr>
          <w:lang w:val="en-GB"/>
        </w:rPr>
      </w:pPr>
    </w:p>
    <w:p w14:paraId="70D91729" w14:textId="2496A8D9" w:rsidR="00BC2E21" w:rsidRDefault="00293560" w:rsidP="00A9522E">
      <w:pPr>
        <w:pStyle w:val="SMH2"/>
      </w:pPr>
      <w:r>
        <w:lastRenderedPageBreak/>
        <w:t>Solid</w:t>
      </w:r>
      <w:r w:rsidR="00BC2E21">
        <w:t>-image</w:t>
      </w:r>
      <w:r>
        <w:t xml:space="preserve"> Three-</w:t>
      </w:r>
      <w:r w:rsidR="00B128EA">
        <w:t>d</w:t>
      </w:r>
      <w:r>
        <w:t>imensional</w:t>
      </w:r>
      <w:r w:rsidR="00BC2E21">
        <w:t xml:space="preserve"> Hologram</w:t>
      </w:r>
    </w:p>
    <w:p w14:paraId="6CE74ABF" w14:textId="3F763870" w:rsidR="00BC2E21" w:rsidRDefault="009161CA" w:rsidP="002A726B">
      <w:pPr>
        <w:jc w:val="both"/>
        <w:rPr>
          <w:lang w:val="en-GB"/>
        </w:rPr>
      </w:pPr>
      <w:r>
        <w:rPr>
          <w:lang w:val="en-GB"/>
        </w:rPr>
        <w:t>The second three-dimensional hologram example</w:t>
      </w:r>
      <w:r w:rsidR="002A726B">
        <w:rPr>
          <w:lang w:val="en-GB"/>
        </w:rPr>
        <w:t xml:space="preserve"> forms a hologram consisting of solid images tilted in space to provide depth to the scene. The hologram was constructed using computer-generated hologram methods</w:t>
      </w:r>
      <w:r w:rsidR="002A726B">
        <w:rPr>
          <w:lang w:val="en-GB"/>
        </w:rPr>
        <w:fldChar w:fldCharType="begin" w:fldLock="1"/>
      </w:r>
      <w:r w:rsidR="005F6E05">
        <w:rPr>
          <w:lang w:val="en-GB"/>
        </w:rPr>
        <w:instrText>ADDIN CSL_CITATION {"citationItems":[{"id":"ITEM-1","itemData":{"DOI":"10.1364/AO.44.004607","ISSN":"15394522","PMID":"16075871","abstract":"Digitally synthetic holograms of surface model objects are investigated for reconstructing three-dimensional objects with shade and texture. The objects in the proposed techniques are composed of planar surfaces, and a property function defined for each surface provides shape and texture. The field emitted from each surface is independently calculated by a method based on rotational transformation of the property function by use of a fast Fourier transform (FFT) and totaled on the hologram. This technique has led to a reduction in computational cost: FFT operation is required only once for calculating a surface. In addition, another technique based on a theoretical model of the brightness of the reconstructed surfaces enables us to shade the surface of a reconstructed object as designed. Optical reconstructions of holograms synthesized by the proposed techniques are demonstrated. © 2005 Optical Society of America.","author":[{"dropping-particle":"","family":"Matsushima","given":"Kyoji","non-dropping-particle":"","parse-names":false,"suffix":""}],"container-title":"Applied Optics","id":"ITEM-1","issue":"22","issued":{"date-parts":[["2005","8","1"]]},"page":"4607-4614","publisher":"OSA - The Optical Society","title":"Computer-generated holograms for three-dimensional surface objects with shade and texture","type":"article-journal","volume":"44"},"uris":["http://www.mendeley.com/documents/?uuid=5ff69101-17ea-3f52-8144-26ede1b45dd6"]},{"id":"ITEM-2","itemData":{"DOI":"10.1364/AO.48.000H54","ISSN":"15394522","abstract":"A large-scale full-parallax computer-generated hologram (CGH) with four billion (216 × 216) pixels is created to reconstruct a fine true 3D image of a scene, with occlusions. The polygon-based method numerically generates the object field of a surface object, whose shape is provided by a set of vertex data of polygonal facets, while the silhouette method makes it possible to reconstruct the occluded scene. A novel technique using the segmented frame buffer is presented for handling and propagating large wave fields even in the case where the whole wave field cannot be stored in memory. We demonstrate that the full-parallax CGH, calculated by the proposed method and fabricated by a laser lithography system, reconstructs a fine 3D image accompanied by a strong sensation of depth. © 2009 Optical Society of America.","author":[{"dropping-particle":"","family":"Matsushima","given":"Kyoji","non-dropping-particle":"","parse-names":false,"suffix":""},{"dropping-particle":"","family":"Nakahara","given":"Sumio","non-dropping-particle":"","parse-names":false,"suffix":""}],"container-title":"Applied Optics","id":"ITEM-2","issue":"34","issued":{"date-parts":[["2009","12","1"]]},"page":"H54-H63","publisher":"OSA - The Optical Society","title":"Extremely high-definition full-parallax computer-generated hologram created by the polygon-based method","type":"article-journal","volume":"48"},"uris":["http://www.mendeley.com/documents/?uuid=14eded87-b89e-3840-9cc8-9cbbfdc38a8f"]},{"id":"ITEM-3","itemData":{"DOI":"10.1117/1.jei.21.2.023002","ISSN":"1017-9909","abstract":"Abstract. \\nA simple and practical technique is presented for creating fine three-dimensional (3D) images with polygon-based computer-generated holograms. The polygon-based method is a technique for computing the optical wave-field of virtual 3D scenes given by a numerical model. The presented method takes less computation time than common point-source methods and produces fine spatial 3D images of deep 3D scenes that convey a strong sensation of depth, unlike conventional 3D systems providing only binocular disparity. However, smooth surfaces cannot be reconstructed using the presented method because the surfaces are approximated by planar polygons. This problem is resolved by introducing a simple rendering technique that is almost the same as that in common computer graphics, since the polygon-based method has similarity to rendering techniques in computer graphics. Two actual computer holograms are presented to verify and demonstrate the proposed technique. One is a hologram of a live face whose shape is measured using a 3D laser scanner that outputs polygon-mesh data. The other is for a scene including the moon. Both are created employing the proposed rendering techniques of the texture mapping of real photographs and smooth shading.","author":[{"dropping-particle":"","family":"Matsushima","given":"Kyoji","non-dropping-particle":"","parse-names":false,"suffix":""},{"dropping-particle":"","family":"Nishi","given":"Hirohito","non-dropping-particle":"","parse-names":false,"suffix":""},{"dropping-particle":"","family":"Nakahara","given":"Sumio","non-dropping-particle":"","parse-names":false,"suffix":""}],"container-title":"Journal of Electronic Imaging","id":"ITEM-3","issue":"2","issued":{"date-parts":[["2012","4","25"]]},"page":"1","publisher":"SPIE-Intl Soc Optical Eng","title":"Simple wave-field rendering for photorealistic reconstruction in polygon-based high-definition computer holography","type":"article-journal","volume":"21"},"uris":["http://www.mendeley.com/documents/?uuid=ec635a4d-88c5-3d46-b728-832cfa12ac76"]}],"mendeley":{"formattedCitation":"&lt;sup&gt;9–11&lt;/sup&gt;","plainTextFormattedCitation":"9–11","previouslyFormattedCitation":"&lt;sup&gt;8–10&lt;/sup&gt;"},"properties":{"noteIndex":0},"schema":"https://github.com/citation-style-language/schema/raw/master/csl-citation.json"}</w:instrText>
      </w:r>
      <w:r w:rsidR="002A726B">
        <w:rPr>
          <w:lang w:val="en-GB"/>
        </w:rPr>
        <w:fldChar w:fldCharType="separate"/>
      </w:r>
      <w:r w:rsidR="005F6E05" w:rsidRPr="005F6E05">
        <w:rPr>
          <w:noProof/>
          <w:vertAlign w:val="superscript"/>
          <w:lang w:val="en-GB"/>
        </w:rPr>
        <w:t>9–11</w:t>
      </w:r>
      <w:r w:rsidR="002A726B">
        <w:rPr>
          <w:lang w:val="en-GB"/>
        </w:rPr>
        <w:fldChar w:fldCharType="end"/>
      </w:r>
      <w:r w:rsidR="002A726B">
        <w:rPr>
          <w:lang w:val="en-GB"/>
        </w:rPr>
        <w:t>. Each image component was converted to an equivalent source of light, rotated in space to appear at an angle to the observer, and assembled to form the overall scene</w:t>
      </w:r>
      <w:r w:rsidR="002A726B">
        <w:rPr>
          <w:lang w:val="en-GB"/>
        </w:rPr>
        <w:fldChar w:fldCharType="begin" w:fldLock="1"/>
      </w:r>
      <w:r w:rsidR="005F6E05">
        <w:rPr>
          <w:lang w:val="en-GB"/>
        </w:rPr>
        <w:instrText>ADDIN CSL_CITATION {"citationItems":[{"id":"ITEM-1","itemData":{"author":[{"dropping-particle":"","family":"Raeker","given":"Brian O.","non-dropping-particle":"","parse-names":false,"suffix":""},{"dropping-particle":"","family":"Grbic","given":"Anthony","non-dropping-particle":"","parse-names":false,"suffix":""}],"container-title":"arXiv (preprint at https://arxiv.org/abs/2011.07185)","id":"ITEM-1","issued":{"date-parts":[["2020","11","14"]]},"title":"Lossless, Complex-Valued Optical Field Control with Compound Metaoptics","type":"article-journal"},"uris":["http://www.mendeley.com/documents/?uuid=44f62aee-54de-3295-b40d-81c43e9864c4"]}],"mendeley":{"formattedCitation":"&lt;sup&gt;8&lt;/sup&gt;","plainTextFormattedCitation":"8","previouslyFormattedCitation":"&lt;sup&gt;7&lt;/sup&gt;"},"properties":{"noteIndex":0},"schema":"https://github.com/citation-style-language/schema/raw/master/csl-citation.json"}</w:instrText>
      </w:r>
      <w:r w:rsidR="002A726B">
        <w:rPr>
          <w:lang w:val="en-GB"/>
        </w:rPr>
        <w:fldChar w:fldCharType="separate"/>
      </w:r>
      <w:r w:rsidR="005F6E05" w:rsidRPr="005F6E05">
        <w:rPr>
          <w:noProof/>
          <w:vertAlign w:val="superscript"/>
          <w:lang w:val="en-GB"/>
        </w:rPr>
        <w:t>8</w:t>
      </w:r>
      <w:r w:rsidR="002A726B">
        <w:rPr>
          <w:lang w:val="en-GB"/>
        </w:rPr>
        <w:fldChar w:fldCharType="end"/>
      </w:r>
      <w:r w:rsidR="002A726B">
        <w:rPr>
          <w:lang w:val="en-GB"/>
        </w:rPr>
        <w:t xml:space="preserve">. </w:t>
      </w:r>
      <w:r w:rsidR="00C54AA5">
        <w:rPr>
          <w:lang w:val="en-GB"/>
        </w:rPr>
        <w:t xml:space="preserve">This hologram is composed of four separate image components: </w:t>
      </w:r>
      <w:r w:rsidR="00764075">
        <w:rPr>
          <w:lang w:val="en-GB"/>
        </w:rPr>
        <w:t>i</w:t>
      </w:r>
      <w:r w:rsidR="00C54AA5">
        <w:rPr>
          <w:lang w:val="en-GB"/>
        </w:rPr>
        <w:t xml:space="preserve">) spiral, </w:t>
      </w:r>
      <w:r w:rsidR="00764075">
        <w:rPr>
          <w:lang w:val="en-GB"/>
        </w:rPr>
        <w:t>ii</w:t>
      </w:r>
      <w:r w:rsidR="00C54AA5">
        <w:rPr>
          <w:lang w:val="en-GB"/>
        </w:rPr>
        <w:t xml:space="preserve">) series of stars, </w:t>
      </w:r>
      <w:r w:rsidR="00764075">
        <w:rPr>
          <w:lang w:val="en-GB"/>
        </w:rPr>
        <w:t>iii</w:t>
      </w:r>
      <w:r w:rsidR="00C54AA5">
        <w:rPr>
          <w:lang w:val="en-GB"/>
        </w:rPr>
        <w:t xml:space="preserve">) University of Michigan logo, and </w:t>
      </w:r>
      <w:r w:rsidR="00764075">
        <w:rPr>
          <w:lang w:val="en-GB"/>
        </w:rPr>
        <w:t>iv</w:t>
      </w:r>
      <w:r w:rsidR="00C54AA5">
        <w:rPr>
          <w:lang w:val="en-GB"/>
        </w:rPr>
        <w:t xml:space="preserve">) Vanderbilt University logo. The image components are rotated around an axis and placed at specific coordinates to assemble the 3D scene. The axis of rotation, rotation angle, and center </w:t>
      </w:r>
      <w:r w:rsidR="00764075">
        <w:rPr>
          <w:lang w:val="en-GB"/>
        </w:rPr>
        <w:t>position</w:t>
      </w:r>
      <w:r w:rsidR="00C54AA5">
        <w:rPr>
          <w:lang w:val="en-GB"/>
        </w:rPr>
        <w:t xml:space="preserve"> for each component are given in </w:t>
      </w:r>
      <w:r w:rsidR="00376BBA">
        <w:rPr>
          <w:lang w:val="en-GB"/>
        </w:rPr>
        <w:fldChar w:fldCharType="begin"/>
      </w:r>
      <w:r w:rsidR="00376BBA">
        <w:rPr>
          <w:lang w:val="en-GB"/>
        </w:rPr>
        <w:instrText xml:space="preserve"> REF _Ref59013169 \h </w:instrText>
      </w:r>
      <w:r w:rsidR="00376BBA">
        <w:rPr>
          <w:lang w:val="en-GB"/>
        </w:rPr>
      </w:r>
      <w:r w:rsidR="00376BBA">
        <w:rPr>
          <w:lang w:val="en-GB"/>
        </w:rPr>
        <w:fldChar w:fldCharType="separate"/>
      </w:r>
      <w:r w:rsidR="00575C42">
        <w:t xml:space="preserve">Table </w:t>
      </w:r>
      <w:r w:rsidR="00575C42">
        <w:rPr>
          <w:noProof/>
        </w:rPr>
        <w:t>1</w:t>
      </w:r>
      <w:r w:rsidR="00376BBA">
        <w:rPr>
          <w:lang w:val="en-GB"/>
        </w:rPr>
        <w:fldChar w:fldCharType="end"/>
      </w:r>
      <w:r w:rsidR="00C54AA5">
        <w:rPr>
          <w:lang w:val="en-GB"/>
        </w:rPr>
        <w:t>. While this 3D scene is relatively simple, the process can be followed to form a scene with many different image components arranged to form three-dimensional shape</w:t>
      </w:r>
      <w:r w:rsidR="00764075">
        <w:rPr>
          <w:lang w:val="en-GB"/>
        </w:rPr>
        <w:t>s</w:t>
      </w:r>
      <w:r w:rsidR="00C54AA5">
        <w:rPr>
          <w:lang w:val="en-GB"/>
        </w:rPr>
        <w:t xml:space="preserve"> </w:t>
      </w:r>
      <w:r w:rsidR="00764075">
        <w:rPr>
          <w:lang w:val="en-GB"/>
        </w:rPr>
        <w:t>of more complex</w:t>
      </w:r>
      <w:r w:rsidR="00C54AA5">
        <w:rPr>
          <w:lang w:val="en-GB"/>
        </w:rPr>
        <w:t xml:space="preserve"> object</w:t>
      </w:r>
      <w:r w:rsidR="00764075">
        <w:rPr>
          <w:lang w:val="en-GB"/>
        </w:rPr>
        <w:t>s.</w:t>
      </w:r>
    </w:p>
    <w:p w14:paraId="2385EFA5" w14:textId="1BDF0647" w:rsidR="00376BBA" w:rsidRDefault="00376BBA" w:rsidP="0028530B">
      <w:pPr>
        <w:pStyle w:val="Caption"/>
      </w:pPr>
      <w:bookmarkStart w:id="21" w:name="_Ref59013169"/>
      <w:r>
        <w:t xml:space="preserve">Table </w:t>
      </w:r>
      <w:r w:rsidR="003A5086">
        <w:fldChar w:fldCharType="begin"/>
      </w:r>
      <w:r w:rsidR="003A5086">
        <w:instrText xml:space="preserve"> SEQ Table \* ARABIC </w:instrText>
      </w:r>
      <w:r w:rsidR="003A5086">
        <w:fldChar w:fldCharType="separate"/>
      </w:r>
      <w:r>
        <w:rPr>
          <w:noProof/>
        </w:rPr>
        <w:t>1</w:t>
      </w:r>
      <w:r w:rsidR="003A5086">
        <w:rPr>
          <w:noProof/>
        </w:rPr>
        <w:fldChar w:fldCharType="end"/>
      </w:r>
      <w:bookmarkEnd w:id="21"/>
      <w:r>
        <w:t xml:space="preserve">: Manipulation parameters of each image component to assemble the three-dimensional hologram scene. </w:t>
      </w:r>
    </w:p>
    <w:tbl>
      <w:tblPr>
        <w:tblStyle w:val="TableGrid"/>
        <w:tblW w:w="9586" w:type="dxa"/>
        <w:tblLook w:val="04A0" w:firstRow="1" w:lastRow="0" w:firstColumn="1" w:lastColumn="0" w:noHBand="0" w:noVBand="1"/>
      </w:tblPr>
      <w:tblGrid>
        <w:gridCol w:w="2785"/>
        <w:gridCol w:w="1673"/>
        <w:gridCol w:w="2253"/>
        <w:gridCol w:w="2875"/>
      </w:tblGrid>
      <w:tr w:rsidR="00C54AA5" w14:paraId="0B1E6A8A" w14:textId="77777777" w:rsidTr="00764075">
        <w:tc>
          <w:tcPr>
            <w:tcW w:w="2785" w:type="dxa"/>
          </w:tcPr>
          <w:p w14:paraId="48E8E149" w14:textId="0433C636" w:rsidR="00C54AA5" w:rsidRPr="00C54AA5" w:rsidRDefault="00C54AA5" w:rsidP="00C54AA5">
            <w:pPr>
              <w:spacing w:after="0"/>
              <w:jc w:val="center"/>
              <w:rPr>
                <w:b/>
                <w:bCs/>
                <w:lang w:val="en-GB"/>
              </w:rPr>
            </w:pPr>
            <w:r w:rsidRPr="00C54AA5">
              <w:rPr>
                <w:b/>
                <w:bCs/>
                <w:lang w:val="en-GB"/>
              </w:rPr>
              <w:t>Image Component</w:t>
            </w:r>
          </w:p>
        </w:tc>
        <w:tc>
          <w:tcPr>
            <w:tcW w:w="1673" w:type="dxa"/>
          </w:tcPr>
          <w:p w14:paraId="29178B1B" w14:textId="4724846F" w:rsidR="00C54AA5" w:rsidRPr="00C54AA5" w:rsidRDefault="00C54AA5" w:rsidP="00C54AA5">
            <w:pPr>
              <w:spacing w:after="0"/>
              <w:jc w:val="center"/>
              <w:rPr>
                <w:b/>
                <w:bCs/>
                <w:lang w:val="en-GB"/>
              </w:rPr>
            </w:pPr>
            <w:r w:rsidRPr="00C54AA5">
              <w:rPr>
                <w:b/>
                <w:bCs/>
                <w:lang w:val="en-GB"/>
              </w:rPr>
              <w:t>Rotation Axis</w:t>
            </w:r>
          </w:p>
        </w:tc>
        <w:tc>
          <w:tcPr>
            <w:tcW w:w="2253" w:type="dxa"/>
          </w:tcPr>
          <w:p w14:paraId="07405FA2" w14:textId="71A8BA0E" w:rsidR="00C54AA5" w:rsidRPr="00C54AA5" w:rsidRDefault="00C54AA5" w:rsidP="00C54AA5">
            <w:pPr>
              <w:spacing w:after="0"/>
              <w:jc w:val="center"/>
              <w:rPr>
                <w:b/>
                <w:bCs/>
                <w:lang w:val="en-GB"/>
              </w:rPr>
            </w:pPr>
            <w:r w:rsidRPr="00C54AA5">
              <w:rPr>
                <w:b/>
                <w:bCs/>
                <w:lang w:val="en-GB"/>
              </w:rPr>
              <w:t>Rotation Angle</w:t>
            </w:r>
            <w:r w:rsidR="00376BBA">
              <w:rPr>
                <w:b/>
                <w:bCs/>
                <w:lang w:val="en-GB"/>
              </w:rPr>
              <w:t xml:space="preserve"> (degrees)</w:t>
            </w:r>
          </w:p>
        </w:tc>
        <w:tc>
          <w:tcPr>
            <w:tcW w:w="2875" w:type="dxa"/>
          </w:tcPr>
          <w:p w14:paraId="4BA16EA4" w14:textId="0D6009BE" w:rsidR="00C54AA5" w:rsidRPr="00C54AA5" w:rsidRDefault="00C54AA5" w:rsidP="00C54AA5">
            <w:pPr>
              <w:spacing w:after="0"/>
              <w:jc w:val="center"/>
              <w:rPr>
                <w:b/>
                <w:bCs/>
                <w:lang w:val="en-GB"/>
              </w:rPr>
            </w:pPr>
            <w:r w:rsidRPr="00C54AA5">
              <w:rPr>
                <w:b/>
                <w:bCs/>
                <w:lang w:val="en-GB"/>
              </w:rPr>
              <w:t xml:space="preserve">Center </w:t>
            </w:r>
            <w:r w:rsidR="00764075">
              <w:rPr>
                <w:b/>
                <w:bCs/>
                <w:lang w:val="en-GB"/>
              </w:rPr>
              <w:t>Position</w:t>
            </w:r>
          </w:p>
        </w:tc>
      </w:tr>
      <w:tr w:rsidR="00C54AA5" w14:paraId="152D6754" w14:textId="77777777" w:rsidTr="00764075">
        <w:tc>
          <w:tcPr>
            <w:tcW w:w="2785" w:type="dxa"/>
          </w:tcPr>
          <w:p w14:paraId="28E9E542" w14:textId="441FB77D" w:rsidR="00376BBA" w:rsidRDefault="00376BBA" w:rsidP="00C54AA5">
            <w:pPr>
              <w:spacing w:after="0"/>
              <w:jc w:val="both"/>
              <w:rPr>
                <w:lang w:val="en-GB"/>
              </w:rPr>
            </w:pPr>
            <w:r>
              <w:rPr>
                <w:lang w:val="en-GB"/>
              </w:rPr>
              <w:t>Spiral</w:t>
            </w:r>
          </w:p>
        </w:tc>
        <w:tc>
          <w:tcPr>
            <w:tcW w:w="1673" w:type="dxa"/>
          </w:tcPr>
          <w:p w14:paraId="300CE680" w14:textId="591A7CD5" w:rsidR="00C54AA5" w:rsidRDefault="00376BBA" w:rsidP="00376BBA">
            <w:pPr>
              <w:spacing w:after="0"/>
              <w:jc w:val="center"/>
              <w:rPr>
                <w:lang w:val="en-GB"/>
              </w:rPr>
            </w:pPr>
            <m:oMathPara>
              <m:oMath>
                <m:r>
                  <w:rPr>
                    <w:rFonts w:ascii="Cambria Math" w:hAnsi="Cambria Math"/>
                    <w:lang w:val="en-GB"/>
                  </w:rPr>
                  <m:t>y=x</m:t>
                </m:r>
              </m:oMath>
            </m:oMathPara>
          </w:p>
        </w:tc>
        <w:tc>
          <w:tcPr>
            <w:tcW w:w="2253" w:type="dxa"/>
          </w:tcPr>
          <w:p w14:paraId="79F387F3" w14:textId="3F2066E5" w:rsidR="00C54AA5" w:rsidRDefault="00376BBA" w:rsidP="00376BBA">
            <w:pPr>
              <w:spacing w:after="0"/>
              <w:jc w:val="center"/>
              <w:rPr>
                <w:lang w:val="en-GB"/>
              </w:rPr>
            </w:pPr>
            <w:r>
              <w:rPr>
                <w:lang w:val="en-GB"/>
              </w:rPr>
              <w:t>20</w:t>
            </w:r>
          </w:p>
        </w:tc>
        <w:tc>
          <w:tcPr>
            <w:tcW w:w="2875" w:type="dxa"/>
          </w:tcPr>
          <w:p w14:paraId="0EB3721C" w14:textId="1E3C8360" w:rsidR="00C54AA5" w:rsidRDefault="00376BBA" w:rsidP="00376BBA">
            <w:pPr>
              <w:spacing w:after="0"/>
              <w:jc w:val="center"/>
              <w:rPr>
                <w:lang w:val="en-GB"/>
              </w:rPr>
            </w:pPr>
            <m:oMathPara>
              <m:oMath>
                <m:r>
                  <w:rPr>
                    <w:rFonts w:ascii="Cambria Math" w:eastAsiaTheme="minorEastAsia" w:hAnsi="Cambria Math"/>
                    <w:lang w:val="en-GB"/>
                  </w:rPr>
                  <m:t>(</m:t>
                </m:r>
                <m:r>
                  <w:rPr>
                    <w:rFonts w:ascii="Cambria Math" w:hAnsi="Cambria Math"/>
                    <w:lang w:val="en-GB"/>
                  </w:rPr>
                  <m:t>0, 0, 104μm)</m:t>
                </m:r>
              </m:oMath>
            </m:oMathPara>
          </w:p>
        </w:tc>
      </w:tr>
      <w:tr w:rsidR="00C54AA5" w14:paraId="65DB301E" w14:textId="77777777" w:rsidTr="00764075">
        <w:tc>
          <w:tcPr>
            <w:tcW w:w="2785" w:type="dxa"/>
          </w:tcPr>
          <w:p w14:paraId="09E1BC1D" w14:textId="3643701B" w:rsidR="00C54AA5" w:rsidRDefault="00376BBA" w:rsidP="00C54AA5">
            <w:pPr>
              <w:spacing w:after="0"/>
              <w:jc w:val="both"/>
              <w:rPr>
                <w:lang w:val="en-GB"/>
              </w:rPr>
            </w:pPr>
            <w:r>
              <w:rPr>
                <w:lang w:val="en-GB"/>
              </w:rPr>
              <w:t>Stars</w:t>
            </w:r>
          </w:p>
        </w:tc>
        <w:tc>
          <w:tcPr>
            <w:tcW w:w="1673" w:type="dxa"/>
          </w:tcPr>
          <w:p w14:paraId="33FA59A9" w14:textId="392E0DAA" w:rsidR="00C54AA5" w:rsidRDefault="00376BBA" w:rsidP="00376BBA">
            <w:pPr>
              <w:spacing w:after="0"/>
              <w:jc w:val="center"/>
              <w:rPr>
                <w:lang w:val="en-GB"/>
              </w:rPr>
            </w:pPr>
            <w:r>
              <w:rPr>
                <w:lang w:val="en-GB"/>
              </w:rPr>
              <w:t>No rotation</w:t>
            </w:r>
          </w:p>
        </w:tc>
        <w:tc>
          <w:tcPr>
            <w:tcW w:w="2253" w:type="dxa"/>
          </w:tcPr>
          <w:p w14:paraId="264E79EB" w14:textId="4B7D28F4" w:rsidR="00C54AA5" w:rsidRDefault="00376BBA" w:rsidP="00376BBA">
            <w:pPr>
              <w:spacing w:after="0"/>
              <w:jc w:val="center"/>
              <w:rPr>
                <w:lang w:val="en-GB"/>
              </w:rPr>
            </w:pPr>
            <w:r>
              <w:rPr>
                <w:lang w:val="en-GB"/>
              </w:rPr>
              <w:t>No rotation</w:t>
            </w:r>
          </w:p>
        </w:tc>
        <w:tc>
          <w:tcPr>
            <w:tcW w:w="2875" w:type="dxa"/>
          </w:tcPr>
          <w:p w14:paraId="2BA7F7D3" w14:textId="537086FA" w:rsidR="00C54AA5" w:rsidRDefault="00376BBA" w:rsidP="00376BBA">
            <w:pPr>
              <w:spacing w:after="0"/>
              <w:jc w:val="center"/>
              <w:rPr>
                <w:lang w:val="en-GB"/>
              </w:rPr>
            </w:pPr>
            <m:oMathPara>
              <m:oMath>
                <m:r>
                  <w:rPr>
                    <w:rFonts w:ascii="Cambria Math" w:hAnsi="Cambria Math"/>
                    <w:lang w:val="en-GB"/>
                  </w:rPr>
                  <m:t>(0, 0, 104μm)</m:t>
                </m:r>
              </m:oMath>
            </m:oMathPara>
          </w:p>
        </w:tc>
      </w:tr>
      <w:tr w:rsidR="00C54AA5" w14:paraId="66C565DC" w14:textId="77777777" w:rsidTr="00764075">
        <w:tc>
          <w:tcPr>
            <w:tcW w:w="2785" w:type="dxa"/>
          </w:tcPr>
          <w:p w14:paraId="24D1E044" w14:textId="619C7BF2" w:rsidR="00C54AA5" w:rsidRDefault="00376BBA" w:rsidP="00C54AA5">
            <w:pPr>
              <w:spacing w:after="0"/>
              <w:jc w:val="both"/>
              <w:rPr>
                <w:lang w:val="en-GB"/>
              </w:rPr>
            </w:pPr>
            <w:r>
              <w:rPr>
                <w:lang w:val="en-GB"/>
              </w:rPr>
              <w:t>University of Michigan logo</w:t>
            </w:r>
          </w:p>
        </w:tc>
        <w:tc>
          <w:tcPr>
            <w:tcW w:w="1673" w:type="dxa"/>
          </w:tcPr>
          <w:p w14:paraId="229563BA" w14:textId="3E210578" w:rsidR="00C54AA5" w:rsidRDefault="00376BBA" w:rsidP="00376BBA">
            <w:pPr>
              <w:spacing w:after="0"/>
              <w:jc w:val="center"/>
              <w:rPr>
                <w:lang w:val="en-GB"/>
              </w:rPr>
            </w:pPr>
            <m:oMathPara>
              <m:oMath>
                <m:r>
                  <w:rPr>
                    <w:rFonts w:ascii="Cambria Math" w:hAnsi="Cambria Math"/>
                    <w:lang w:val="en-GB"/>
                  </w:rPr>
                  <m:t>y</m:t>
                </m:r>
              </m:oMath>
            </m:oMathPara>
          </w:p>
        </w:tc>
        <w:tc>
          <w:tcPr>
            <w:tcW w:w="2253" w:type="dxa"/>
          </w:tcPr>
          <w:p w14:paraId="581F93EF" w14:textId="599BAFF9" w:rsidR="00C54AA5" w:rsidRDefault="00376BBA" w:rsidP="00376BBA">
            <w:pPr>
              <w:spacing w:after="0"/>
              <w:jc w:val="center"/>
              <w:rPr>
                <w:lang w:val="en-GB"/>
              </w:rPr>
            </w:pPr>
            <w:r>
              <w:rPr>
                <w:lang w:val="en-GB"/>
              </w:rPr>
              <w:t>25</w:t>
            </w:r>
          </w:p>
        </w:tc>
        <w:tc>
          <w:tcPr>
            <w:tcW w:w="2875" w:type="dxa"/>
          </w:tcPr>
          <w:p w14:paraId="4E7B2EF6" w14:textId="1F7D085B" w:rsidR="00C54AA5" w:rsidRDefault="00376BBA" w:rsidP="00376BBA">
            <w:pPr>
              <w:spacing w:after="0"/>
              <w:jc w:val="center"/>
              <w:rPr>
                <w:lang w:val="en-GB"/>
              </w:rPr>
            </w:pPr>
            <m:oMathPara>
              <m:oMath>
                <m:r>
                  <w:rPr>
                    <w:rFonts w:ascii="Cambria Math" w:hAnsi="Cambria Math"/>
                    <w:lang w:val="en-GB"/>
                  </w:rPr>
                  <m:t>(-35μm, -35μm, 156μm)</m:t>
                </m:r>
              </m:oMath>
            </m:oMathPara>
          </w:p>
        </w:tc>
      </w:tr>
      <w:tr w:rsidR="00376BBA" w14:paraId="76355E3D" w14:textId="77777777" w:rsidTr="00764075">
        <w:tc>
          <w:tcPr>
            <w:tcW w:w="2785" w:type="dxa"/>
          </w:tcPr>
          <w:p w14:paraId="3DE1A89A" w14:textId="5BED9FF5" w:rsidR="00376BBA" w:rsidRDefault="00376BBA" w:rsidP="00376BBA">
            <w:pPr>
              <w:spacing w:after="0"/>
              <w:jc w:val="both"/>
              <w:rPr>
                <w:lang w:val="en-GB"/>
              </w:rPr>
            </w:pPr>
            <w:r>
              <w:rPr>
                <w:lang w:val="en-GB"/>
              </w:rPr>
              <w:t>Vanderbilt University logo</w:t>
            </w:r>
          </w:p>
        </w:tc>
        <w:tc>
          <w:tcPr>
            <w:tcW w:w="1673" w:type="dxa"/>
          </w:tcPr>
          <w:p w14:paraId="150DE334" w14:textId="10FBE46F" w:rsidR="00376BBA" w:rsidRDefault="00376BBA" w:rsidP="00376BBA">
            <w:pPr>
              <w:spacing w:after="0"/>
              <w:jc w:val="center"/>
              <w:rPr>
                <w:lang w:val="en-GB"/>
              </w:rPr>
            </w:pPr>
            <m:oMathPara>
              <m:oMath>
                <m:r>
                  <w:rPr>
                    <w:rFonts w:ascii="Cambria Math" w:hAnsi="Cambria Math"/>
                    <w:lang w:val="en-GB"/>
                  </w:rPr>
                  <m:t>x</m:t>
                </m:r>
              </m:oMath>
            </m:oMathPara>
          </w:p>
        </w:tc>
        <w:tc>
          <w:tcPr>
            <w:tcW w:w="2253" w:type="dxa"/>
          </w:tcPr>
          <w:p w14:paraId="50D211C3" w14:textId="3AD01505" w:rsidR="00376BBA" w:rsidRDefault="00376BBA" w:rsidP="00376BBA">
            <w:pPr>
              <w:spacing w:after="0"/>
              <w:jc w:val="center"/>
              <w:rPr>
                <w:lang w:val="en-GB"/>
              </w:rPr>
            </w:pPr>
            <w:r>
              <w:rPr>
                <w:lang w:val="en-GB"/>
              </w:rPr>
              <w:t>25</w:t>
            </w:r>
          </w:p>
        </w:tc>
        <w:tc>
          <w:tcPr>
            <w:tcW w:w="2875" w:type="dxa"/>
          </w:tcPr>
          <w:p w14:paraId="260057CF" w14:textId="09612C38" w:rsidR="00376BBA" w:rsidRDefault="00376BBA" w:rsidP="00376BBA">
            <w:pPr>
              <w:spacing w:after="0"/>
              <w:jc w:val="center"/>
              <w:rPr>
                <w:lang w:val="en-GB"/>
              </w:rPr>
            </w:pPr>
            <m:oMathPara>
              <m:oMath>
                <m:r>
                  <w:rPr>
                    <w:rFonts w:ascii="Cambria Math" w:hAnsi="Cambria Math"/>
                    <w:lang w:val="en-GB"/>
                  </w:rPr>
                  <m:t>(55μm, 50μm, 104μm)</m:t>
                </m:r>
              </m:oMath>
            </m:oMathPara>
          </w:p>
        </w:tc>
      </w:tr>
    </w:tbl>
    <w:p w14:paraId="06BAE6F4" w14:textId="58CDE3C2" w:rsidR="00C54AA5" w:rsidRDefault="00C54AA5" w:rsidP="00575C42">
      <w:pPr>
        <w:spacing w:after="0"/>
        <w:jc w:val="both"/>
        <w:rPr>
          <w:lang w:val="en-GB"/>
        </w:rPr>
      </w:pPr>
    </w:p>
    <w:p w14:paraId="31BA414E" w14:textId="5BDCEBA3" w:rsidR="00376BBA" w:rsidRDefault="005E23B7" w:rsidP="002A726B">
      <w:pPr>
        <w:jc w:val="both"/>
        <w:rPr>
          <w:rFonts w:eastAsiaTheme="minorEastAsia"/>
          <w:lang w:val="en-GB"/>
        </w:rPr>
      </w:pPr>
      <w:r>
        <w:rPr>
          <w:lang w:val="en-GB"/>
        </w:rPr>
        <w:t>The field distribution forming these hologram image component</w:t>
      </w:r>
      <w:r w:rsidR="000A01AE">
        <w:rPr>
          <w:lang w:val="en-GB"/>
        </w:rPr>
        <w:t xml:space="preserve">s is calculated at the </w:t>
      </w:r>
      <w:r w:rsidR="005314ED">
        <w:rPr>
          <w:lang w:val="en-GB"/>
        </w:rPr>
        <w:t>meta-optic</w:t>
      </w:r>
      <w:r w:rsidR="000A01AE">
        <w:rPr>
          <w:lang w:val="en-GB"/>
        </w:rPr>
        <w:t xml:space="preserve"> output plane (located at </w:t>
      </w:r>
      <m:oMath>
        <m:r>
          <w:rPr>
            <w:rFonts w:ascii="Cambria Math" w:hAnsi="Cambria Math"/>
            <w:lang w:val="en-GB"/>
          </w:rPr>
          <m:t>z=0</m:t>
        </m:r>
      </m:oMath>
      <w:r w:rsidR="000A01AE">
        <w:rPr>
          <w:rFonts w:eastAsiaTheme="minorEastAsia"/>
          <w:lang w:val="en-GB"/>
        </w:rPr>
        <w:t xml:space="preserve">) and is shown in </w:t>
      </w:r>
      <w:r w:rsidR="000A01AE">
        <w:rPr>
          <w:rFonts w:eastAsiaTheme="minorEastAsia"/>
          <w:lang w:val="en-GB"/>
        </w:rPr>
        <w:fldChar w:fldCharType="begin"/>
      </w:r>
      <w:r w:rsidR="000A01AE">
        <w:rPr>
          <w:rFonts w:eastAsiaTheme="minorEastAsia"/>
          <w:lang w:val="en-GB"/>
        </w:rPr>
        <w:instrText xml:space="preserve"> REF _Ref59013361 \h </w:instrText>
      </w:r>
      <w:r w:rsidR="000A01AE">
        <w:rPr>
          <w:rFonts w:eastAsiaTheme="minorEastAsia"/>
          <w:lang w:val="en-GB"/>
        </w:rPr>
      </w:r>
      <w:r w:rsidR="000A01AE">
        <w:rPr>
          <w:rFonts w:eastAsiaTheme="minorEastAsia"/>
          <w:lang w:val="en-GB"/>
        </w:rPr>
        <w:fldChar w:fldCharType="separate"/>
      </w:r>
      <w:r w:rsidR="007121FD">
        <w:t>Figure S</w:t>
      </w:r>
      <w:r w:rsidR="007121FD">
        <w:rPr>
          <w:noProof/>
        </w:rPr>
        <w:t>15</w:t>
      </w:r>
      <w:r w:rsidR="000A01AE">
        <w:rPr>
          <w:rFonts w:eastAsiaTheme="minorEastAsia"/>
          <w:lang w:val="en-GB"/>
        </w:rPr>
        <w:fldChar w:fldCharType="end"/>
      </w:r>
      <w:r w:rsidR="000A01AE">
        <w:rPr>
          <w:rFonts w:eastAsiaTheme="minorEastAsia"/>
          <w:lang w:val="en-GB"/>
        </w:rPr>
        <w:t xml:space="preserve">(a, b) as the amplitude and phase distributions. The </w:t>
      </w:r>
      <w:r w:rsidR="002E2177">
        <w:rPr>
          <w:rFonts w:eastAsiaTheme="minorEastAsia"/>
          <w:lang w:val="en-GB"/>
        </w:rPr>
        <w:t xml:space="preserve">metasurface </w:t>
      </w:r>
      <w:r w:rsidR="000A01AE">
        <w:rPr>
          <w:rFonts w:eastAsiaTheme="minorEastAsia"/>
          <w:lang w:val="en-GB"/>
        </w:rPr>
        <w:t xml:space="preserve">transmission phase profiles </w:t>
      </w:r>
      <w:r w:rsidR="00FB75CA">
        <w:rPr>
          <w:rFonts w:eastAsiaTheme="minorEastAsia"/>
          <w:lang w:val="en-GB"/>
        </w:rPr>
        <w:t xml:space="preserve">needed </w:t>
      </w:r>
      <w:r w:rsidR="000A01AE">
        <w:rPr>
          <w:rFonts w:eastAsiaTheme="minorEastAsia"/>
          <w:lang w:val="en-GB"/>
        </w:rPr>
        <w:t xml:space="preserve">to perform the complex-valued field conversion are shown in </w:t>
      </w:r>
      <w:r w:rsidR="000A01AE">
        <w:rPr>
          <w:rFonts w:eastAsiaTheme="minorEastAsia"/>
          <w:lang w:val="en-GB"/>
        </w:rPr>
        <w:fldChar w:fldCharType="begin"/>
      </w:r>
      <w:r w:rsidR="000A01AE">
        <w:rPr>
          <w:rFonts w:eastAsiaTheme="minorEastAsia"/>
          <w:lang w:val="en-GB"/>
        </w:rPr>
        <w:instrText xml:space="preserve"> REF _Ref59013361 \h </w:instrText>
      </w:r>
      <w:r w:rsidR="000A01AE">
        <w:rPr>
          <w:rFonts w:eastAsiaTheme="minorEastAsia"/>
          <w:lang w:val="en-GB"/>
        </w:rPr>
      </w:r>
      <w:r w:rsidR="000A01AE">
        <w:rPr>
          <w:rFonts w:eastAsiaTheme="minorEastAsia"/>
          <w:lang w:val="en-GB"/>
        </w:rPr>
        <w:fldChar w:fldCharType="separate"/>
      </w:r>
      <w:r w:rsidR="007121FD">
        <w:t>Figure S</w:t>
      </w:r>
      <w:r w:rsidR="007121FD">
        <w:rPr>
          <w:noProof/>
        </w:rPr>
        <w:t>15</w:t>
      </w:r>
      <w:r w:rsidR="000A01AE">
        <w:rPr>
          <w:rFonts w:eastAsiaTheme="minorEastAsia"/>
          <w:lang w:val="en-GB"/>
        </w:rPr>
        <w:fldChar w:fldCharType="end"/>
      </w:r>
      <w:r w:rsidR="000A01AE">
        <w:rPr>
          <w:rFonts w:eastAsiaTheme="minorEastAsia"/>
          <w:lang w:val="en-GB"/>
        </w:rPr>
        <w:t xml:space="preserve">(c, d).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5D5E2B" w14:paraId="5A78D9B3" w14:textId="77777777" w:rsidTr="00575C42">
        <w:tc>
          <w:tcPr>
            <w:tcW w:w="9350" w:type="dxa"/>
          </w:tcPr>
          <w:p w14:paraId="7D67B307" w14:textId="77777777" w:rsidR="00C32890" w:rsidRDefault="00D4742A" w:rsidP="00575C42">
            <w:pPr>
              <w:keepNext/>
              <w:spacing w:after="0"/>
              <w:ind w:left="-106"/>
            </w:pPr>
            <w:r>
              <w:rPr>
                <w:noProof/>
                <w:lang w:val="en-GB"/>
              </w:rPr>
              <w:drawing>
                <wp:inline distT="0" distB="0" distL="0" distR="0" wp14:anchorId="06455A0E" wp14:editId="4720ABFD">
                  <wp:extent cx="5942999" cy="1283242"/>
                  <wp:effectExtent l="0" t="0" r="63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942999" cy="1283242"/>
                          </a:xfrm>
                          <a:prstGeom prst="rect">
                            <a:avLst/>
                          </a:prstGeom>
                        </pic:spPr>
                      </pic:pic>
                    </a:graphicData>
                  </a:graphic>
                </wp:inline>
              </w:drawing>
            </w:r>
          </w:p>
          <w:p w14:paraId="3FCA99BE" w14:textId="3C7F8892" w:rsidR="005D5E2B" w:rsidRDefault="00C32890" w:rsidP="0028530B">
            <w:pPr>
              <w:pStyle w:val="Caption"/>
              <w:rPr>
                <w:lang w:val="en-GB"/>
              </w:rPr>
            </w:pPr>
            <w:bookmarkStart w:id="22" w:name="_Ref59013361"/>
            <w:r>
              <w:t>Figure S</w:t>
            </w:r>
            <w:r w:rsidR="003A5086">
              <w:fldChar w:fldCharType="begin"/>
            </w:r>
            <w:r w:rsidR="003A5086">
              <w:instrText xml:space="preserve"> SEQ Figure_S \* ARABIC </w:instrText>
            </w:r>
            <w:r w:rsidR="003A5086">
              <w:fldChar w:fldCharType="separate"/>
            </w:r>
            <w:r w:rsidR="00A67938">
              <w:rPr>
                <w:noProof/>
              </w:rPr>
              <w:t>15</w:t>
            </w:r>
            <w:r w:rsidR="003A5086">
              <w:rPr>
                <w:noProof/>
              </w:rPr>
              <w:fldChar w:fldCharType="end"/>
            </w:r>
            <w:bookmarkEnd w:id="22"/>
            <w:r>
              <w:t xml:space="preserve">: Design </w:t>
            </w:r>
            <w:r w:rsidR="000A01AE">
              <w:t>of the solid-image</w:t>
            </w:r>
            <w:r>
              <w:t xml:space="preserve"> 3D hologram.</w:t>
            </w:r>
            <w:r w:rsidR="000A01AE">
              <w:t xml:space="preserve"> </w:t>
            </w:r>
            <w:r w:rsidR="000A01AE" w:rsidRPr="00575C42">
              <w:rPr>
                <w:b/>
                <w:bCs/>
              </w:rPr>
              <w:t>(a, b)</w:t>
            </w:r>
            <w:r w:rsidR="000A01AE">
              <w:t xml:space="preserve"> The amplitude and phase distributions of the desired output field, which is constructed using computer-generated hologram methods. </w:t>
            </w:r>
            <w:r w:rsidR="000A01AE" w:rsidRPr="00575C42">
              <w:rPr>
                <w:b/>
                <w:bCs/>
              </w:rPr>
              <w:t>(c, d)</w:t>
            </w:r>
            <w:r w:rsidR="000A01AE">
              <w:t xml:space="preserve"> The transmission phase distributions implemented by each metasurface to form the desired output field distribution from a square, uniform illumination.</w:t>
            </w:r>
          </w:p>
        </w:tc>
      </w:tr>
    </w:tbl>
    <w:p w14:paraId="48579509" w14:textId="7EDE73B4" w:rsidR="005D5E2B" w:rsidRDefault="005D5E2B" w:rsidP="00575C42">
      <w:pPr>
        <w:spacing w:after="0"/>
        <w:rPr>
          <w:lang w:val="en-GB"/>
        </w:rPr>
      </w:pPr>
    </w:p>
    <w:p w14:paraId="3709B20F" w14:textId="1092A7B1" w:rsidR="000A01AE" w:rsidRDefault="000A01AE" w:rsidP="00A67938">
      <w:pPr>
        <w:jc w:val="both"/>
        <w:rPr>
          <w:lang w:val="en-GB"/>
        </w:rPr>
      </w:pPr>
      <w:r>
        <w:rPr>
          <w:lang w:val="en-GB"/>
        </w:rPr>
        <w:t xml:space="preserve">The </w:t>
      </w:r>
      <w:r w:rsidR="005314ED">
        <w:rPr>
          <w:lang w:val="en-GB"/>
        </w:rPr>
        <w:t>meta-optic</w:t>
      </w:r>
      <w:r>
        <w:rPr>
          <w:lang w:val="en-GB"/>
        </w:rPr>
        <w:t xml:space="preserve"> </w:t>
      </w:r>
      <w:r w:rsidR="002E2177">
        <w:rPr>
          <w:lang w:val="en-GB"/>
        </w:rPr>
        <w:t>was simulated</w:t>
      </w:r>
      <w:r>
        <w:rPr>
          <w:lang w:val="en-GB"/>
        </w:rPr>
        <w:t>, with result</w:t>
      </w:r>
      <w:r w:rsidR="00FB75CA">
        <w:rPr>
          <w:lang w:val="en-GB"/>
        </w:rPr>
        <w:t>s</w:t>
      </w:r>
      <w:r>
        <w:rPr>
          <w:lang w:val="en-GB"/>
        </w:rPr>
        <w:t xml:space="preserve"> given in </w:t>
      </w:r>
      <w:r>
        <w:rPr>
          <w:lang w:val="en-GB"/>
        </w:rPr>
        <w:fldChar w:fldCharType="begin"/>
      </w:r>
      <w:r>
        <w:rPr>
          <w:lang w:val="en-GB"/>
        </w:rPr>
        <w:instrText xml:space="preserve"> REF _Ref59013730 \h </w:instrText>
      </w:r>
      <w:r>
        <w:rPr>
          <w:lang w:val="en-GB"/>
        </w:rPr>
      </w:r>
      <w:r>
        <w:rPr>
          <w:lang w:val="en-GB"/>
        </w:rPr>
        <w:fldChar w:fldCharType="separate"/>
      </w:r>
      <w:r w:rsidR="007121FD">
        <w:t>Figure S</w:t>
      </w:r>
      <w:r w:rsidR="007121FD">
        <w:rPr>
          <w:noProof/>
        </w:rPr>
        <w:t>16</w:t>
      </w:r>
      <w:r>
        <w:rPr>
          <w:lang w:val="en-GB"/>
        </w:rPr>
        <w:fldChar w:fldCharType="end"/>
      </w:r>
      <w:r>
        <w:rPr>
          <w:lang w:val="en-GB"/>
        </w:rPr>
        <w:t xml:space="preserve">. By comparing the simulated output field in </w:t>
      </w:r>
      <w:r>
        <w:rPr>
          <w:lang w:val="en-GB"/>
        </w:rPr>
        <w:fldChar w:fldCharType="begin"/>
      </w:r>
      <w:r>
        <w:rPr>
          <w:lang w:val="en-GB"/>
        </w:rPr>
        <w:instrText xml:space="preserve"> REF _Ref59013730 \h </w:instrText>
      </w:r>
      <w:r>
        <w:rPr>
          <w:lang w:val="en-GB"/>
        </w:rPr>
      </w:r>
      <w:r>
        <w:rPr>
          <w:lang w:val="en-GB"/>
        </w:rPr>
        <w:fldChar w:fldCharType="separate"/>
      </w:r>
      <w:r w:rsidR="007121FD">
        <w:t>Figure S</w:t>
      </w:r>
      <w:r w:rsidR="007121FD">
        <w:rPr>
          <w:noProof/>
        </w:rPr>
        <w:t>16</w:t>
      </w:r>
      <w:r>
        <w:rPr>
          <w:lang w:val="en-GB"/>
        </w:rPr>
        <w:fldChar w:fldCharType="end"/>
      </w:r>
      <w:r>
        <w:rPr>
          <w:lang w:val="en-GB"/>
        </w:rPr>
        <w:t xml:space="preserve">(d) to the desired output field in </w:t>
      </w:r>
      <w:r>
        <w:rPr>
          <w:lang w:val="en-GB"/>
        </w:rPr>
        <w:fldChar w:fldCharType="begin"/>
      </w:r>
      <w:r>
        <w:rPr>
          <w:lang w:val="en-GB"/>
        </w:rPr>
        <w:instrText xml:space="preserve"> REF _Ref59013361 \h </w:instrText>
      </w:r>
      <w:r>
        <w:rPr>
          <w:lang w:val="en-GB"/>
        </w:rPr>
      </w:r>
      <w:r>
        <w:rPr>
          <w:lang w:val="en-GB"/>
        </w:rPr>
        <w:fldChar w:fldCharType="separate"/>
      </w:r>
      <w:r w:rsidR="007121FD">
        <w:t>Figure S</w:t>
      </w:r>
      <w:r w:rsidR="007121FD">
        <w:rPr>
          <w:noProof/>
        </w:rPr>
        <w:t>15</w:t>
      </w:r>
      <w:r>
        <w:rPr>
          <w:lang w:val="en-GB"/>
        </w:rPr>
        <w:fldChar w:fldCharType="end"/>
      </w:r>
      <w:r>
        <w:rPr>
          <w:lang w:val="en-GB"/>
        </w:rPr>
        <w:t xml:space="preserve">(a, b), we see that the </w:t>
      </w:r>
      <w:r w:rsidR="005314ED">
        <w:rPr>
          <w:lang w:val="en-GB"/>
        </w:rPr>
        <w:t>meta-optic</w:t>
      </w:r>
      <w:r>
        <w:rPr>
          <w:lang w:val="en-GB"/>
        </w:rPr>
        <w:t xml:space="preserve"> design accurately perform</w:t>
      </w:r>
      <w:r w:rsidR="00354BE0">
        <w:rPr>
          <w:lang w:val="en-GB"/>
        </w:rPr>
        <w:t>s</w:t>
      </w:r>
      <w:r>
        <w:rPr>
          <w:lang w:val="en-GB"/>
        </w:rPr>
        <w:t xml:space="preserve"> the desired complex-valued field conversion. </w:t>
      </w:r>
      <w:r w:rsidR="00A67938">
        <w:rPr>
          <w:lang w:val="en-GB"/>
        </w:rPr>
        <w:t xml:space="preserve">This is verified in </w:t>
      </w:r>
      <w:r w:rsidR="00A67938">
        <w:rPr>
          <w:lang w:val="en-GB"/>
        </w:rPr>
        <w:fldChar w:fldCharType="begin"/>
      </w:r>
      <w:r w:rsidR="00A67938">
        <w:rPr>
          <w:lang w:val="en-GB"/>
        </w:rPr>
        <w:instrText xml:space="preserve"> REF _Ref63347138 \h </w:instrText>
      </w:r>
      <w:r w:rsidR="00A67938">
        <w:rPr>
          <w:lang w:val="en-GB"/>
        </w:rPr>
      </w:r>
      <w:r w:rsidR="00A67938">
        <w:rPr>
          <w:lang w:val="en-GB"/>
        </w:rPr>
        <w:fldChar w:fldCharType="separate"/>
      </w:r>
      <w:r w:rsidR="007121FD">
        <w:t>Figure S</w:t>
      </w:r>
      <w:r w:rsidR="007121FD">
        <w:rPr>
          <w:noProof/>
        </w:rPr>
        <w:t>17</w:t>
      </w:r>
      <w:r w:rsidR="00A67938">
        <w:rPr>
          <w:lang w:val="en-GB"/>
        </w:rPr>
        <w:fldChar w:fldCharType="end"/>
      </w:r>
      <w:r w:rsidR="00A67938">
        <w:rPr>
          <w:lang w:val="en-GB"/>
        </w:rPr>
        <w:t xml:space="preserve"> when observing the amplitude and phase error distribution of the simulated output field.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65"/>
        <w:gridCol w:w="7020"/>
        <w:gridCol w:w="1175"/>
      </w:tblGrid>
      <w:tr w:rsidR="005D5E2B" w14:paraId="325D31D0" w14:textId="77777777" w:rsidTr="00C60311">
        <w:tc>
          <w:tcPr>
            <w:tcW w:w="9360" w:type="dxa"/>
            <w:gridSpan w:val="3"/>
          </w:tcPr>
          <w:p w14:paraId="6E7E0C26" w14:textId="77777777" w:rsidR="00C32890" w:rsidRDefault="00D4742A" w:rsidP="00A76CD3">
            <w:pPr>
              <w:keepNext/>
              <w:spacing w:after="0"/>
              <w:ind w:left="-106"/>
              <w:jc w:val="center"/>
            </w:pPr>
            <w:r>
              <w:rPr>
                <w:noProof/>
                <w:lang w:val="en-GB"/>
              </w:rPr>
              <w:lastRenderedPageBreak/>
              <w:drawing>
                <wp:inline distT="0" distB="0" distL="0" distR="0" wp14:anchorId="24F25370" wp14:editId="38255BC9">
                  <wp:extent cx="5779699" cy="251800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787171" cy="2521263"/>
                          </a:xfrm>
                          <a:prstGeom prst="rect">
                            <a:avLst/>
                          </a:prstGeom>
                        </pic:spPr>
                      </pic:pic>
                    </a:graphicData>
                  </a:graphic>
                </wp:inline>
              </w:drawing>
            </w:r>
          </w:p>
          <w:p w14:paraId="54E36316" w14:textId="6537DD6E" w:rsidR="005D5E2B" w:rsidRDefault="00C32890" w:rsidP="0028530B">
            <w:pPr>
              <w:pStyle w:val="Caption"/>
              <w:rPr>
                <w:lang w:val="en-GB"/>
              </w:rPr>
            </w:pPr>
            <w:bookmarkStart w:id="23" w:name="_Ref59013730"/>
            <w:r>
              <w:t>Figure S</w:t>
            </w:r>
            <w:r w:rsidR="003A5086">
              <w:fldChar w:fldCharType="begin"/>
            </w:r>
            <w:r w:rsidR="003A5086">
              <w:instrText xml:space="preserve"> SEQ Figure_S \* ARABIC </w:instrText>
            </w:r>
            <w:r w:rsidR="003A5086">
              <w:fldChar w:fldCharType="separate"/>
            </w:r>
            <w:r w:rsidR="00A67938">
              <w:rPr>
                <w:noProof/>
              </w:rPr>
              <w:t>16</w:t>
            </w:r>
            <w:r w:rsidR="003A5086">
              <w:rPr>
                <w:noProof/>
              </w:rPr>
              <w:fldChar w:fldCharType="end"/>
            </w:r>
            <w:bookmarkEnd w:id="23"/>
            <w:r>
              <w:t>:</w:t>
            </w:r>
            <w:r w:rsidR="00E13E60">
              <w:t xml:space="preserve"> FDTD</w:t>
            </w:r>
            <w:r>
              <w:t xml:space="preserve"> Simulation result</w:t>
            </w:r>
            <w:r w:rsidR="00E13E60">
              <w:t>s</w:t>
            </w:r>
            <w:r>
              <w:t xml:space="preserve"> of</w:t>
            </w:r>
            <w:r w:rsidR="00E13E60">
              <w:t xml:space="preserve"> the solid-image</w:t>
            </w:r>
            <w:r>
              <w:t xml:space="preserve"> 3D hologram</w:t>
            </w:r>
            <w:r w:rsidR="00E13E60">
              <w:t xml:space="preserve"> example</w:t>
            </w:r>
            <w:r>
              <w:t>.</w:t>
            </w:r>
            <w:r w:rsidR="00E13E60">
              <w:t xml:space="preserve"> </w:t>
            </w:r>
            <w:r w:rsidR="00575C42" w:rsidRPr="00575C42">
              <w:rPr>
                <w:b/>
                <w:bCs/>
              </w:rPr>
              <w:t>(</w:t>
            </w:r>
            <w:r w:rsidR="00E13E60" w:rsidRPr="00575C42">
              <w:rPr>
                <w:b/>
                <w:bCs/>
              </w:rPr>
              <w:t>a)</w:t>
            </w:r>
            <w:r w:rsidR="00E13E60">
              <w:t xml:space="preserve"> The input field distribution to the </w:t>
            </w:r>
            <w:r w:rsidR="005314ED">
              <w:t>meta-optic</w:t>
            </w:r>
            <w:r w:rsidR="00E13E60">
              <w:t xml:space="preserve"> is a square, uniform distribution. </w:t>
            </w:r>
            <w:r w:rsidR="00E13E60" w:rsidRPr="00575C42">
              <w:rPr>
                <w:b/>
                <w:bCs/>
              </w:rPr>
              <w:t>(b)</w:t>
            </w:r>
            <w:r w:rsidR="00E13E60">
              <w:t xml:space="preserve"> The simulated transmitted field from metasurface 1 exhibits the desired phase shift with a high transmission magnitude. </w:t>
            </w:r>
            <w:r w:rsidR="00E13E60" w:rsidRPr="00575C42">
              <w:rPr>
                <w:b/>
                <w:bCs/>
              </w:rPr>
              <w:t>(c)</w:t>
            </w:r>
            <w:r w:rsidR="00E13E60">
              <w:t xml:space="preserve"> The transmitted field from metasurface 1 is numerically propagated to the plane containing metasurface 2. At this plane, the desired amplitude distribution is formed, but the phase is incorrect. </w:t>
            </w:r>
            <w:r w:rsidR="00E13E60" w:rsidRPr="00575C42">
              <w:rPr>
                <w:b/>
                <w:bCs/>
              </w:rPr>
              <w:t>(d)</w:t>
            </w:r>
            <w:r w:rsidR="00E13E60">
              <w:t xml:space="preserve"> The simulated transmitted field from metasurface 2. This field accurately matches the desired output field distribution</w:t>
            </w:r>
            <w:r w:rsidR="00E67D0B">
              <w:t>.</w:t>
            </w:r>
          </w:p>
        </w:tc>
      </w:tr>
      <w:tr w:rsidR="00A76CD3" w14:paraId="3AFFD776" w14:textId="77777777" w:rsidTr="007121FD">
        <w:tc>
          <w:tcPr>
            <w:tcW w:w="1165" w:type="dxa"/>
          </w:tcPr>
          <w:p w14:paraId="20410BF4" w14:textId="77777777" w:rsidR="006C77C9" w:rsidRDefault="006C77C9" w:rsidP="006C77C9">
            <w:pPr>
              <w:keepNext/>
              <w:jc w:val="center"/>
              <w:rPr>
                <w:noProof/>
                <w:lang w:val="en-GB"/>
              </w:rPr>
            </w:pPr>
          </w:p>
        </w:tc>
        <w:tc>
          <w:tcPr>
            <w:tcW w:w="7020" w:type="dxa"/>
          </w:tcPr>
          <w:p w14:paraId="619F1341" w14:textId="77777777" w:rsidR="00A67938" w:rsidRDefault="006C77C9" w:rsidP="00A67938">
            <w:pPr>
              <w:keepNext/>
              <w:jc w:val="center"/>
            </w:pPr>
            <w:r>
              <w:rPr>
                <w:noProof/>
                <w:lang w:val="en-GB"/>
              </w:rPr>
              <w:drawing>
                <wp:inline distT="0" distB="0" distL="0" distR="0" wp14:anchorId="3C22EFC4" wp14:editId="44FB6540">
                  <wp:extent cx="3284400" cy="1457296"/>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284400" cy="1457296"/>
                          </a:xfrm>
                          <a:prstGeom prst="rect">
                            <a:avLst/>
                          </a:prstGeom>
                        </pic:spPr>
                      </pic:pic>
                    </a:graphicData>
                  </a:graphic>
                </wp:inline>
              </w:drawing>
            </w:r>
          </w:p>
          <w:p w14:paraId="7A744476" w14:textId="6F228ED5" w:rsidR="006C77C9" w:rsidRPr="006C77C9" w:rsidRDefault="00A67938" w:rsidP="0028530B">
            <w:pPr>
              <w:pStyle w:val="Caption"/>
            </w:pPr>
            <w:bookmarkStart w:id="24" w:name="_Ref63347138"/>
            <w:r>
              <w:t>Figure S</w:t>
            </w:r>
            <w:r w:rsidR="003A5086">
              <w:fldChar w:fldCharType="begin"/>
            </w:r>
            <w:r w:rsidR="003A5086">
              <w:instrText xml:space="preserve"> SEQ Figure_S \* ARABIC </w:instrText>
            </w:r>
            <w:r w:rsidR="003A5086">
              <w:fldChar w:fldCharType="separate"/>
            </w:r>
            <w:r>
              <w:rPr>
                <w:noProof/>
              </w:rPr>
              <w:t>17</w:t>
            </w:r>
            <w:r w:rsidR="003A5086">
              <w:rPr>
                <w:noProof/>
              </w:rPr>
              <w:fldChar w:fldCharType="end"/>
            </w:r>
            <w:bookmarkEnd w:id="24"/>
            <w:r>
              <w:t>: The amplitude and phase error of the simulated output field relative to the desired output field</w:t>
            </w:r>
            <w:r w:rsidR="007121FD">
              <w:t xml:space="preserve"> is low</w:t>
            </w:r>
            <w:r>
              <w:t xml:space="preserve"> for the solid-image 3D hologram example, showing the accuracy of the </w:t>
            </w:r>
            <w:r w:rsidR="005314ED">
              <w:t>meta-optic</w:t>
            </w:r>
            <w:r>
              <w:t xml:space="preserve"> performance. </w:t>
            </w:r>
            <w:r w:rsidRPr="00CA0DBD">
              <w:rPr>
                <w:b/>
                <w:bCs/>
              </w:rPr>
              <w:t>(a)</w:t>
            </w:r>
            <w:r>
              <w:t xml:space="preserve"> The amplitude error is shown as the root-mean-square error. </w:t>
            </w:r>
            <w:r w:rsidRPr="00CA0DBD">
              <w:rPr>
                <w:b/>
                <w:bCs/>
              </w:rPr>
              <w:t>(b)</w:t>
            </w:r>
            <w:r>
              <w:rPr>
                <w:b/>
                <w:bCs/>
              </w:rPr>
              <w:t xml:space="preserve"> </w:t>
            </w:r>
            <w:r>
              <w:t>The phase error of the simulated output field.</w:t>
            </w:r>
          </w:p>
        </w:tc>
        <w:tc>
          <w:tcPr>
            <w:tcW w:w="1165" w:type="dxa"/>
          </w:tcPr>
          <w:p w14:paraId="5973653E" w14:textId="77777777" w:rsidR="006C77C9" w:rsidRDefault="006C77C9" w:rsidP="006C77C9">
            <w:pPr>
              <w:keepNext/>
              <w:jc w:val="center"/>
              <w:rPr>
                <w:noProof/>
                <w:lang w:val="en-GB"/>
              </w:rPr>
            </w:pPr>
          </w:p>
        </w:tc>
      </w:tr>
    </w:tbl>
    <w:p w14:paraId="2C62C891" w14:textId="4366B5C9" w:rsidR="002C2AE8" w:rsidRDefault="00354BE0" w:rsidP="00280BC9">
      <w:pPr>
        <w:pStyle w:val="SMH1"/>
      </w:pPr>
      <w:r>
        <w:t xml:space="preserve">Three-Dimensional </w:t>
      </w:r>
      <w:r w:rsidR="00691AAB">
        <w:t>Hologram</w:t>
      </w:r>
      <w:r>
        <w:t xml:space="preserve"> —</w:t>
      </w:r>
      <w:r w:rsidR="00691AAB">
        <w:t xml:space="preserve"> </w:t>
      </w:r>
      <w:r w:rsidR="0075116C">
        <w:t xml:space="preserve">Comparison </w:t>
      </w:r>
      <w:r>
        <w:t xml:space="preserve">of Complex-Valued </w:t>
      </w:r>
      <w:r w:rsidR="0075116C">
        <w:t>to Phase-</w:t>
      </w:r>
      <w:r w:rsidR="00B128EA">
        <w:t>o</w:t>
      </w:r>
      <w:r w:rsidR="0075116C">
        <w:t>nly Design</w:t>
      </w:r>
    </w:p>
    <w:p w14:paraId="39D05A12" w14:textId="30D1DAAD" w:rsidR="00E105CD" w:rsidRDefault="00182517" w:rsidP="002B78AE">
      <w:pPr>
        <w:jc w:val="both"/>
        <w:rPr>
          <w:lang w:val="en-GB"/>
        </w:rPr>
      </w:pPr>
      <w:r>
        <w:rPr>
          <w:lang w:val="en-GB"/>
        </w:rPr>
        <w:t>Here</w:t>
      </w:r>
      <w:r w:rsidR="00E105CD">
        <w:rPr>
          <w:lang w:val="en-GB"/>
        </w:rPr>
        <w:t xml:space="preserve">, we compare </w:t>
      </w:r>
      <w:r w:rsidR="00940E0D">
        <w:rPr>
          <w:lang w:val="en-GB"/>
        </w:rPr>
        <w:t xml:space="preserve">phase and amplitude control provided by the </w:t>
      </w:r>
      <w:r w:rsidR="005314ED">
        <w:rPr>
          <w:lang w:val="en-GB"/>
        </w:rPr>
        <w:t>meta-optic</w:t>
      </w:r>
      <w:r w:rsidR="00940E0D">
        <w:rPr>
          <w:lang w:val="en-GB"/>
        </w:rPr>
        <w:t xml:space="preserve"> to the phase-only control available from a single metasurface. Phase-only control is achieved </w:t>
      </w:r>
      <w:r w:rsidR="00E03908">
        <w:rPr>
          <w:lang w:val="en-GB"/>
        </w:rPr>
        <w:t>by</w:t>
      </w:r>
      <w:r w:rsidR="00940E0D">
        <w:rPr>
          <w:lang w:val="en-GB"/>
        </w:rPr>
        <w:t xml:space="preserve"> an individual metasurface appl</w:t>
      </w:r>
      <w:r w:rsidR="00E03908">
        <w:rPr>
          <w:lang w:val="en-GB"/>
        </w:rPr>
        <w:t>ying</w:t>
      </w:r>
      <w:r w:rsidR="00940E0D">
        <w:rPr>
          <w:lang w:val="en-GB"/>
        </w:rPr>
        <w:t xml:space="preserve"> a desired phase profile to the incident uniform illumination. The resulting transmitted field exhibits the desired phase profile, but an incorrect amplitude profile. </w:t>
      </w:r>
      <w:r>
        <w:rPr>
          <w:lang w:val="en-GB"/>
        </w:rPr>
        <w:t>A</w:t>
      </w:r>
      <w:r w:rsidR="00354BE0">
        <w:rPr>
          <w:lang w:val="en-GB"/>
        </w:rPr>
        <w:t>n</w:t>
      </w:r>
      <w:r>
        <w:rPr>
          <w:lang w:val="en-GB"/>
        </w:rPr>
        <w:t xml:space="preserve"> in-depth comparison of phase-only</w:t>
      </w:r>
      <w:r w:rsidR="00354BE0">
        <w:rPr>
          <w:lang w:val="en-GB"/>
        </w:rPr>
        <w:t xml:space="preserve"> to complex-valued</w:t>
      </w:r>
      <w:r>
        <w:rPr>
          <w:lang w:val="en-GB"/>
        </w:rPr>
        <w:t xml:space="preserve"> phase and amplitude control is given by</w:t>
      </w:r>
      <w:r w:rsidR="00312890">
        <w:rPr>
          <w:lang w:val="en-GB"/>
        </w:rPr>
        <w:t xml:space="preserve"> A.</w:t>
      </w:r>
      <w:r>
        <w:rPr>
          <w:lang w:val="en-GB"/>
        </w:rPr>
        <w:t xml:space="preserve"> Overvig et. al</w:t>
      </w:r>
      <w:r>
        <w:rPr>
          <w:lang w:val="en-GB"/>
        </w:rPr>
        <w:fldChar w:fldCharType="begin" w:fldLock="1"/>
      </w:r>
      <w:r w:rsidR="005F6E05">
        <w:rPr>
          <w:lang w:val="en-GB"/>
        </w:rPr>
        <w:instrText>ADDIN CSL_CITATION {"citationItems":[{"id":"ITEM-1","itemData":{"DOI":"10.1038/s41377-019-0201-7","ISSN":"20477538","abstract":"Metasurfaces are optically thin metamaterials that promise complete control of the wavefront of light but are primarily used to control only the phase of light. Here, we present an approach, simple in concept and in practice, that uses meta-atoms with a varying degree of form birefringence and rotation angles to create high-efficiency dielectric metasurfaces that control both the optical amplitude and phase at one or two frequencies. This opens up applications in computer-generated holography, allowing faithful reproduction of both the phase and amplitude of a target holographic scene without the iterative algorithms required in phase-only holography. We demonstrate all-dielectric metasurface holograms with independent and complete control of the amplitude and phase at up to two optical frequencies simultaneously to generate two- and three-dimensional holographic objects. We show that phase-amplitude metasurfaces enable a few features not attainable in phase-only holography; these include creating artifact-free two-dimensional holographic images, encoding phase and amplitude profiles separately at the object plane, encoding intensity profiles at the metasurface and object planes separately, and controlling the surface textures of three-dimensional holographic objects.","author":[{"dropping-particle":"","family":"Overvig","given":"Adam C.","non-dropping-particle":"","parse-names":false,"suffix":""},{"dropping-particle":"","family":"Shrestha","given":"Sajan","non-dropping-particle":"","parse-names":false,"suffix":""},{"dropping-particle":"","family":"Malek","given":"Stephanie C.","non-dropping-particle":"","parse-names":false,"suffix":""},{"dropping-particle":"","family":"Lu","given":"Ming","non-dropping-particle":"","parse-names":false,"suffix":""},{"dropping-particle":"","family":"Stein","given":"Aaron","non-dropping-particle":"","parse-names":false,"suffix":""},{"dropping-particle":"","family":"Zheng","given":"Changxi","non-dropping-particle":"","parse-names":false,"suffix":""},{"dropping-particle":"","family":"Yu","given":"Nanfang","non-dropping-particle":"","parse-names":false,"suffix":""}],"container-title":"Light: Science and Applications","id":"ITEM-1","issue":"1","issued":{"date-parts":[["2019","12","1"]]},"page":"2047-7538","publisher":"Nature Publishing Group","title":"Dielectric metasurfaces for complete and independent control of the optical amplitude and phase","type":"article-journal","volume":"8"},"uris":["http://www.mendeley.com/documents/?uuid=15659ab1-0ac5-3b9f-b289-7a22523406e2"]}],"mendeley":{"formattedCitation":"&lt;sup&gt;12&lt;/sup&gt;","plainTextFormattedCitation":"12","previouslyFormattedCitation":"&lt;sup&gt;11&lt;/sup&gt;"},"properties":{"noteIndex":0},"schema":"https://github.com/citation-style-language/schema/raw/master/csl-citation.json"}</w:instrText>
      </w:r>
      <w:r>
        <w:rPr>
          <w:lang w:val="en-GB"/>
        </w:rPr>
        <w:fldChar w:fldCharType="separate"/>
      </w:r>
      <w:r w:rsidR="005F6E05" w:rsidRPr="005F6E05">
        <w:rPr>
          <w:noProof/>
          <w:vertAlign w:val="superscript"/>
          <w:lang w:val="en-GB"/>
        </w:rPr>
        <w:t>12</w:t>
      </w:r>
      <w:r>
        <w:rPr>
          <w:lang w:val="en-GB"/>
        </w:rPr>
        <w:fldChar w:fldCharType="end"/>
      </w:r>
      <w:r>
        <w:rPr>
          <w:lang w:val="en-GB"/>
        </w:rPr>
        <w:t>.</w:t>
      </w:r>
      <w:r w:rsidR="00354BE0">
        <w:rPr>
          <w:lang w:val="en-GB"/>
        </w:rPr>
        <w:t xml:space="preserve"> </w:t>
      </w:r>
    </w:p>
    <w:p w14:paraId="2618460F" w14:textId="58A34C4B" w:rsidR="00B66EAB" w:rsidRDefault="002E2512" w:rsidP="00181EBC">
      <w:pPr>
        <w:jc w:val="both"/>
        <w:rPr>
          <w:lang w:val="en-GB"/>
        </w:rPr>
      </w:pPr>
      <w:r>
        <w:rPr>
          <w:lang w:val="en-GB"/>
        </w:rPr>
        <w:t xml:space="preserve">In the case of the solid-image three-dimensional hologram, the phase-only metasurface was designed to implement the phase distribution of the desired output field profile, shown in </w:t>
      </w:r>
      <w:r>
        <w:rPr>
          <w:lang w:val="en-GB"/>
        </w:rPr>
        <w:fldChar w:fldCharType="begin"/>
      </w:r>
      <w:r>
        <w:rPr>
          <w:lang w:val="en-GB"/>
        </w:rPr>
        <w:instrText xml:space="preserve"> REF _Ref59013361 \h </w:instrText>
      </w:r>
      <w:r>
        <w:rPr>
          <w:lang w:val="en-GB"/>
        </w:rPr>
      </w:r>
      <w:r>
        <w:rPr>
          <w:lang w:val="en-GB"/>
        </w:rPr>
        <w:fldChar w:fldCharType="separate"/>
      </w:r>
      <w:r w:rsidR="007121FD">
        <w:t>Figure S</w:t>
      </w:r>
      <w:r w:rsidR="007121FD">
        <w:rPr>
          <w:noProof/>
        </w:rPr>
        <w:t>15</w:t>
      </w:r>
      <w:r>
        <w:rPr>
          <w:lang w:val="en-GB"/>
        </w:rPr>
        <w:fldChar w:fldCharType="end"/>
      </w:r>
      <w:r>
        <w:rPr>
          <w:lang w:val="en-GB"/>
        </w:rPr>
        <w:t xml:space="preserve">(b). </w:t>
      </w:r>
      <w:r w:rsidR="00181EBC">
        <w:rPr>
          <w:lang w:val="en-GB"/>
        </w:rPr>
        <w:t>As th</w:t>
      </w:r>
      <w:r w:rsidR="00940E0D">
        <w:rPr>
          <w:lang w:val="en-GB"/>
        </w:rPr>
        <w:t>e transmitted</w:t>
      </w:r>
      <w:r w:rsidR="00181EBC">
        <w:rPr>
          <w:lang w:val="en-GB"/>
        </w:rPr>
        <w:t xml:space="preserve"> field distribution propagates away from the metasurface, it form</w:t>
      </w:r>
      <w:r w:rsidR="00354BE0">
        <w:rPr>
          <w:lang w:val="en-GB"/>
        </w:rPr>
        <w:t>s</w:t>
      </w:r>
      <w:r w:rsidR="00181EBC">
        <w:rPr>
          <w:lang w:val="en-GB"/>
        </w:rPr>
        <w:t xml:space="preserve"> </w:t>
      </w:r>
      <w:r w:rsidR="00940E0D">
        <w:rPr>
          <w:lang w:val="en-GB"/>
        </w:rPr>
        <w:t xml:space="preserve">a version of </w:t>
      </w:r>
      <w:r w:rsidR="00181EBC">
        <w:rPr>
          <w:lang w:val="en-GB"/>
        </w:rPr>
        <w:t xml:space="preserve">the desired hologram image. </w:t>
      </w:r>
      <w:r w:rsidR="00181EBC">
        <w:rPr>
          <w:lang w:val="en-GB"/>
        </w:rPr>
        <w:fldChar w:fldCharType="begin"/>
      </w:r>
      <w:r w:rsidR="00181EBC">
        <w:rPr>
          <w:lang w:val="en-GB"/>
        </w:rPr>
        <w:instrText xml:space="preserve"> REF _Ref62047939 \h </w:instrText>
      </w:r>
      <w:r w:rsidR="00181EBC">
        <w:rPr>
          <w:lang w:val="en-GB"/>
        </w:rPr>
      </w:r>
      <w:r w:rsidR="00181EBC">
        <w:rPr>
          <w:lang w:val="en-GB"/>
        </w:rPr>
        <w:fldChar w:fldCharType="separate"/>
      </w:r>
      <w:r w:rsidR="007121FD">
        <w:t>Figure S</w:t>
      </w:r>
      <w:r w:rsidR="007121FD">
        <w:rPr>
          <w:noProof/>
        </w:rPr>
        <w:t>18</w:t>
      </w:r>
      <w:r w:rsidR="00181EBC">
        <w:rPr>
          <w:lang w:val="en-GB"/>
        </w:rPr>
        <w:fldChar w:fldCharType="end"/>
      </w:r>
      <w:r w:rsidR="00181EBC">
        <w:rPr>
          <w:lang w:val="en-GB"/>
        </w:rPr>
        <w:t xml:space="preserve"> shows the hologram intensity at different depths</w:t>
      </w:r>
      <w:r w:rsidR="00537F5D">
        <w:rPr>
          <w:lang w:val="en-GB"/>
        </w:rPr>
        <w:t xml:space="preserve"> for the cases of simulated and measured phase-only control compared to measured phase and amplitude control. From this comparison, we see that the measured holograms exhibit higher image quality when both the </w:t>
      </w:r>
      <w:r w:rsidR="00691AAB">
        <w:rPr>
          <w:lang w:val="en-GB"/>
        </w:rPr>
        <w:t>phase</w:t>
      </w:r>
      <w:r w:rsidR="00537F5D">
        <w:rPr>
          <w:lang w:val="en-GB"/>
        </w:rPr>
        <w:t xml:space="preserve"> and </w:t>
      </w:r>
      <w:r w:rsidR="00691AAB">
        <w:rPr>
          <w:lang w:val="en-GB"/>
        </w:rPr>
        <w:t>amplitude</w:t>
      </w:r>
      <w:r w:rsidR="00537F5D">
        <w:rPr>
          <w:lang w:val="en-GB"/>
        </w:rPr>
        <w:t xml:space="preserve"> profiles of the field distribution are manipulated</w:t>
      </w:r>
      <w:r w:rsidR="00691AAB">
        <w:rPr>
          <w:lang w:val="en-GB"/>
        </w:rPr>
        <w:t xml:space="preserve"> to match the desired distribution</w:t>
      </w:r>
      <w:r w:rsidR="00537F5D">
        <w:rPr>
          <w:lang w:val="en-GB"/>
        </w:rPr>
        <w:t xml:space="preserve">. </w:t>
      </w:r>
    </w:p>
    <w:tbl>
      <w:tblPr>
        <w:tblStyle w:val="TableGrid"/>
        <w:tblpPr w:leftFromText="180" w:rightFromText="180" w:horzAnchor="margin" w:tblpY="-33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E21F29" w14:paraId="38B26983" w14:textId="77777777" w:rsidTr="001C7E81">
        <w:tc>
          <w:tcPr>
            <w:tcW w:w="9350" w:type="dxa"/>
          </w:tcPr>
          <w:p w14:paraId="5464895C" w14:textId="77777777" w:rsidR="00E21F29" w:rsidRDefault="00E21F29" w:rsidP="001C7E81">
            <w:pPr>
              <w:keepNext/>
              <w:spacing w:after="0"/>
              <w:jc w:val="center"/>
            </w:pPr>
            <w:r>
              <w:rPr>
                <w:noProof/>
                <w:lang w:val="en-GB"/>
              </w:rPr>
              <w:lastRenderedPageBreak/>
              <w:drawing>
                <wp:inline distT="0" distB="0" distL="0" distR="0" wp14:anchorId="4B7E59D5" wp14:editId="12107D44">
                  <wp:extent cx="5486164" cy="3574786"/>
                  <wp:effectExtent l="0" t="0" r="635" b="698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486164" cy="3574786"/>
                          </a:xfrm>
                          <a:prstGeom prst="rect">
                            <a:avLst/>
                          </a:prstGeom>
                        </pic:spPr>
                      </pic:pic>
                    </a:graphicData>
                  </a:graphic>
                </wp:inline>
              </w:drawing>
            </w:r>
          </w:p>
          <w:p w14:paraId="0AA00A28" w14:textId="79B2155D" w:rsidR="00E21F29" w:rsidRDefault="00E21F29" w:rsidP="0028530B">
            <w:pPr>
              <w:pStyle w:val="Caption"/>
              <w:rPr>
                <w:lang w:val="en-GB"/>
              </w:rPr>
            </w:pPr>
            <w:bookmarkStart w:id="25" w:name="_Ref62047939"/>
            <w:r>
              <w:t>Figure S</w:t>
            </w:r>
            <w:r w:rsidR="003A5086">
              <w:fldChar w:fldCharType="begin"/>
            </w:r>
            <w:r w:rsidR="003A5086">
              <w:instrText xml:space="preserve"> SEQ Figure_S \* ARABIC </w:instrText>
            </w:r>
            <w:r w:rsidR="003A5086">
              <w:fldChar w:fldCharType="separate"/>
            </w:r>
            <w:r w:rsidR="00A67938">
              <w:rPr>
                <w:noProof/>
              </w:rPr>
              <w:t>18</w:t>
            </w:r>
            <w:r w:rsidR="003A5086">
              <w:rPr>
                <w:noProof/>
              </w:rPr>
              <w:fldChar w:fldCharType="end"/>
            </w:r>
            <w:bookmarkEnd w:id="25"/>
            <w:r>
              <w:t xml:space="preserve">: Comparison of </w:t>
            </w:r>
            <w:r w:rsidR="00805731">
              <w:t xml:space="preserve">hologram images for </w:t>
            </w:r>
            <w:r w:rsidR="00923B8B">
              <w:t xml:space="preserve">simulated and </w:t>
            </w:r>
            <w:r>
              <w:t xml:space="preserve">measured phase-only </w:t>
            </w:r>
            <w:r w:rsidR="00805731">
              <w:t>control</w:t>
            </w:r>
            <w:r>
              <w:t xml:space="preserve"> to</w:t>
            </w:r>
            <w:r w:rsidR="00312890">
              <w:t xml:space="preserve"> the</w:t>
            </w:r>
            <w:r>
              <w:t xml:space="preserve"> measured </w:t>
            </w:r>
            <w:r w:rsidR="00923B8B">
              <w:t>p</w:t>
            </w:r>
            <w:r>
              <w:t xml:space="preserve">hase and amplitude </w:t>
            </w:r>
            <w:r w:rsidR="00805731">
              <w:t>control approach</w:t>
            </w:r>
            <w:r>
              <w:t xml:space="preserve">. </w:t>
            </w:r>
            <w:r w:rsidR="00923B8B">
              <w:t xml:space="preserve">Using both phase and amplitude control results in hologram images that have improved image quality throughout the volume of the three-dimensional hologram.  </w:t>
            </w:r>
          </w:p>
        </w:tc>
      </w:tr>
    </w:tbl>
    <w:p w14:paraId="2B9FB163" w14:textId="13FE62CE" w:rsidR="00DB2123" w:rsidRDefault="00DB2123" w:rsidP="00594B45">
      <w:pPr>
        <w:pStyle w:val="SMH1"/>
        <w:numPr>
          <w:ilvl w:val="0"/>
          <w:numId w:val="0"/>
        </w:numPr>
        <w:ind w:left="360"/>
      </w:pPr>
      <w:r>
        <w:t>References</w:t>
      </w:r>
    </w:p>
    <w:p w14:paraId="4A171CE1" w14:textId="2649E86D" w:rsidR="005F6E05" w:rsidRPr="005F6E05" w:rsidRDefault="00DB2123" w:rsidP="005F6E05">
      <w:pPr>
        <w:widowControl w:val="0"/>
        <w:autoSpaceDE w:val="0"/>
        <w:autoSpaceDN w:val="0"/>
        <w:adjustRightInd w:val="0"/>
        <w:spacing w:after="0"/>
        <w:ind w:left="640" w:hanging="640"/>
        <w:rPr>
          <w:rFonts w:cs="Times New Roman"/>
          <w:noProof/>
          <w:szCs w:val="24"/>
        </w:rPr>
      </w:pPr>
      <w:r>
        <w:rPr>
          <w:lang w:val="en-GB"/>
        </w:rPr>
        <w:fldChar w:fldCharType="begin" w:fldLock="1"/>
      </w:r>
      <w:r>
        <w:rPr>
          <w:lang w:val="en-GB"/>
        </w:rPr>
        <w:instrText xml:space="preserve">ADDIN Mendeley Bibliography CSL_BIBLIOGRAPHY </w:instrText>
      </w:r>
      <w:r>
        <w:rPr>
          <w:lang w:val="en-GB"/>
        </w:rPr>
        <w:fldChar w:fldCharType="separate"/>
      </w:r>
      <w:r w:rsidR="005F6E05" w:rsidRPr="005F6E05">
        <w:rPr>
          <w:rFonts w:cs="Times New Roman"/>
          <w:noProof/>
          <w:szCs w:val="24"/>
        </w:rPr>
        <w:t>1.</w:t>
      </w:r>
      <w:r w:rsidR="005F6E05" w:rsidRPr="005F6E05">
        <w:rPr>
          <w:rFonts w:cs="Times New Roman"/>
          <w:noProof/>
          <w:szCs w:val="24"/>
        </w:rPr>
        <w:tab/>
        <w:t xml:space="preserve">Pfeiffer, C. &amp; Grbic, A. Cascaded metasurfaces for complete phase and polarization control. </w:t>
      </w:r>
      <w:r w:rsidR="005F6E05" w:rsidRPr="005F6E05">
        <w:rPr>
          <w:rFonts w:cs="Times New Roman"/>
          <w:i/>
          <w:iCs/>
          <w:noProof/>
          <w:szCs w:val="24"/>
        </w:rPr>
        <w:t>Appl. Phys. Lett.</w:t>
      </w:r>
      <w:r w:rsidR="005F6E05" w:rsidRPr="005F6E05">
        <w:rPr>
          <w:rFonts w:cs="Times New Roman"/>
          <w:noProof/>
          <w:szCs w:val="24"/>
        </w:rPr>
        <w:t xml:space="preserve"> </w:t>
      </w:r>
      <w:r w:rsidR="005F6E05" w:rsidRPr="005F6E05">
        <w:rPr>
          <w:rFonts w:cs="Times New Roman"/>
          <w:b/>
          <w:bCs/>
          <w:noProof/>
          <w:szCs w:val="24"/>
        </w:rPr>
        <w:t>102</w:t>
      </w:r>
      <w:r w:rsidR="005F6E05" w:rsidRPr="005F6E05">
        <w:rPr>
          <w:rFonts w:cs="Times New Roman"/>
          <w:noProof/>
          <w:szCs w:val="24"/>
        </w:rPr>
        <w:t>, (2013).</w:t>
      </w:r>
    </w:p>
    <w:p w14:paraId="73BBCFC8" w14:textId="77777777" w:rsidR="005F6E05" w:rsidRPr="005F6E05" w:rsidRDefault="005F6E05" w:rsidP="005F6E05">
      <w:pPr>
        <w:widowControl w:val="0"/>
        <w:autoSpaceDE w:val="0"/>
        <w:autoSpaceDN w:val="0"/>
        <w:adjustRightInd w:val="0"/>
        <w:spacing w:after="0"/>
        <w:ind w:left="640" w:hanging="640"/>
        <w:rPr>
          <w:rFonts w:cs="Times New Roman"/>
          <w:noProof/>
          <w:szCs w:val="24"/>
        </w:rPr>
      </w:pPr>
      <w:r w:rsidRPr="005F6E05">
        <w:rPr>
          <w:rFonts w:cs="Times New Roman"/>
          <w:noProof/>
          <w:szCs w:val="24"/>
        </w:rPr>
        <w:t>2.</w:t>
      </w:r>
      <w:r w:rsidRPr="005F6E05">
        <w:rPr>
          <w:rFonts w:cs="Times New Roman"/>
          <w:noProof/>
          <w:szCs w:val="24"/>
        </w:rPr>
        <w:tab/>
        <w:t xml:space="preserve">Pestourie, R. </w:t>
      </w:r>
      <w:r w:rsidRPr="005F6E05">
        <w:rPr>
          <w:rFonts w:cs="Times New Roman"/>
          <w:i/>
          <w:iCs/>
          <w:noProof/>
          <w:szCs w:val="24"/>
        </w:rPr>
        <w:t>et al.</w:t>
      </w:r>
      <w:r w:rsidRPr="005F6E05">
        <w:rPr>
          <w:rFonts w:cs="Times New Roman"/>
          <w:noProof/>
          <w:szCs w:val="24"/>
        </w:rPr>
        <w:t xml:space="preserve"> Inverse design of large-area metasurfaces. </w:t>
      </w:r>
      <w:r w:rsidRPr="005F6E05">
        <w:rPr>
          <w:rFonts w:cs="Times New Roman"/>
          <w:i/>
          <w:iCs/>
          <w:noProof/>
          <w:szCs w:val="24"/>
        </w:rPr>
        <w:t>Opt. Express</w:t>
      </w:r>
      <w:r w:rsidRPr="005F6E05">
        <w:rPr>
          <w:rFonts w:cs="Times New Roman"/>
          <w:noProof/>
          <w:szCs w:val="24"/>
        </w:rPr>
        <w:t xml:space="preserve"> </w:t>
      </w:r>
      <w:r w:rsidRPr="005F6E05">
        <w:rPr>
          <w:rFonts w:cs="Times New Roman"/>
          <w:b/>
          <w:bCs/>
          <w:noProof/>
          <w:szCs w:val="24"/>
        </w:rPr>
        <w:t>26</w:t>
      </w:r>
      <w:r w:rsidRPr="005F6E05">
        <w:rPr>
          <w:rFonts w:cs="Times New Roman"/>
          <w:noProof/>
          <w:szCs w:val="24"/>
        </w:rPr>
        <w:t>, (2018).</w:t>
      </w:r>
    </w:p>
    <w:p w14:paraId="071F2904" w14:textId="77777777" w:rsidR="005F6E05" w:rsidRPr="005F6E05" w:rsidRDefault="005F6E05" w:rsidP="005F6E05">
      <w:pPr>
        <w:widowControl w:val="0"/>
        <w:autoSpaceDE w:val="0"/>
        <w:autoSpaceDN w:val="0"/>
        <w:adjustRightInd w:val="0"/>
        <w:spacing w:after="0"/>
        <w:ind w:left="640" w:hanging="640"/>
        <w:rPr>
          <w:rFonts w:cs="Times New Roman"/>
          <w:noProof/>
          <w:szCs w:val="24"/>
        </w:rPr>
      </w:pPr>
      <w:r w:rsidRPr="005F6E05">
        <w:rPr>
          <w:rFonts w:cs="Times New Roman"/>
          <w:noProof/>
          <w:szCs w:val="24"/>
        </w:rPr>
        <w:t>3.</w:t>
      </w:r>
      <w:r w:rsidRPr="005F6E05">
        <w:rPr>
          <w:rFonts w:cs="Times New Roman"/>
          <w:noProof/>
          <w:szCs w:val="24"/>
        </w:rPr>
        <w:tab/>
        <w:t>Kovesi, P. Good Colour Maps: How to Design Them. (2015).</w:t>
      </w:r>
    </w:p>
    <w:p w14:paraId="51752D95" w14:textId="77777777" w:rsidR="005F6E05" w:rsidRPr="005F6E05" w:rsidRDefault="005F6E05" w:rsidP="005F6E05">
      <w:pPr>
        <w:widowControl w:val="0"/>
        <w:autoSpaceDE w:val="0"/>
        <w:autoSpaceDN w:val="0"/>
        <w:adjustRightInd w:val="0"/>
        <w:spacing w:after="0"/>
        <w:ind w:left="640" w:hanging="640"/>
        <w:rPr>
          <w:rFonts w:cs="Times New Roman"/>
          <w:noProof/>
          <w:szCs w:val="24"/>
        </w:rPr>
      </w:pPr>
      <w:r w:rsidRPr="005F6E05">
        <w:rPr>
          <w:rFonts w:cs="Times New Roman"/>
          <w:noProof/>
          <w:szCs w:val="24"/>
        </w:rPr>
        <w:t>4.</w:t>
      </w:r>
      <w:r w:rsidRPr="005F6E05">
        <w:rPr>
          <w:rFonts w:cs="Times New Roman"/>
          <w:noProof/>
          <w:szCs w:val="24"/>
        </w:rPr>
        <w:tab/>
        <w:t xml:space="preserve">Barrow, M. &amp; Phillips, J. Polarization-independent narrowband transmittance filters via symmetry-protected modes in high contrast gratings. </w:t>
      </w:r>
      <w:r w:rsidRPr="005F6E05">
        <w:rPr>
          <w:rFonts w:cs="Times New Roman"/>
          <w:i/>
          <w:iCs/>
          <w:noProof/>
          <w:szCs w:val="24"/>
        </w:rPr>
        <w:t>Opt. Lett.</w:t>
      </w:r>
      <w:r w:rsidRPr="005F6E05">
        <w:rPr>
          <w:rFonts w:cs="Times New Roman"/>
          <w:noProof/>
          <w:szCs w:val="24"/>
        </w:rPr>
        <w:t xml:space="preserve"> </w:t>
      </w:r>
      <w:r w:rsidRPr="005F6E05">
        <w:rPr>
          <w:rFonts w:cs="Times New Roman"/>
          <w:b/>
          <w:bCs/>
          <w:noProof/>
          <w:szCs w:val="24"/>
        </w:rPr>
        <w:t>45</w:t>
      </w:r>
      <w:r w:rsidRPr="005F6E05">
        <w:rPr>
          <w:rFonts w:cs="Times New Roman"/>
          <w:noProof/>
          <w:szCs w:val="24"/>
        </w:rPr>
        <w:t>, 4348 (2020).</w:t>
      </w:r>
    </w:p>
    <w:p w14:paraId="176290A3" w14:textId="77777777" w:rsidR="005F6E05" w:rsidRPr="005F6E05" w:rsidRDefault="005F6E05" w:rsidP="005F6E05">
      <w:pPr>
        <w:widowControl w:val="0"/>
        <w:autoSpaceDE w:val="0"/>
        <w:autoSpaceDN w:val="0"/>
        <w:adjustRightInd w:val="0"/>
        <w:spacing w:after="0"/>
        <w:ind w:left="640" w:hanging="640"/>
        <w:rPr>
          <w:rFonts w:cs="Times New Roman"/>
          <w:noProof/>
          <w:szCs w:val="24"/>
        </w:rPr>
      </w:pPr>
      <w:r w:rsidRPr="005F6E05">
        <w:rPr>
          <w:rFonts w:cs="Times New Roman"/>
          <w:noProof/>
          <w:szCs w:val="24"/>
        </w:rPr>
        <w:t>5.</w:t>
      </w:r>
      <w:r w:rsidRPr="005F6E05">
        <w:rPr>
          <w:rFonts w:cs="Times New Roman"/>
          <w:noProof/>
          <w:szCs w:val="24"/>
        </w:rPr>
        <w:tab/>
        <w:t xml:space="preserve">Wang, S. S., Moharam, M. G., Magnusson, R. &amp; Bagby, J. S. Guided-mode resonances in planar dielectric-layer diffraction gratings. </w:t>
      </w:r>
      <w:r w:rsidRPr="005F6E05">
        <w:rPr>
          <w:rFonts w:cs="Times New Roman"/>
          <w:i/>
          <w:iCs/>
          <w:noProof/>
          <w:szCs w:val="24"/>
        </w:rPr>
        <w:t>J. Opt. Soc. Am. A</w:t>
      </w:r>
      <w:r w:rsidRPr="005F6E05">
        <w:rPr>
          <w:rFonts w:cs="Times New Roman"/>
          <w:noProof/>
          <w:szCs w:val="24"/>
        </w:rPr>
        <w:t xml:space="preserve"> </w:t>
      </w:r>
      <w:r w:rsidRPr="005F6E05">
        <w:rPr>
          <w:rFonts w:cs="Times New Roman"/>
          <w:b/>
          <w:bCs/>
          <w:noProof/>
          <w:szCs w:val="24"/>
        </w:rPr>
        <w:t>7</w:t>
      </w:r>
      <w:r w:rsidRPr="005F6E05">
        <w:rPr>
          <w:rFonts w:cs="Times New Roman"/>
          <w:noProof/>
          <w:szCs w:val="24"/>
        </w:rPr>
        <w:t>, 1470 (1990).</w:t>
      </w:r>
    </w:p>
    <w:p w14:paraId="3B537915" w14:textId="77777777" w:rsidR="005F6E05" w:rsidRPr="005F6E05" w:rsidRDefault="005F6E05" w:rsidP="005F6E05">
      <w:pPr>
        <w:widowControl w:val="0"/>
        <w:autoSpaceDE w:val="0"/>
        <w:autoSpaceDN w:val="0"/>
        <w:adjustRightInd w:val="0"/>
        <w:spacing w:after="0"/>
        <w:ind w:left="640" w:hanging="640"/>
        <w:rPr>
          <w:rFonts w:cs="Times New Roman"/>
          <w:noProof/>
          <w:szCs w:val="24"/>
        </w:rPr>
      </w:pPr>
      <w:r w:rsidRPr="005F6E05">
        <w:rPr>
          <w:rFonts w:cs="Times New Roman"/>
          <w:noProof/>
          <w:szCs w:val="24"/>
        </w:rPr>
        <w:t>6.</w:t>
      </w:r>
      <w:r w:rsidRPr="005F6E05">
        <w:rPr>
          <w:rFonts w:cs="Times New Roman"/>
          <w:noProof/>
          <w:szCs w:val="24"/>
        </w:rPr>
        <w:tab/>
        <w:t xml:space="preserve">Koshelev, K., Bogdanov, A. &amp; Kivshar, Y. Engineering with Bound States in the Continuum. </w:t>
      </w:r>
      <w:r w:rsidRPr="005F6E05">
        <w:rPr>
          <w:rFonts w:cs="Times New Roman"/>
          <w:i/>
          <w:iCs/>
          <w:noProof/>
          <w:szCs w:val="24"/>
        </w:rPr>
        <w:t>Opt. Photonics News</w:t>
      </w:r>
      <w:r w:rsidRPr="005F6E05">
        <w:rPr>
          <w:rFonts w:cs="Times New Roman"/>
          <w:noProof/>
          <w:szCs w:val="24"/>
        </w:rPr>
        <w:t xml:space="preserve"> </w:t>
      </w:r>
      <w:r w:rsidRPr="005F6E05">
        <w:rPr>
          <w:rFonts w:cs="Times New Roman"/>
          <w:b/>
          <w:bCs/>
          <w:noProof/>
          <w:szCs w:val="24"/>
        </w:rPr>
        <w:t>31</w:t>
      </w:r>
      <w:r w:rsidRPr="005F6E05">
        <w:rPr>
          <w:rFonts w:cs="Times New Roman"/>
          <w:noProof/>
          <w:szCs w:val="24"/>
        </w:rPr>
        <w:t>, 38 (2020).</w:t>
      </w:r>
    </w:p>
    <w:p w14:paraId="0C58F97E" w14:textId="77777777" w:rsidR="005F6E05" w:rsidRPr="005F6E05" w:rsidRDefault="005F6E05" w:rsidP="005F6E05">
      <w:pPr>
        <w:widowControl w:val="0"/>
        <w:autoSpaceDE w:val="0"/>
        <w:autoSpaceDN w:val="0"/>
        <w:adjustRightInd w:val="0"/>
        <w:spacing w:after="0"/>
        <w:ind w:left="640" w:hanging="640"/>
        <w:rPr>
          <w:rFonts w:cs="Times New Roman"/>
          <w:noProof/>
          <w:szCs w:val="24"/>
        </w:rPr>
      </w:pPr>
      <w:r w:rsidRPr="005F6E05">
        <w:rPr>
          <w:rFonts w:cs="Times New Roman"/>
          <w:noProof/>
          <w:szCs w:val="24"/>
        </w:rPr>
        <w:t>7.</w:t>
      </w:r>
      <w:r w:rsidRPr="005F6E05">
        <w:rPr>
          <w:rFonts w:cs="Times New Roman"/>
          <w:noProof/>
          <w:szCs w:val="24"/>
        </w:rPr>
        <w:tab/>
        <w:t xml:space="preserve">Oskooi, A. F. </w:t>
      </w:r>
      <w:r w:rsidRPr="005F6E05">
        <w:rPr>
          <w:rFonts w:cs="Times New Roman"/>
          <w:i/>
          <w:iCs/>
          <w:noProof/>
          <w:szCs w:val="24"/>
        </w:rPr>
        <w:t>et al.</w:t>
      </w:r>
      <w:r w:rsidRPr="005F6E05">
        <w:rPr>
          <w:rFonts w:cs="Times New Roman"/>
          <w:noProof/>
          <w:szCs w:val="24"/>
        </w:rPr>
        <w:t xml:space="preserve"> Meep: A flexible free-software package for electromagnetic simulations by the FDTD method. </w:t>
      </w:r>
      <w:r w:rsidRPr="005F6E05">
        <w:rPr>
          <w:rFonts w:cs="Times New Roman"/>
          <w:i/>
          <w:iCs/>
          <w:noProof/>
          <w:szCs w:val="24"/>
        </w:rPr>
        <w:t>Comput. Phys. Commun.</w:t>
      </w:r>
      <w:r w:rsidRPr="005F6E05">
        <w:rPr>
          <w:rFonts w:cs="Times New Roman"/>
          <w:noProof/>
          <w:szCs w:val="24"/>
        </w:rPr>
        <w:t xml:space="preserve"> </w:t>
      </w:r>
      <w:r w:rsidRPr="005F6E05">
        <w:rPr>
          <w:rFonts w:cs="Times New Roman"/>
          <w:b/>
          <w:bCs/>
          <w:noProof/>
          <w:szCs w:val="24"/>
        </w:rPr>
        <w:t>181</w:t>
      </w:r>
      <w:r w:rsidRPr="005F6E05">
        <w:rPr>
          <w:rFonts w:cs="Times New Roman"/>
          <w:noProof/>
          <w:szCs w:val="24"/>
        </w:rPr>
        <w:t>, 687–702 (2010).</w:t>
      </w:r>
    </w:p>
    <w:p w14:paraId="4C68089A" w14:textId="77777777" w:rsidR="005F6E05" w:rsidRPr="005F6E05" w:rsidRDefault="005F6E05" w:rsidP="005F6E05">
      <w:pPr>
        <w:widowControl w:val="0"/>
        <w:autoSpaceDE w:val="0"/>
        <w:autoSpaceDN w:val="0"/>
        <w:adjustRightInd w:val="0"/>
        <w:spacing w:after="0"/>
        <w:ind w:left="640" w:hanging="640"/>
        <w:rPr>
          <w:rFonts w:cs="Times New Roman"/>
          <w:noProof/>
          <w:szCs w:val="24"/>
        </w:rPr>
      </w:pPr>
      <w:r w:rsidRPr="005F6E05">
        <w:rPr>
          <w:rFonts w:cs="Times New Roman"/>
          <w:noProof/>
          <w:szCs w:val="24"/>
        </w:rPr>
        <w:t>8.</w:t>
      </w:r>
      <w:r w:rsidRPr="005F6E05">
        <w:rPr>
          <w:rFonts w:cs="Times New Roman"/>
          <w:noProof/>
          <w:szCs w:val="24"/>
        </w:rPr>
        <w:tab/>
        <w:t xml:space="preserve">Raeker, B. O. &amp; Grbic, A. Lossless, Complex-Valued Optical Field Control with Compound Metaoptics. </w:t>
      </w:r>
      <w:r w:rsidRPr="005F6E05">
        <w:rPr>
          <w:rFonts w:cs="Times New Roman"/>
          <w:i/>
          <w:iCs/>
          <w:noProof/>
          <w:szCs w:val="24"/>
        </w:rPr>
        <w:t>arXiv (preprint at https://arxiv.org/abs/2011.07185)</w:t>
      </w:r>
      <w:r w:rsidRPr="005F6E05">
        <w:rPr>
          <w:rFonts w:cs="Times New Roman"/>
          <w:noProof/>
          <w:szCs w:val="24"/>
        </w:rPr>
        <w:t xml:space="preserve"> (2020).</w:t>
      </w:r>
    </w:p>
    <w:p w14:paraId="4E1ECDC4" w14:textId="77777777" w:rsidR="005F6E05" w:rsidRPr="005F6E05" w:rsidRDefault="005F6E05" w:rsidP="005F6E05">
      <w:pPr>
        <w:widowControl w:val="0"/>
        <w:autoSpaceDE w:val="0"/>
        <w:autoSpaceDN w:val="0"/>
        <w:adjustRightInd w:val="0"/>
        <w:spacing w:after="0"/>
        <w:ind w:left="640" w:hanging="640"/>
        <w:rPr>
          <w:rFonts w:cs="Times New Roman"/>
          <w:noProof/>
          <w:szCs w:val="24"/>
        </w:rPr>
      </w:pPr>
      <w:r w:rsidRPr="005F6E05">
        <w:rPr>
          <w:rFonts w:cs="Times New Roman"/>
          <w:noProof/>
          <w:szCs w:val="24"/>
        </w:rPr>
        <w:t>9.</w:t>
      </w:r>
      <w:r w:rsidRPr="005F6E05">
        <w:rPr>
          <w:rFonts w:cs="Times New Roman"/>
          <w:noProof/>
          <w:szCs w:val="24"/>
        </w:rPr>
        <w:tab/>
        <w:t xml:space="preserve">Matsushima, K. Computer-generated holograms for three-dimensional surface objects with shade and texture. </w:t>
      </w:r>
      <w:r w:rsidRPr="005F6E05">
        <w:rPr>
          <w:rFonts w:cs="Times New Roman"/>
          <w:i/>
          <w:iCs/>
          <w:noProof/>
          <w:szCs w:val="24"/>
        </w:rPr>
        <w:t>Appl. Opt.</w:t>
      </w:r>
      <w:r w:rsidRPr="005F6E05">
        <w:rPr>
          <w:rFonts w:cs="Times New Roman"/>
          <w:noProof/>
          <w:szCs w:val="24"/>
        </w:rPr>
        <w:t xml:space="preserve"> </w:t>
      </w:r>
      <w:r w:rsidRPr="005F6E05">
        <w:rPr>
          <w:rFonts w:cs="Times New Roman"/>
          <w:b/>
          <w:bCs/>
          <w:noProof/>
          <w:szCs w:val="24"/>
        </w:rPr>
        <w:t>44</w:t>
      </w:r>
      <w:r w:rsidRPr="005F6E05">
        <w:rPr>
          <w:rFonts w:cs="Times New Roman"/>
          <w:noProof/>
          <w:szCs w:val="24"/>
        </w:rPr>
        <w:t>, 4607–4614 (2005).</w:t>
      </w:r>
    </w:p>
    <w:p w14:paraId="0EC8BF88" w14:textId="77777777" w:rsidR="005F6E05" w:rsidRPr="005F6E05" w:rsidRDefault="005F6E05" w:rsidP="005F6E05">
      <w:pPr>
        <w:widowControl w:val="0"/>
        <w:autoSpaceDE w:val="0"/>
        <w:autoSpaceDN w:val="0"/>
        <w:adjustRightInd w:val="0"/>
        <w:spacing w:after="0"/>
        <w:ind w:left="640" w:hanging="640"/>
        <w:rPr>
          <w:rFonts w:cs="Times New Roman"/>
          <w:noProof/>
          <w:szCs w:val="24"/>
        </w:rPr>
      </w:pPr>
      <w:r w:rsidRPr="005F6E05">
        <w:rPr>
          <w:rFonts w:cs="Times New Roman"/>
          <w:noProof/>
          <w:szCs w:val="24"/>
        </w:rPr>
        <w:t>10.</w:t>
      </w:r>
      <w:r w:rsidRPr="005F6E05">
        <w:rPr>
          <w:rFonts w:cs="Times New Roman"/>
          <w:noProof/>
          <w:szCs w:val="24"/>
        </w:rPr>
        <w:tab/>
        <w:t xml:space="preserve">Matsushima, K. &amp; Nakahara, S. Extremely high-definition full-parallax computer-generated hologram created by the polygon-based method. </w:t>
      </w:r>
      <w:r w:rsidRPr="005F6E05">
        <w:rPr>
          <w:rFonts w:cs="Times New Roman"/>
          <w:i/>
          <w:iCs/>
          <w:noProof/>
          <w:szCs w:val="24"/>
        </w:rPr>
        <w:t>Appl. Opt.</w:t>
      </w:r>
      <w:r w:rsidRPr="005F6E05">
        <w:rPr>
          <w:rFonts w:cs="Times New Roman"/>
          <w:noProof/>
          <w:szCs w:val="24"/>
        </w:rPr>
        <w:t xml:space="preserve"> </w:t>
      </w:r>
      <w:r w:rsidRPr="005F6E05">
        <w:rPr>
          <w:rFonts w:cs="Times New Roman"/>
          <w:b/>
          <w:bCs/>
          <w:noProof/>
          <w:szCs w:val="24"/>
        </w:rPr>
        <w:t>48</w:t>
      </w:r>
      <w:r w:rsidRPr="005F6E05">
        <w:rPr>
          <w:rFonts w:cs="Times New Roman"/>
          <w:noProof/>
          <w:szCs w:val="24"/>
        </w:rPr>
        <w:t>, H54–H63 (2009).</w:t>
      </w:r>
    </w:p>
    <w:p w14:paraId="46688A64" w14:textId="77777777" w:rsidR="005F6E05" w:rsidRPr="005F6E05" w:rsidRDefault="005F6E05" w:rsidP="005F6E05">
      <w:pPr>
        <w:widowControl w:val="0"/>
        <w:autoSpaceDE w:val="0"/>
        <w:autoSpaceDN w:val="0"/>
        <w:adjustRightInd w:val="0"/>
        <w:spacing w:after="0"/>
        <w:ind w:left="640" w:hanging="640"/>
        <w:rPr>
          <w:rFonts w:cs="Times New Roman"/>
          <w:noProof/>
          <w:szCs w:val="24"/>
        </w:rPr>
      </w:pPr>
      <w:r w:rsidRPr="005F6E05">
        <w:rPr>
          <w:rFonts w:cs="Times New Roman"/>
          <w:noProof/>
          <w:szCs w:val="24"/>
        </w:rPr>
        <w:t>11.</w:t>
      </w:r>
      <w:r w:rsidRPr="005F6E05">
        <w:rPr>
          <w:rFonts w:cs="Times New Roman"/>
          <w:noProof/>
          <w:szCs w:val="24"/>
        </w:rPr>
        <w:tab/>
        <w:t xml:space="preserve">Matsushima, K., Nishi, H. &amp; Nakahara, S. Simple wave-field rendering for photorealistic reconstruction in polygon-based high-definition computer holography. </w:t>
      </w:r>
      <w:r w:rsidRPr="005F6E05">
        <w:rPr>
          <w:rFonts w:cs="Times New Roman"/>
          <w:i/>
          <w:iCs/>
          <w:noProof/>
          <w:szCs w:val="24"/>
        </w:rPr>
        <w:t>J. Electron. Imaging</w:t>
      </w:r>
      <w:r w:rsidRPr="005F6E05">
        <w:rPr>
          <w:rFonts w:cs="Times New Roman"/>
          <w:noProof/>
          <w:szCs w:val="24"/>
        </w:rPr>
        <w:t xml:space="preserve"> </w:t>
      </w:r>
      <w:r w:rsidRPr="005F6E05">
        <w:rPr>
          <w:rFonts w:cs="Times New Roman"/>
          <w:b/>
          <w:bCs/>
          <w:noProof/>
          <w:szCs w:val="24"/>
        </w:rPr>
        <w:t>21</w:t>
      </w:r>
      <w:r w:rsidRPr="005F6E05">
        <w:rPr>
          <w:rFonts w:cs="Times New Roman"/>
          <w:noProof/>
          <w:szCs w:val="24"/>
        </w:rPr>
        <w:t>, 1 (2012).</w:t>
      </w:r>
    </w:p>
    <w:p w14:paraId="3391EAD5" w14:textId="77777777" w:rsidR="005F6E05" w:rsidRPr="005F6E05" w:rsidRDefault="005F6E05" w:rsidP="005F6E05">
      <w:pPr>
        <w:widowControl w:val="0"/>
        <w:autoSpaceDE w:val="0"/>
        <w:autoSpaceDN w:val="0"/>
        <w:adjustRightInd w:val="0"/>
        <w:spacing w:after="0"/>
        <w:ind w:left="640" w:hanging="640"/>
        <w:rPr>
          <w:rFonts w:cs="Times New Roman"/>
          <w:noProof/>
        </w:rPr>
      </w:pPr>
      <w:r w:rsidRPr="005F6E05">
        <w:rPr>
          <w:rFonts w:cs="Times New Roman"/>
          <w:noProof/>
          <w:szCs w:val="24"/>
        </w:rPr>
        <w:t>12.</w:t>
      </w:r>
      <w:r w:rsidRPr="005F6E05">
        <w:rPr>
          <w:rFonts w:cs="Times New Roman"/>
          <w:noProof/>
          <w:szCs w:val="24"/>
        </w:rPr>
        <w:tab/>
        <w:t xml:space="preserve">Overvig, A. C. </w:t>
      </w:r>
      <w:r w:rsidRPr="005F6E05">
        <w:rPr>
          <w:rFonts w:cs="Times New Roman"/>
          <w:i/>
          <w:iCs/>
          <w:noProof/>
          <w:szCs w:val="24"/>
        </w:rPr>
        <w:t>et al.</w:t>
      </w:r>
      <w:r w:rsidRPr="005F6E05">
        <w:rPr>
          <w:rFonts w:cs="Times New Roman"/>
          <w:noProof/>
          <w:szCs w:val="24"/>
        </w:rPr>
        <w:t xml:space="preserve"> Dielectric metasurfaces for complete and independent control of the optical amplitude and phase. </w:t>
      </w:r>
      <w:r w:rsidRPr="005F6E05">
        <w:rPr>
          <w:rFonts w:cs="Times New Roman"/>
          <w:i/>
          <w:iCs/>
          <w:noProof/>
          <w:szCs w:val="24"/>
        </w:rPr>
        <w:t>Light Sci. Appl.</w:t>
      </w:r>
      <w:r w:rsidRPr="005F6E05">
        <w:rPr>
          <w:rFonts w:cs="Times New Roman"/>
          <w:noProof/>
          <w:szCs w:val="24"/>
        </w:rPr>
        <w:t xml:space="preserve"> </w:t>
      </w:r>
      <w:r w:rsidRPr="005F6E05">
        <w:rPr>
          <w:rFonts w:cs="Times New Roman"/>
          <w:b/>
          <w:bCs/>
          <w:noProof/>
          <w:szCs w:val="24"/>
        </w:rPr>
        <w:t>8</w:t>
      </w:r>
      <w:r w:rsidRPr="005F6E05">
        <w:rPr>
          <w:rFonts w:cs="Times New Roman"/>
          <w:noProof/>
          <w:szCs w:val="24"/>
        </w:rPr>
        <w:t>, 2047–7538 (2019).</w:t>
      </w:r>
    </w:p>
    <w:p w14:paraId="2B3920A4" w14:textId="560F06EC" w:rsidR="00537F5D" w:rsidRPr="0075116C" w:rsidRDefault="00DB2123" w:rsidP="00DB2123">
      <w:pPr>
        <w:spacing w:after="0"/>
        <w:rPr>
          <w:lang w:val="en-GB"/>
        </w:rPr>
      </w:pPr>
      <w:r>
        <w:rPr>
          <w:lang w:val="en-GB"/>
        </w:rPr>
        <w:fldChar w:fldCharType="end"/>
      </w:r>
    </w:p>
    <w:sectPr w:rsidR="00537F5D" w:rsidRPr="0075116C" w:rsidSect="0028530B">
      <w:footerReference w:type="default" r:id="rId26"/>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CE6B12" w14:textId="77777777" w:rsidR="00DD302A" w:rsidRDefault="00DD302A" w:rsidP="00D17A0D">
      <w:pPr>
        <w:spacing w:after="0"/>
      </w:pPr>
      <w:r>
        <w:separator/>
      </w:r>
    </w:p>
  </w:endnote>
  <w:endnote w:type="continuationSeparator" w:id="0">
    <w:p w14:paraId="0D0189BF" w14:textId="77777777" w:rsidR="00DD302A" w:rsidRDefault="00DD302A" w:rsidP="00D17A0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41447063"/>
      <w:docPartObj>
        <w:docPartGallery w:val="Page Numbers (Bottom of Page)"/>
        <w:docPartUnique/>
      </w:docPartObj>
    </w:sdtPr>
    <w:sdtEndPr>
      <w:rPr>
        <w:noProof/>
      </w:rPr>
    </w:sdtEndPr>
    <w:sdtContent>
      <w:p w14:paraId="3144B18F" w14:textId="4E6BC79C" w:rsidR="00A9522E" w:rsidRDefault="00A9522E">
        <w:pPr>
          <w:pStyle w:val="Footer"/>
          <w:jc w:val="right"/>
        </w:pPr>
        <w:r>
          <w:t>S</w:t>
        </w:r>
        <w:r>
          <w:fldChar w:fldCharType="begin"/>
        </w:r>
        <w:r>
          <w:instrText xml:space="preserve"> PAGE   \* MERGEFORMAT </w:instrText>
        </w:r>
        <w:r>
          <w:fldChar w:fldCharType="separate"/>
        </w:r>
        <w:r>
          <w:rPr>
            <w:noProof/>
          </w:rPr>
          <w:t>2</w:t>
        </w:r>
        <w:r>
          <w:rPr>
            <w:noProof/>
          </w:rPr>
          <w:fldChar w:fldCharType="end"/>
        </w:r>
      </w:p>
    </w:sdtContent>
  </w:sdt>
  <w:p w14:paraId="335C7B63" w14:textId="77777777" w:rsidR="00A9522E" w:rsidRDefault="00A9522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06966AB" w14:textId="77777777" w:rsidR="00DD302A" w:rsidRDefault="00DD302A" w:rsidP="00D17A0D">
      <w:pPr>
        <w:spacing w:after="0"/>
      </w:pPr>
      <w:r>
        <w:separator/>
      </w:r>
    </w:p>
  </w:footnote>
  <w:footnote w:type="continuationSeparator" w:id="0">
    <w:p w14:paraId="65E6D6F3" w14:textId="77777777" w:rsidR="00DD302A" w:rsidRDefault="00DD302A" w:rsidP="00D17A0D">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F00A9"/>
    <w:multiLevelType w:val="hybridMultilevel"/>
    <w:tmpl w:val="2E223C58"/>
    <w:lvl w:ilvl="0" w:tplc="04090001">
      <w:numFmt w:val="bullet"/>
      <w:lvlText w:val=""/>
      <w:lvlJc w:val="left"/>
      <w:pPr>
        <w:ind w:left="720" w:hanging="360"/>
      </w:pPr>
      <w:rPr>
        <w:rFonts w:ascii="Symbol" w:eastAsia="Times New Roman" w:hAnsi="Symbol"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04373D"/>
    <w:multiLevelType w:val="hybridMultilevel"/>
    <w:tmpl w:val="87A2F33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543574"/>
    <w:multiLevelType w:val="hybridMultilevel"/>
    <w:tmpl w:val="A76C85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6C450D"/>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99925B1"/>
    <w:multiLevelType w:val="hybridMultilevel"/>
    <w:tmpl w:val="5740AB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C6D3B34"/>
    <w:multiLevelType w:val="hybridMultilevel"/>
    <w:tmpl w:val="ED36F5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B67504"/>
    <w:multiLevelType w:val="hybridMultilevel"/>
    <w:tmpl w:val="F8E4D2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23C3B85"/>
    <w:multiLevelType w:val="hybridMultilevel"/>
    <w:tmpl w:val="5D981AC4"/>
    <w:lvl w:ilvl="0" w:tplc="04090017">
      <w:start w:val="1"/>
      <w:numFmt w:val="lowerLetter"/>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8" w15:restartNumberingAfterBreak="0">
    <w:nsid w:val="489258BA"/>
    <w:multiLevelType w:val="hybridMultilevel"/>
    <w:tmpl w:val="0254B26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9452A37"/>
    <w:multiLevelType w:val="multilevel"/>
    <w:tmpl w:val="D686955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4B75169A"/>
    <w:multiLevelType w:val="hybridMultilevel"/>
    <w:tmpl w:val="97C258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DCE15B2"/>
    <w:multiLevelType w:val="hybridMultilevel"/>
    <w:tmpl w:val="0120648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1377F81"/>
    <w:multiLevelType w:val="multilevel"/>
    <w:tmpl w:val="678CBD10"/>
    <w:lvl w:ilvl="0">
      <w:start w:val="1"/>
      <w:numFmt w:val="decimal"/>
      <w:pStyle w:val="SMH1"/>
      <w:lvlText w:val="Supplementary Note %1:"/>
      <w:lvlJc w:val="left"/>
      <w:pPr>
        <w:ind w:left="360" w:hanging="360"/>
      </w:pPr>
      <w:rPr>
        <w:rFonts w:hint="default"/>
      </w:rPr>
    </w:lvl>
    <w:lvl w:ilvl="1">
      <w:start w:val="1"/>
      <w:numFmt w:val="decimal"/>
      <w:pStyle w:val="SMH2"/>
      <w:lvlText w:val="S%1.%2."/>
      <w:lvlJc w:val="left"/>
      <w:pPr>
        <w:ind w:left="0" w:firstLine="0"/>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554E6B9E"/>
    <w:multiLevelType w:val="hybridMultilevel"/>
    <w:tmpl w:val="8DC4FB88"/>
    <w:lvl w:ilvl="0" w:tplc="179ACB88">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34520EC"/>
    <w:multiLevelType w:val="hybridMultilevel"/>
    <w:tmpl w:val="55621C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AB3303D"/>
    <w:multiLevelType w:val="hybridMultilevel"/>
    <w:tmpl w:val="9488C8A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6" w15:restartNumberingAfterBreak="0">
    <w:nsid w:val="77571CC0"/>
    <w:multiLevelType w:val="hybridMultilevel"/>
    <w:tmpl w:val="0254B26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5"/>
  </w:num>
  <w:num w:numId="3">
    <w:abstractNumId w:val="2"/>
  </w:num>
  <w:num w:numId="4">
    <w:abstractNumId w:val="10"/>
  </w:num>
  <w:num w:numId="5">
    <w:abstractNumId w:val="11"/>
  </w:num>
  <w:num w:numId="6">
    <w:abstractNumId w:val="12"/>
  </w:num>
  <w:num w:numId="7">
    <w:abstractNumId w:val="3"/>
  </w:num>
  <w:num w:numId="8">
    <w:abstractNumId w:val="9"/>
  </w:num>
  <w:num w:numId="9">
    <w:abstractNumId w:val="12"/>
  </w:num>
  <w:num w:numId="10">
    <w:abstractNumId w:val="1"/>
  </w:num>
  <w:num w:numId="11">
    <w:abstractNumId w:val="4"/>
  </w:num>
  <w:num w:numId="12">
    <w:abstractNumId w:val="15"/>
  </w:num>
  <w:num w:numId="13">
    <w:abstractNumId w:val="7"/>
  </w:num>
  <w:num w:numId="14">
    <w:abstractNumId w:val="13"/>
  </w:num>
  <w:num w:numId="15">
    <w:abstractNumId w:val="8"/>
  </w:num>
  <w:num w:numId="16">
    <w:abstractNumId w:val="16"/>
  </w:num>
  <w:num w:numId="17">
    <w:abstractNumId w:val="14"/>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1341"/>
    <w:rsid w:val="000009B5"/>
    <w:rsid w:val="00000BD4"/>
    <w:rsid w:val="00006842"/>
    <w:rsid w:val="000071E6"/>
    <w:rsid w:val="000126A2"/>
    <w:rsid w:val="00012C7A"/>
    <w:rsid w:val="000150EE"/>
    <w:rsid w:val="00022509"/>
    <w:rsid w:val="00023574"/>
    <w:rsid w:val="00027894"/>
    <w:rsid w:val="00031A5D"/>
    <w:rsid w:val="00037478"/>
    <w:rsid w:val="00042C24"/>
    <w:rsid w:val="00044136"/>
    <w:rsid w:val="0005063B"/>
    <w:rsid w:val="00052EEA"/>
    <w:rsid w:val="0005480F"/>
    <w:rsid w:val="00060516"/>
    <w:rsid w:val="00063152"/>
    <w:rsid w:val="00067A16"/>
    <w:rsid w:val="00074037"/>
    <w:rsid w:val="00077841"/>
    <w:rsid w:val="0008143D"/>
    <w:rsid w:val="00084291"/>
    <w:rsid w:val="00084995"/>
    <w:rsid w:val="00090017"/>
    <w:rsid w:val="0009247F"/>
    <w:rsid w:val="00095EC1"/>
    <w:rsid w:val="00096315"/>
    <w:rsid w:val="000A01AE"/>
    <w:rsid w:val="000A7C9A"/>
    <w:rsid w:val="000B3523"/>
    <w:rsid w:val="000C6541"/>
    <w:rsid w:val="000C72A1"/>
    <w:rsid w:val="000C7DCF"/>
    <w:rsid w:val="000E24DC"/>
    <w:rsid w:val="000E3C04"/>
    <w:rsid w:val="000E5BBE"/>
    <w:rsid w:val="000F0A49"/>
    <w:rsid w:val="000F6C45"/>
    <w:rsid w:val="00101EC4"/>
    <w:rsid w:val="00102800"/>
    <w:rsid w:val="0010643C"/>
    <w:rsid w:val="00112731"/>
    <w:rsid w:val="00115736"/>
    <w:rsid w:val="0011670A"/>
    <w:rsid w:val="001179E6"/>
    <w:rsid w:val="00121341"/>
    <w:rsid w:val="001227D3"/>
    <w:rsid w:val="00123AA6"/>
    <w:rsid w:val="00124843"/>
    <w:rsid w:val="00126DE1"/>
    <w:rsid w:val="00127F71"/>
    <w:rsid w:val="001353BF"/>
    <w:rsid w:val="00141FF0"/>
    <w:rsid w:val="00144C58"/>
    <w:rsid w:val="00146FF2"/>
    <w:rsid w:val="00154E1E"/>
    <w:rsid w:val="00161D72"/>
    <w:rsid w:val="001640BA"/>
    <w:rsid w:val="00173A91"/>
    <w:rsid w:val="001761D7"/>
    <w:rsid w:val="00180F9D"/>
    <w:rsid w:val="001812B6"/>
    <w:rsid w:val="00181EBC"/>
    <w:rsid w:val="00182517"/>
    <w:rsid w:val="001865DC"/>
    <w:rsid w:val="00192085"/>
    <w:rsid w:val="001976C6"/>
    <w:rsid w:val="001A2D53"/>
    <w:rsid w:val="001A3A27"/>
    <w:rsid w:val="001A4902"/>
    <w:rsid w:val="001A5821"/>
    <w:rsid w:val="001A63B6"/>
    <w:rsid w:val="001A7AE4"/>
    <w:rsid w:val="001B06CB"/>
    <w:rsid w:val="001C546C"/>
    <w:rsid w:val="001C7E81"/>
    <w:rsid w:val="001D0A43"/>
    <w:rsid w:val="001E0B95"/>
    <w:rsid w:val="001F60C0"/>
    <w:rsid w:val="00204D2D"/>
    <w:rsid w:val="00220D9D"/>
    <w:rsid w:val="0022288A"/>
    <w:rsid w:val="002301D0"/>
    <w:rsid w:val="0023364D"/>
    <w:rsid w:val="002349AA"/>
    <w:rsid w:val="00235F81"/>
    <w:rsid w:val="00236E17"/>
    <w:rsid w:val="00237E35"/>
    <w:rsid w:val="00241D11"/>
    <w:rsid w:val="0024325F"/>
    <w:rsid w:val="002443DC"/>
    <w:rsid w:val="002505EF"/>
    <w:rsid w:val="00252599"/>
    <w:rsid w:val="00255EA0"/>
    <w:rsid w:val="0026062D"/>
    <w:rsid w:val="0026607F"/>
    <w:rsid w:val="00267721"/>
    <w:rsid w:val="00272060"/>
    <w:rsid w:val="002743EA"/>
    <w:rsid w:val="00280BC9"/>
    <w:rsid w:val="00282208"/>
    <w:rsid w:val="0028530B"/>
    <w:rsid w:val="00285EAC"/>
    <w:rsid w:val="00293560"/>
    <w:rsid w:val="00293765"/>
    <w:rsid w:val="002A128A"/>
    <w:rsid w:val="002A19B0"/>
    <w:rsid w:val="002A5B6B"/>
    <w:rsid w:val="002A6AB2"/>
    <w:rsid w:val="002A726B"/>
    <w:rsid w:val="002B36EB"/>
    <w:rsid w:val="002B78AE"/>
    <w:rsid w:val="002C2AE8"/>
    <w:rsid w:val="002C38CC"/>
    <w:rsid w:val="002C4C4A"/>
    <w:rsid w:val="002C712D"/>
    <w:rsid w:val="002C7385"/>
    <w:rsid w:val="002D0072"/>
    <w:rsid w:val="002D1264"/>
    <w:rsid w:val="002D4024"/>
    <w:rsid w:val="002D56E7"/>
    <w:rsid w:val="002D5F5C"/>
    <w:rsid w:val="002E1DF7"/>
    <w:rsid w:val="002E2177"/>
    <w:rsid w:val="002E2512"/>
    <w:rsid w:val="002E2571"/>
    <w:rsid w:val="002E4ABC"/>
    <w:rsid w:val="002E578C"/>
    <w:rsid w:val="002E6AFF"/>
    <w:rsid w:val="002F1C48"/>
    <w:rsid w:val="002F260C"/>
    <w:rsid w:val="002F3767"/>
    <w:rsid w:val="002F3D98"/>
    <w:rsid w:val="002F461B"/>
    <w:rsid w:val="00300631"/>
    <w:rsid w:val="00305279"/>
    <w:rsid w:val="00310BAF"/>
    <w:rsid w:val="00311837"/>
    <w:rsid w:val="00312890"/>
    <w:rsid w:val="00312BF5"/>
    <w:rsid w:val="00320F90"/>
    <w:rsid w:val="0032233D"/>
    <w:rsid w:val="00323992"/>
    <w:rsid w:val="003271DC"/>
    <w:rsid w:val="003305C5"/>
    <w:rsid w:val="0033455D"/>
    <w:rsid w:val="00334E3B"/>
    <w:rsid w:val="00350BF7"/>
    <w:rsid w:val="00354BE0"/>
    <w:rsid w:val="0036596A"/>
    <w:rsid w:val="00365E9C"/>
    <w:rsid w:val="00376BBA"/>
    <w:rsid w:val="00377FE3"/>
    <w:rsid w:val="003936E5"/>
    <w:rsid w:val="00394C85"/>
    <w:rsid w:val="003A1DF9"/>
    <w:rsid w:val="003A2E45"/>
    <w:rsid w:val="003A42D3"/>
    <w:rsid w:val="003A5086"/>
    <w:rsid w:val="003A7439"/>
    <w:rsid w:val="003B01CD"/>
    <w:rsid w:val="003B5127"/>
    <w:rsid w:val="003B5FBB"/>
    <w:rsid w:val="003B6C96"/>
    <w:rsid w:val="003C2926"/>
    <w:rsid w:val="003E1A30"/>
    <w:rsid w:val="003E6DC3"/>
    <w:rsid w:val="003F2A14"/>
    <w:rsid w:val="003F31E8"/>
    <w:rsid w:val="003F5B36"/>
    <w:rsid w:val="00404A13"/>
    <w:rsid w:val="00405204"/>
    <w:rsid w:val="0041055D"/>
    <w:rsid w:val="00411823"/>
    <w:rsid w:val="004147E0"/>
    <w:rsid w:val="00416AAE"/>
    <w:rsid w:val="00417A5E"/>
    <w:rsid w:val="00443990"/>
    <w:rsid w:val="00445730"/>
    <w:rsid w:val="00451AA3"/>
    <w:rsid w:val="0046002B"/>
    <w:rsid w:val="00462032"/>
    <w:rsid w:val="00463D25"/>
    <w:rsid w:val="00465365"/>
    <w:rsid w:val="00466246"/>
    <w:rsid w:val="004702E4"/>
    <w:rsid w:val="00471EF2"/>
    <w:rsid w:val="00475B1F"/>
    <w:rsid w:val="00475BB8"/>
    <w:rsid w:val="00482DD4"/>
    <w:rsid w:val="00482F7E"/>
    <w:rsid w:val="00483751"/>
    <w:rsid w:val="004873B9"/>
    <w:rsid w:val="00490CF5"/>
    <w:rsid w:val="00493354"/>
    <w:rsid w:val="004A2F9E"/>
    <w:rsid w:val="004A706D"/>
    <w:rsid w:val="004B10F1"/>
    <w:rsid w:val="004B4587"/>
    <w:rsid w:val="004B53AB"/>
    <w:rsid w:val="004B5BE6"/>
    <w:rsid w:val="004B5D14"/>
    <w:rsid w:val="004D3597"/>
    <w:rsid w:val="004E197A"/>
    <w:rsid w:val="004E4E14"/>
    <w:rsid w:val="004E7548"/>
    <w:rsid w:val="00501630"/>
    <w:rsid w:val="00501942"/>
    <w:rsid w:val="005046DB"/>
    <w:rsid w:val="0051157A"/>
    <w:rsid w:val="00514A2F"/>
    <w:rsid w:val="00515A43"/>
    <w:rsid w:val="0052150A"/>
    <w:rsid w:val="00525619"/>
    <w:rsid w:val="00526294"/>
    <w:rsid w:val="005314ED"/>
    <w:rsid w:val="00535355"/>
    <w:rsid w:val="00535B92"/>
    <w:rsid w:val="00537F5D"/>
    <w:rsid w:val="00551967"/>
    <w:rsid w:val="00552294"/>
    <w:rsid w:val="005526F1"/>
    <w:rsid w:val="005540CF"/>
    <w:rsid w:val="00554E57"/>
    <w:rsid w:val="00563113"/>
    <w:rsid w:val="00564ABC"/>
    <w:rsid w:val="005706A1"/>
    <w:rsid w:val="0057530A"/>
    <w:rsid w:val="00575C42"/>
    <w:rsid w:val="00580602"/>
    <w:rsid w:val="00583A93"/>
    <w:rsid w:val="005851C2"/>
    <w:rsid w:val="00587A71"/>
    <w:rsid w:val="00594B45"/>
    <w:rsid w:val="005959F9"/>
    <w:rsid w:val="005A634E"/>
    <w:rsid w:val="005B3167"/>
    <w:rsid w:val="005B5CBF"/>
    <w:rsid w:val="005B7DC5"/>
    <w:rsid w:val="005C0C48"/>
    <w:rsid w:val="005D0B38"/>
    <w:rsid w:val="005D29F7"/>
    <w:rsid w:val="005D5E2B"/>
    <w:rsid w:val="005E23B7"/>
    <w:rsid w:val="005F3636"/>
    <w:rsid w:val="005F44B1"/>
    <w:rsid w:val="005F514C"/>
    <w:rsid w:val="005F5DE3"/>
    <w:rsid w:val="005F5F9A"/>
    <w:rsid w:val="005F6E05"/>
    <w:rsid w:val="00600599"/>
    <w:rsid w:val="00607FA0"/>
    <w:rsid w:val="006109C6"/>
    <w:rsid w:val="0061279E"/>
    <w:rsid w:val="006140C2"/>
    <w:rsid w:val="006160A2"/>
    <w:rsid w:val="0062529A"/>
    <w:rsid w:val="00626AA9"/>
    <w:rsid w:val="00626F28"/>
    <w:rsid w:val="00632B16"/>
    <w:rsid w:val="00634709"/>
    <w:rsid w:val="00636E04"/>
    <w:rsid w:val="00642A05"/>
    <w:rsid w:val="00642FC4"/>
    <w:rsid w:val="006507CE"/>
    <w:rsid w:val="006527F8"/>
    <w:rsid w:val="00653090"/>
    <w:rsid w:val="00653B27"/>
    <w:rsid w:val="00661F77"/>
    <w:rsid w:val="00667AB5"/>
    <w:rsid w:val="00672FAC"/>
    <w:rsid w:val="00673385"/>
    <w:rsid w:val="00676A2E"/>
    <w:rsid w:val="00676CBB"/>
    <w:rsid w:val="0068089E"/>
    <w:rsid w:val="006846D8"/>
    <w:rsid w:val="00685216"/>
    <w:rsid w:val="00691AAB"/>
    <w:rsid w:val="00693584"/>
    <w:rsid w:val="00696EBA"/>
    <w:rsid w:val="006A27B0"/>
    <w:rsid w:val="006A44C9"/>
    <w:rsid w:val="006B10C6"/>
    <w:rsid w:val="006B4873"/>
    <w:rsid w:val="006B4CB7"/>
    <w:rsid w:val="006C04FF"/>
    <w:rsid w:val="006C77C9"/>
    <w:rsid w:val="006D056C"/>
    <w:rsid w:val="006D085C"/>
    <w:rsid w:val="006D0CC4"/>
    <w:rsid w:val="006D1251"/>
    <w:rsid w:val="006D2254"/>
    <w:rsid w:val="006D2F03"/>
    <w:rsid w:val="006D5543"/>
    <w:rsid w:val="006E3CBD"/>
    <w:rsid w:val="006E6A1D"/>
    <w:rsid w:val="006F1603"/>
    <w:rsid w:val="006F643B"/>
    <w:rsid w:val="006F66C7"/>
    <w:rsid w:val="006F76B5"/>
    <w:rsid w:val="0070053F"/>
    <w:rsid w:val="007011ED"/>
    <w:rsid w:val="00702DBD"/>
    <w:rsid w:val="00703A9F"/>
    <w:rsid w:val="00711780"/>
    <w:rsid w:val="00711C9F"/>
    <w:rsid w:val="007121FD"/>
    <w:rsid w:val="00714B69"/>
    <w:rsid w:val="00717339"/>
    <w:rsid w:val="007202F4"/>
    <w:rsid w:val="0072709C"/>
    <w:rsid w:val="00737462"/>
    <w:rsid w:val="00742790"/>
    <w:rsid w:val="00742C5E"/>
    <w:rsid w:val="00743CCF"/>
    <w:rsid w:val="00746092"/>
    <w:rsid w:val="007460D5"/>
    <w:rsid w:val="00747B98"/>
    <w:rsid w:val="0075116C"/>
    <w:rsid w:val="007513BE"/>
    <w:rsid w:val="00751D7F"/>
    <w:rsid w:val="00753D1A"/>
    <w:rsid w:val="00753E4B"/>
    <w:rsid w:val="00760F24"/>
    <w:rsid w:val="00764075"/>
    <w:rsid w:val="007657C2"/>
    <w:rsid w:val="00772A2E"/>
    <w:rsid w:val="00774E38"/>
    <w:rsid w:val="00777332"/>
    <w:rsid w:val="007904B4"/>
    <w:rsid w:val="00792B0E"/>
    <w:rsid w:val="00794D14"/>
    <w:rsid w:val="00796B2C"/>
    <w:rsid w:val="007A0922"/>
    <w:rsid w:val="007B02B1"/>
    <w:rsid w:val="007B0C15"/>
    <w:rsid w:val="007B33D3"/>
    <w:rsid w:val="007C4679"/>
    <w:rsid w:val="007C6588"/>
    <w:rsid w:val="007C7885"/>
    <w:rsid w:val="007D0B16"/>
    <w:rsid w:val="007D4BCE"/>
    <w:rsid w:val="007D5F4C"/>
    <w:rsid w:val="007D7E6F"/>
    <w:rsid w:val="007E15EB"/>
    <w:rsid w:val="007E40BB"/>
    <w:rsid w:val="007E575E"/>
    <w:rsid w:val="007E5ED3"/>
    <w:rsid w:val="007E6A95"/>
    <w:rsid w:val="007E6EAB"/>
    <w:rsid w:val="007F0886"/>
    <w:rsid w:val="007F08A3"/>
    <w:rsid w:val="007F1287"/>
    <w:rsid w:val="007F275F"/>
    <w:rsid w:val="007F3785"/>
    <w:rsid w:val="007F6067"/>
    <w:rsid w:val="008009D9"/>
    <w:rsid w:val="00800A49"/>
    <w:rsid w:val="0080245F"/>
    <w:rsid w:val="00805731"/>
    <w:rsid w:val="00820FF4"/>
    <w:rsid w:val="00822126"/>
    <w:rsid w:val="00834551"/>
    <w:rsid w:val="00837DB1"/>
    <w:rsid w:val="00840DEB"/>
    <w:rsid w:val="00844AA0"/>
    <w:rsid w:val="00845991"/>
    <w:rsid w:val="008517A2"/>
    <w:rsid w:val="00853701"/>
    <w:rsid w:val="008556DF"/>
    <w:rsid w:val="00856443"/>
    <w:rsid w:val="00857655"/>
    <w:rsid w:val="008642D9"/>
    <w:rsid w:val="008644CE"/>
    <w:rsid w:val="008708C5"/>
    <w:rsid w:val="008749B2"/>
    <w:rsid w:val="008768B9"/>
    <w:rsid w:val="008A0248"/>
    <w:rsid w:val="008A0DF5"/>
    <w:rsid w:val="008A2D93"/>
    <w:rsid w:val="008A5227"/>
    <w:rsid w:val="008A7E85"/>
    <w:rsid w:val="008B29C5"/>
    <w:rsid w:val="008B5383"/>
    <w:rsid w:val="008B6A2D"/>
    <w:rsid w:val="008B6BBB"/>
    <w:rsid w:val="008C099D"/>
    <w:rsid w:val="008C26C9"/>
    <w:rsid w:val="008C6FC3"/>
    <w:rsid w:val="008D1648"/>
    <w:rsid w:val="008D4DAA"/>
    <w:rsid w:val="008D70C2"/>
    <w:rsid w:val="008E1074"/>
    <w:rsid w:val="008E1232"/>
    <w:rsid w:val="008E138A"/>
    <w:rsid w:val="008E31EB"/>
    <w:rsid w:val="008E45AD"/>
    <w:rsid w:val="008E71CF"/>
    <w:rsid w:val="008E7A20"/>
    <w:rsid w:val="008F2F63"/>
    <w:rsid w:val="008F4219"/>
    <w:rsid w:val="008F7F9F"/>
    <w:rsid w:val="009006E7"/>
    <w:rsid w:val="00907BD7"/>
    <w:rsid w:val="009100A5"/>
    <w:rsid w:val="009117C2"/>
    <w:rsid w:val="0091292B"/>
    <w:rsid w:val="00913DA5"/>
    <w:rsid w:val="009161CA"/>
    <w:rsid w:val="00922060"/>
    <w:rsid w:val="00923B8B"/>
    <w:rsid w:val="00926E31"/>
    <w:rsid w:val="00931AA1"/>
    <w:rsid w:val="00934292"/>
    <w:rsid w:val="009346EB"/>
    <w:rsid w:val="00936248"/>
    <w:rsid w:val="00937C3E"/>
    <w:rsid w:val="00940E0D"/>
    <w:rsid w:val="00944659"/>
    <w:rsid w:val="009456CD"/>
    <w:rsid w:val="00945876"/>
    <w:rsid w:val="00947203"/>
    <w:rsid w:val="00954FB2"/>
    <w:rsid w:val="00955D0D"/>
    <w:rsid w:val="009578E4"/>
    <w:rsid w:val="00962D5F"/>
    <w:rsid w:val="00972E14"/>
    <w:rsid w:val="00974B69"/>
    <w:rsid w:val="00977420"/>
    <w:rsid w:val="0097748D"/>
    <w:rsid w:val="0098044B"/>
    <w:rsid w:val="00980E4C"/>
    <w:rsid w:val="009821F4"/>
    <w:rsid w:val="00982FE6"/>
    <w:rsid w:val="0098523A"/>
    <w:rsid w:val="00990FD7"/>
    <w:rsid w:val="009968AB"/>
    <w:rsid w:val="009A063F"/>
    <w:rsid w:val="009A3647"/>
    <w:rsid w:val="009B54E5"/>
    <w:rsid w:val="009B5ECD"/>
    <w:rsid w:val="009C32D6"/>
    <w:rsid w:val="009D233C"/>
    <w:rsid w:val="009D2891"/>
    <w:rsid w:val="009D723B"/>
    <w:rsid w:val="009E306F"/>
    <w:rsid w:val="009E4240"/>
    <w:rsid w:val="009F1C3A"/>
    <w:rsid w:val="009F332E"/>
    <w:rsid w:val="00A01434"/>
    <w:rsid w:val="00A05048"/>
    <w:rsid w:val="00A10437"/>
    <w:rsid w:val="00A143D9"/>
    <w:rsid w:val="00A16651"/>
    <w:rsid w:val="00A2210F"/>
    <w:rsid w:val="00A23531"/>
    <w:rsid w:val="00A36DBD"/>
    <w:rsid w:val="00A42B96"/>
    <w:rsid w:val="00A46B6E"/>
    <w:rsid w:val="00A479CD"/>
    <w:rsid w:val="00A5012B"/>
    <w:rsid w:val="00A50A00"/>
    <w:rsid w:val="00A54771"/>
    <w:rsid w:val="00A66334"/>
    <w:rsid w:val="00A67938"/>
    <w:rsid w:val="00A73D73"/>
    <w:rsid w:val="00A759D6"/>
    <w:rsid w:val="00A76CD3"/>
    <w:rsid w:val="00A775B7"/>
    <w:rsid w:val="00A802CB"/>
    <w:rsid w:val="00A80BCB"/>
    <w:rsid w:val="00A81D57"/>
    <w:rsid w:val="00A82E2C"/>
    <w:rsid w:val="00A950B0"/>
    <w:rsid w:val="00A9522E"/>
    <w:rsid w:val="00AB7BC3"/>
    <w:rsid w:val="00AC78AA"/>
    <w:rsid w:val="00AD111F"/>
    <w:rsid w:val="00AD1963"/>
    <w:rsid w:val="00AD1A78"/>
    <w:rsid w:val="00AD378F"/>
    <w:rsid w:val="00AF2AC4"/>
    <w:rsid w:val="00AF2E5C"/>
    <w:rsid w:val="00AF31C5"/>
    <w:rsid w:val="00B0196A"/>
    <w:rsid w:val="00B025C1"/>
    <w:rsid w:val="00B03020"/>
    <w:rsid w:val="00B070B4"/>
    <w:rsid w:val="00B10A10"/>
    <w:rsid w:val="00B121DA"/>
    <w:rsid w:val="00B128EA"/>
    <w:rsid w:val="00B15E0E"/>
    <w:rsid w:val="00B24757"/>
    <w:rsid w:val="00B279CD"/>
    <w:rsid w:val="00B30E52"/>
    <w:rsid w:val="00B361C2"/>
    <w:rsid w:val="00B44964"/>
    <w:rsid w:val="00B453DE"/>
    <w:rsid w:val="00B4773D"/>
    <w:rsid w:val="00B47750"/>
    <w:rsid w:val="00B5500C"/>
    <w:rsid w:val="00B57C19"/>
    <w:rsid w:val="00B608AF"/>
    <w:rsid w:val="00B66EAB"/>
    <w:rsid w:val="00B7144C"/>
    <w:rsid w:val="00B74A02"/>
    <w:rsid w:val="00B75774"/>
    <w:rsid w:val="00B83D02"/>
    <w:rsid w:val="00B85644"/>
    <w:rsid w:val="00B86C7D"/>
    <w:rsid w:val="00B92DA9"/>
    <w:rsid w:val="00B972BA"/>
    <w:rsid w:val="00BA34A5"/>
    <w:rsid w:val="00BA4E2B"/>
    <w:rsid w:val="00BA5723"/>
    <w:rsid w:val="00BA76F7"/>
    <w:rsid w:val="00BC2E21"/>
    <w:rsid w:val="00BC311E"/>
    <w:rsid w:val="00BC4694"/>
    <w:rsid w:val="00BC7F53"/>
    <w:rsid w:val="00BD084C"/>
    <w:rsid w:val="00BD1AE5"/>
    <w:rsid w:val="00BD3F63"/>
    <w:rsid w:val="00BD407F"/>
    <w:rsid w:val="00BD5619"/>
    <w:rsid w:val="00BD724C"/>
    <w:rsid w:val="00BE0AD4"/>
    <w:rsid w:val="00BE203E"/>
    <w:rsid w:val="00BE7385"/>
    <w:rsid w:val="00BE7D60"/>
    <w:rsid w:val="00BF55BA"/>
    <w:rsid w:val="00BF6AB7"/>
    <w:rsid w:val="00BF7546"/>
    <w:rsid w:val="00C00196"/>
    <w:rsid w:val="00C10187"/>
    <w:rsid w:val="00C11C82"/>
    <w:rsid w:val="00C13B2E"/>
    <w:rsid w:val="00C20EB4"/>
    <w:rsid w:val="00C24825"/>
    <w:rsid w:val="00C32890"/>
    <w:rsid w:val="00C37F88"/>
    <w:rsid w:val="00C4627C"/>
    <w:rsid w:val="00C4710F"/>
    <w:rsid w:val="00C547E7"/>
    <w:rsid w:val="00C54AA5"/>
    <w:rsid w:val="00C54C9B"/>
    <w:rsid w:val="00C5670B"/>
    <w:rsid w:val="00C60311"/>
    <w:rsid w:val="00C61CDF"/>
    <w:rsid w:val="00C70ADB"/>
    <w:rsid w:val="00C8198B"/>
    <w:rsid w:val="00C81A3B"/>
    <w:rsid w:val="00C91FBA"/>
    <w:rsid w:val="00C92BE3"/>
    <w:rsid w:val="00C93123"/>
    <w:rsid w:val="00C94290"/>
    <w:rsid w:val="00CA0DBD"/>
    <w:rsid w:val="00CA2826"/>
    <w:rsid w:val="00CB39D4"/>
    <w:rsid w:val="00CD3B09"/>
    <w:rsid w:val="00CE17FA"/>
    <w:rsid w:val="00CE397C"/>
    <w:rsid w:val="00CE769B"/>
    <w:rsid w:val="00CE7B53"/>
    <w:rsid w:val="00D03121"/>
    <w:rsid w:val="00D10108"/>
    <w:rsid w:val="00D101DF"/>
    <w:rsid w:val="00D131C0"/>
    <w:rsid w:val="00D135DE"/>
    <w:rsid w:val="00D14B46"/>
    <w:rsid w:val="00D15750"/>
    <w:rsid w:val="00D17A0D"/>
    <w:rsid w:val="00D21847"/>
    <w:rsid w:val="00D223CD"/>
    <w:rsid w:val="00D22A7A"/>
    <w:rsid w:val="00D27219"/>
    <w:rsid w:val="00D352CD"/>
    <w:rsid w:val="00D3538D"/>
    <w:rsid w:val="00D353AC"/>
    <w:rsid w:val="00D36339"/>
    <w:rsid w:val="00D4742A"/>
    <w:rsid w:val="00D50F44"/>
    <w:rsid w:val="00D52D6B"/>
    <w:rsid w:val="00D56A4A"/>
    <w:rsid w:val="00D57091"/>
    <w:rsid w:val="00D603AA"/>
    <w:rsid w:val="00D60AE7"/>
    <w:rsid w:val="00D63E5F"/>
    <w:rsid w:val="00D64645"/>
    <w:rsid w:val="00D67E43"/>
    <w:rsid w:val="00D72A40"/>
    <w:rsid w:val="00D825D8"/>
    <w:rsid w:val="00D87BC4"/>
    <w:rsid w:val="00D913B0"/>
    <w:rsid w:val="00D91839"/>
    <w:rsid w:val="00DA0992"/>
    <w:rsid w:val="00DA499B"/>
    <w:rsid w:val="00DB2123"/>
    <w:rsid w:val="00DB46FA"/>
    <w:rsid w:val="00DC41A2"/>
    <w:rsid w:val="00DD0DBB"/>
    <w:rsid w:val="00DD302A"/>
    <w:rsid w:val="00DE02A5"/>
    <w:rsid w:val="00DE05B1"/>
    <w:rsid w:val="00DE11D1"/>
    <w:rsid w:val="00DE2DD3"/>
    <w:rsid w:val="00DE5A70"/>
    <w:rsid w:val="00DF3A0A"/>
    <w:rsid w:val="00DF622B"/>
    <w:rsid w:val="00E035FD"/>
    <w:rsid w:val="00E03908"/>
    <w:rsid w:val="00E05D39"/>
    <w:rsid w:val="00E0732F"/>
    <w:rsid w:val="00E105CD"/>
    <w:rsid w:val="00E12F47"/>
    <w:rsid w:val="00E13E60"/>
    <w:rsid w:val="00E218E1"/>
    <w:rsid w:val="00E21F29"/>
    <w:rsid w:val="00E25E68"/>
    <w:rsid w:val="00E27EFC"/>
    <w:rsid w:val="00E3791B"/>
    <w:rsid w:val="00E37C5A"/>
    <w:rsid w:val="00E41030"/>
    <w:rsid w:val="00E456A3"/>
    <w:rsid w:val="00E521C2"/>
    <w:rsid w:val="00E611AF"/>
    <w:rsid w:val="00E66FC8"/>
    <w:rsid w:val="00E67AE1"/>
    <w:rsid w:val="00E67D0B"/>
    <w:rsid w:val="00E73AFD"/>
    <w:rsid w:val="00E80F3D"/>
    <w:rsid w:val="00E81AF0"/>
    <w:rsid w:val="00E82B64"/>
    <w:rsid w:val="00E84037"/>
    <w:rsid w:val="00E85FA7"/>
    <w:rsid w:val="00E8665B"/>
    <w:rsid w:val="00E909AD"/>
    <w:rsid w:val="00E95F04"/>
    <w:rsid w:val="00EA026C"/>
    <w:rsid w:val="00EA3E44"/>
    <w:rsid w:val="00EA777D"/>
    <w:rsid w:val="00EC2FB0"/>
    <w:rsid w:val="00EC68F1"/>
    <w:rsid w:val="00EC6E6F"/>
    <w:rsid w:val="00ED6F67"/>
    <w:rsid w:val="00EE044B"/>
    <w:rsid w:val="00EE4052"/>
    <w:rsid w:val="00EE4DF3"/>
    <w:rsid w:val="00EE5292"/>
    <w:rsid w:val="00EE5988"/>
    <w:rsid w:val="00EF7991"/>
    <w:rsid w:val="00F00A48"/>
    <w:rsid w:val="00F01370"/>
    <w:rsid w:val="00F01BCF"/>
    <w:rsid w:val="00F04A8B"/>
    <w:rsid w:val="00F10AED"/>
    <w:rsid w:val="00F11B32"/>
    <w:rsid w:val="00F17A98"/>
    <w:rsid w:val="00F17BD5"/>
    <w:rsid w:val="00F22541"/>
    <w:rsid w:val="00F2312E"/>
    <w:rsid w:val="00F26826"/>
    <w:rsid w:val="00F26C65"/>
    <w:rsid w:val="00F27F80"/>
    <w:rsid w:val="00F30331"/>
    <w:rsid w:val="00F303B2"/>
    <w:rsid w:val="00F311E3"/>
    <w:rsid w:val="00F32A26"/>
    <w:rsid w:val="00F33586"/>
    <w:rsid w:val="00F337C3"/>
    <w:rsid w:val="00F40596"/>
    <w:rsid w:val="00F4429B"/>
    <w:rsid w:val="00F542AC"/>
    <w:rsid w:val="00F55CEB"/>
    <w:rsid w:val="00F631CD"/>
    <w:rsid w:val="00F65EEC"/>
    <w:rsid w:val="00F73243"/>
    <w:rsid w:val="00F756E5"/>
    <w:rsid w:val="00F75D43"/>
    <w:rsid w:val="00F779A5"/>
    <w:rsid w:val="00F8161A"/>
    <w:rsid w:val="00F95CE3"/>
    <w:rsid w:val="00FA0089"/>
    <w:rsid w:val="00FA14BF"/>
    <w:rsid w:val="00FA17F8"/>
    <w:rsid w:val="00FA27DE"/>
    <w:rsid w:val="00FA7DAD"/>
    <w:rsid w:val="00FB06A6"/>
    <w:rsid w:val="00FB405C"/>
    <w:rsid w:val="00FB590B"/>
    <w:rsid w:val="00FB71D4"/>
    <w:rsid w:val="00FB7529"/>
    <w:rsid w:val="00FB75CA"/>
    <w:rsid w:val="00FC4103"/>
    <w:rsid w:val="00FD5A33"/>
    <w:rsid w:val="00FE2BC0"/>
    <w:rsid w:val="00FE4A17"/>
    <w:rsid w:val="00FF3B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0E3D47"/>
  <w15:chartTrackingRefBased/>
  <w15:docId w15:val="{8D966CCA-DC40-41EF-B7E6-101A004FD4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4709"/>
    <w:pPr>
      <w:spacing w:after="240" w:line="240" w:lineRule="auto"/>
    </w:pPr>
    <w:rPr>
      <w:rFonts w:ascii="Times New Roman" w:hAnsi="Times New Roman"/>
    </w:rPr>
  </w:style>
  <w:style w:type="paragraph" w:styleId="Heading1">
    <w:name w:val="heading 1"/>
    <w:basedOn w:val="Normal"/>
    <w:next w:val="Normal"/>
    <w:link w:val="Heading1Char"/>
    <w:autoRedefine/>
    <w:uiPriority w:val="9"/>
    <w:qFormat/>
    <w:rsid w:val="005F5F9A"/>
    <w:pPr>
      <w:keepNext/>
      <w:keepLines/>
      <w:pBdr>
        <w:bottom w:val="single" w:sz="4" w:space="1" w:color="auto"/>
      </w:pBdr>
      <w:spacing w:after="120"/>
      <w:outlineLvl w:val="0"/>
    </w:pPr>
    <w:rPr>
      <w:rFonts w:eastAsiaTheme="majorEastAsia" w:cstheme="majorBidi"/>
      <w:b/>
      <w:sz w:val="28"/>
      <w:szCs w:val="32"/>
    </w:rPr>
  </w:style>
  <w:style w:type="paragraph" w:styleId="Heading2">
    <w:name w:val="heading 2"/>
    <w:basedOn w:val="Normal"/>
    <w:next w:val="Normal"/>
    <w:link w:val="Heading2Char"/>
    <w:autoRedefine/>
    <w:uiPriority w:val="9"/>
    <w:unhideWhenUsed/>
    <w:qFormat/>
    <w:rsid w:val="00CE7B53"/>
    <w:pPr>
      <w:keepNext/>
      <w:keepLines/>
      <w:spacing w:before="40" w:after="0"/>
      <w:outlineLvl w:val="1"/>
    </w:pPr>
    <w:rPr>
      <w:rFonts w:eastAsiaTheme="majorEastAsia" w:cstheme="majorBidi"/>
      <w:b/>
      <w:szCs w:val="26"/>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121341"/>
  </w:style>
  <w:style w:type="character" w:styleId="Hyperlink">
    <w:name w:val="Hyperlink"/>
    <w:basedOn w:val="DefaultParagraphFont"/>
    <w:uiPriority w:val="99"/>
    <w:unhideWhenUsed/>
    <w:rsid w:val="00121341"/>
    <w:rPr>
      <w:color w:val="0563C1" w:themeColor="hyperlink"/>
      <w:u w:val="single"/>
    </w:rPr>
  </w:style>
  <w:style w:type="paragraph" w:customStyle="1" w:styleId="Heading3">
    <w:name w:val="Heading3"/>
    <w:basedOn w:val="Normal"/>
    <w:link w:val="Heading3Char"/>
    <w:rsid w:val="00121341"/>
    <w:rPr>
      <w:rFonts w:eastAsia="SimSun" w:cs="Times New Roman"/>
      <w:sz w:val="28"/>
      <w:szCs w:val="28"/>
    </w:rPr>
  </w:style>
  <w:style w:type="character" w:customStyle="1" w:styleId="Heading3Char">
    <w:name w:val="Heading3 Char"/>
    <w:basedOn w:val="DefaultParagraphFont"/>
    <w:link w:val="Heading3"/>
    <w:rsid w:val="00121341"/>
    <w:rPr>
      <w:rFonts w:ascii="Times New Roman" w:eastAsia="SimSun" w:hAnsi="Times New Roman" w:cs="Times New Roman"/>
      <w:sz w:val="28"/>
      <w:szCs w:val="28"/>
    </w:rPr>
  </w:style>
  <w:style w:type="paragraph" w:styleId="NormalWeb">
    <w:name w:val="Normal (Web)"/>
    <w:basedOn w:val="Normal"/>
    <w:uiPriority w:val="99"/>
    <w:unhideWhenUsed/>
    <w:rsid w:val="00121341"/>
    <w:pPr>
      <w:spacing w:before="100" w:beforeAutospacing="1" w:after="100" w:afterAutospacing="1"/>
    </w:pPr>
    <w:rPr>
      <w:rFonts w:eastAsia="Times New Roman" w:cs="Times New Roman"/>
      <w:sz w:val="24"/>
      <w:szCs w:val="24"/>
      <w:lang w:eastAsia="zh-CN"/>
    </w:rPr>
  </w:style>
  <w:style w:type="paragraph" w:styleId="ListParagraph">
    <w:name w:val="List Paragraph"/>
    <w:basedOn w:val="Normal"/>
    <w:uiPriority w:val="34"/>
    <w:qFormat/>
    <w:rsid w:val="001227D3"/>
    <w:pPr>
      <w:ind w:left="720"/>
      <w:contextualSpacing/>
    </w:pPr>
  </w:style>
  <w:style w:type="character" w:styleId="Strong">
    <w:name w:val="Strong"/>
    <w:basedOn w:val="DefaultParagraphFont"/>
    <w:uiPriority w:val="22"/>
    <w:qFormat/>
    <w:rsid w:val="001227D3"/>
    <w:rPr>
      <w:b/>
      <w:bCs/>
    </w:rPr>
  </w:style>
  <w:style w:type="table" w:styleId="TableGrid">
    <w:name w:val="Table Grid"/>
    <w:basedOn w:val="TableNormal"/>
    <w:uiPriority w:val="39"/>
    <w:rsid w:val="000924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autoRedefine/>
    <w:uiPriority w:val="35"/>
    <w:unhideWhenUsed/>
    <w:qFormat/>
    <w:rsid w:val="0028530B"/>
    <w:pPr>
      <w:spacing w:after="0"/>
    </w:pPr>
    <w:rPr>
      <w:rFonts w:cs="Times New Roman"/>
      <w:iCs/>
      <w:sz w:val="18"/>
      <w:szCs w:val="18"/>
    </w:rPr>
  </w:style>
  <w:style w:type="character" w:customStyle="1" w:styleId="Heading1Char">
    <w:name w:val="Heading 1 Char"/>
    <w:basedOn w:val="DefaultParagraphFont"/>
    <w:link w:val="Heading1"/>
    <w:uiPriority w:val="9"/>
    <w:rsid w:val="005F5F9A"/>
    <w:rPr>
      <w:rFonts w:ascii="Times New Roman" w:eastAsiaTheme="majorEastAsia" w:hAnsi="Times New Roman" w:cstheme="majorBidi"/>
      <w:b/>
      <w:sz w:val="28"/>
      <w:szCs w:val="32"/>
    </w:rPr>
  </w:style>
  <w:style w:type="paragraph" w:styleId="Bibliography">
    <w:name w:val="Bibliography"/>
    <w:basedOn w:val="Normal"/>
    <w:next w:val="Normal"/>
    <w:uiPriority w:val="37"/>
    <w:unhideWhenUsed/>
    <w:rsid w:val="00310BAF"/>
  </w:style>
  <w:style w:type="paragraph" w:styleId="TableofFigures">
    <w:name w:val="table of figures"/>
    <w:basedOn w:val="Normal"/>
    <w:next w:val="Normal"/>
    <w:uiPriority w:val="99"/>
    <w:unhideWhenUsed/>
    <w:rsid w:val="00AC78AA"/>
    <w:pPr>
      <w:spacing w:after="0"/>
    </w:pPr>
  </w:style>
  <w:style w:type="character" w:styleId="PlaceholderText">
    <w:name w:val="Placeholder Text"/>
    <w:basedOn w:val="DefaultParagraphFont"/>
    <w:uiPriority w:val="99"/>
    <w:semiHidden/>
    <w:rsid w:val="00747B98"/>
    <w:rPr>
      <w:color w:val="808080"/>
    </w:rPr>
  </w:style>
  <w:style w:type="paragraph" w:styleId="Header">
    <w:name w:val="header"/>
    <w:basedOn w:val="Normal"/>
    <w:link w:val="HeaderChar"/>
    <w:uiPriority w:val="99"/>
    <w:unhideWhenUsed/>
    <w:rsid w:val="00D17A0D"/>
    <w:pPr>
      <w:tabs>
        <w:tab w:val="center" w:pos="4680"/>
        <w:tab w:val="right" w:pos="9360"/>
      </w:tabs>
      <w:spacing w:after="0"/>
    </w:pPr>
  </w:style>
  <w:style w:type="character" w:customStyle="1" w:styleId="HeaderChar">
    <w:name w:val="Header Char"/>
    <w:basedOn w:val="DefaultParagraphFont"/>
    <w:link w:val="Header"/>
    <w:uiPriority w:val="99"/>
    <w:rsid w:val="00D17A0D"/>
  </w:style>
  <w:style w:type="paragraph" w:styleId="Footer">
    <w:name w:val="footer"/>
    <w:basedOn w:val="Normal"/>
    <w:link w:val="FooterChar"/>
    <w:uiPriority w:val="99"/>
    <w:unhideWhenUsed/>
    <w:rsid w:val="00D17A0D"/>
    <w:pPr>
      <w:tabs>
        <w:tab w:val="center" w:pos="4680"/>
        <w:tab w:val="right" w:pos="9360"/>
      </w:tabs>
      <w:spacing w:after="0"/>
    </w:pPr>
  </w:style>
  <w:style w:type="character" w:customStyle="1" w:styleId="FooterChar">
    <w:name w:val="Footer Char"/>
    <w:basedOn w:val="DefaultParagraphFont"/>
    <w:link w:val="Footer"/>
    <w:uiPriority w:val="99"/>
    <w:rsid w:val="00D17A0D"/>
  </w:style>
  <w:style w:type="paragraph" w:styleId="Title">
    <w:name w:val="Title"/>
    <w:basedOn w:val="Normal"/>
    <w:next w:val="Normal"/>
    <w:link w:val="TitleChar"/>
    <w:autoRedefine/>
    <w:uiPriority w:val="10"/>
    <w:qFormat/>
    <w:rsid w:val="007D5F4C"/>
    <w:pPr>
      <w:contextualSpacing/>
      <w:jc w:val="center"/>
    </w:pPr>
    <w:rPr>
      <w:rFonts w:eastAsiaTheme="majorEastAsia" w:cstheme="majorBidi"/>
      <w:b/>
      <w:spacing w:val="-10"/>
      <w:kern w:val="28"/>
      <w:sz w:val="36"/>
      <w:szCs w:val="56"/>
      <w:lang w:val="en-GB"/>
    </w:rPr>
  </w:style>
  <w:style w:type="character" w:customStyle="1" w:styleId="TitleChar">
    <w:name w:val="Title Char"/>
    <w:basedOn w:val="DefaultParagraphFont"/>
    <w:link w:val="Title"/>
    <w:uiPriority w:val="10"/>
    <w:rsid w:val="007D5F4C"/>
    <w:rPr>
      <w:rFonts w:ascii="Times New Roman" w:eastAsiaTheme="majorEastAsia" w:hAnsi="Times New Roman" w:cstheme="majorBidi"/>
      <w:b/>
      <w:spacing w:val="-10"/>
      <w:kern w:val="28"/>
      <w:sz w:val="36"/>
      <w:szCs w:val="56"/>
      <w:lang w:val="en-GB"/>
    </w:rPr>
  </w:style>
  <w:style w:type="character" w:customStyle="1" w:styleId="Heading2Char">
    <w:name w:val="Heading 2 Char"/>
    <w:basedOn w:val="DefaultParagraphFont"/>
    <w:link w:val="Heading2"/>
    <w:uiPriority w:val="9"/>
    <w:rsid w:val="00CE7B53"/>
    <w:rPr>
      <w:rFonts w:ascii="Times New Roman" w:eastAsiaTheme="majorEastAsia" w:hAnsi="Times New Roman" w:cstheme="majorBidi"/>
      <w:b/>
      <w:szCs w:val="26"/>
      <w:lang w:val="en-GB"/>
    </w:rPr>
  </w:style>
  <w:style w:type="paragraph" w:customStyle="1" w:styleId="SMH1">
    <w:name w:val="SM H1"/>
    <w:basedOn w:val="Heading1"/>
    <w:next w:val="Normal"/>
    <w:link w:val="SMH1Char"/>
    <w:autoRedefine/>
    <w:qFormat/>
    <w:rsid w:val="00280BC9"/>
    <w:pPr>
      <w:numPr>
        <w:numId w:val="6"/>
      </w:numPr>
    </w:pPr>
    <w:rPr>
      <w:szCs w:val="22"/>
      <w:lang w:val="en-GB"/>
    </w:rPr>
  </w:style>
  <w:style w:type="paragraph" w:customStyle="1" w:styleId="SMH2">
    <w:name w:val="SM H2"/>
    <w:basedOn w:val="Normal"/>
    <w:next w:val="Normal"/>
    <w:link w:val="SMH2Char"/>
    <w:autoRedefine/>
    <w:qFormat/>
    <w:rsid w:val="00A9522E"/>
    <w:pPr>
      <w:numPr>
        <w:ilvl w:val="1"/>
        <w:numId w:val="6"/>
      </w:numPr>
      <w:spacing w:before="240"/>
    </w:pPr>
    <w:rPr>
      <w:b/>
      <w:lang w:val="en-GB"/>
    </w:rPr>
  </w:style>
  <w:style w:type="character" w:customStyle="1" w:styleId="SMH1Char">
    <w:name w:val="SM H1 Char"/>
    <w:basedOn w:val="Heading3Char"/>
    <w:link w:val="SMH1"/>
    <w:rsid w:val="00280BC9"/>
    <w:rPr>
      <w:rFonts w:ascii="Times New Roman" w:eastAsiaTheme="majorEastAsia" w:hAnsi="Times New Roman" w:cstheme="majorBidi"/>
      <w:b/>
      <w:sz w:val="28"/>
      <w:szCs w:val="28"/>
      <w:lang w:val="en-GB"/>
    </w:rPr>
  </w:style>
  <w:style w:type="character" w:customStyle="1" w:styleId="SMH2Char">
    <w:name w:val="SM H2 Char"/>
    <w:basedOn w:val="DefaultParagraphFont"/>
    <w:link w:val="SMH2"/>
    <w:rsid w:val="00A9522E"/>
    <w:rPr>
      <w:rFonts w:ascii="Times New Roman" w:hAnsi="Times New Roman"/>
      <w:b/>
      <w:lang w:val="en-GB"/>
    </w:rPr>
  </w:style>
  <w:style w:type="character" w:styleId="CommentReference">
    <w:name w:val="annotation reference"/>
    <w:basedOn w:val="DefaultParagraphFont"/>
    <w:uiPriority w:val="99"/>
    <w:semiHidden/>
    <w:unhideWhenUsed/>
    <w:rsid w:val="00023574"/>
    <w:rPr>
      <w:sz w:val="16"/>
      <w:szCs w:val="16"/>
    </w:rPr>
  </w:style>
  <w:style w:type="paragraph" w:styleId="CommentText">
    <w:name w:val="annotation text"/>
    <w:basedOn w:val="Normal"/>
    <w:link w:val="CommentTextChar"/>
    <w:uiPriority w:val="99"/>
    <w:semiHidden/>
    <w:unhideWhenUsed/>
    <w:rsid w:val="00023574"/>
    <w:rPr>
      <w:sz w:val="20"/>
      <w:szCs w:val="20"/>
    </w:rPr>
  </w:style>
  <w:style w:type="character" w:customStyle="1" w:styleId="CommentTextChar">
    <w:name w:val="Comment Text Char"/>
    <w:basedOn w:val="DefaultParagraphFont"/>
    <w:link w:val="CommentText"/>
    <w:uiPriority w:val="99"/>
    <w:semiHidden/>
    <w:rsid w:val="00023574"/>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023574"/>
    <w:rPr>
      <w:b/>
      <w:bCs/>
    </w:rPr>
  </w:style>
  <w:style w:type="character" w:customStyle="1" w:styleId="CommentSubjectChar">
    <w:name w:val="Comment Subject Char"/>
    <w:basedOn w:val="CommentTextChar"/>
    <w:link w:val="CommentSubject"/>
    <w:uiPriority w:val="99"/>
    <w:semiHidden/>
    <w:rsid w:val="00023574"/>
    <w:rPr>
      <w:rFonts w:ascii="Times New Roman" w:hAnsi="Times New Roman"/>
      <w:b/>
      <w:bCs/>
      <w:sz w:val="20"/>
      <w:szCs w:val="20"/>
    </w:rPr>
  </w:style>
  <w:style w:type="paragraph" w:styleId="Revision">
    <w:name w:val="Revision"/>
    <w:hidden/>
    <w:uiPriority w:val="99"/>
    <w:semiHidden/>
    <w:rsid w:val="00C24825"/>
    <w:pPr>
      <w:spacing w:after="0" w:line="240" w:lineRule="auto"/>
    </w:pPr>
    <w:rPr>
      <w:rFonts w:ascii="Times New Roman" w:hAnsi="Times New Roman"/>
    </w:rPr>
  </w:style>
  <w:style w:type="character" w:customStyle="1" w:styleId="highlight">
    <w:name w:val="highlight"/>
    <w:basedOn w:val="DefaultParagraphFont"/>
    <w:rsid w:val="00792B0E"/>
  </w:style>
  <w:style w:type="character" w:styleId="UnresolvedMention">
    <w:name w:val="Unresolved Mention"/>
    <w:basedOn w:val="DefaultParagraphFont"/>
    <w:uiPriority w:val="99"/>
    <w:semiHidden/>
    <w:unhideWhenUsed/>
    <w:rsid w:val="00C11C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3020017">
      <w:bodyDiv w:val="1"/>
      <w:marLeft w:val="0"/>
      <w:marRight w:val="0"/>
      <w:marTop w:val="0"/>
      <w:marBottom w:val="0"/>
      <w:divBdr>
        <w:top w:val="none" w:sz="0" w:space="0" w:color="auto"/>
        <w:left w:val="none" w:sz="0" w:space="0" w:color="auto"/>
        <w:bottom w:val="none" w:sz="0" w:space="0" w:color="auto"/>
        <w:right w:val="none" w:sz="0" w:space="0" w:color="auto"/>
      </w:divBdr>
    </w:div>
    <w:div w:id="104542658">
      <w:bodyDiv w:val="1"/>
      <w:marLeft w:val="0"/>
      <w:marRight w:val="0"/>
      <w:marTop w:val="0"/>
      <w:marBottom w:val="0"/>
      <w:divBdr>
        <w:top w:val="none" w:sz="0" w:space="0" w:color="auto"/>
        <w:left w:val="none" w:sz="0" w:space="0" w:color="auto"/>
        <w:bottom w:val="none" w:sz="0" w:space="0" w:color="auto"/>
        <w:right w:val="none" w:sz="0" w:space="0" w:color="auto"/>
      </w:divBdr>
    </w:div>
    <w:div w:id="206183677">
      <w:bodyDiv w:val="1"/>
      <w:marLeft w:val="0"/>
      <w:marRight w:val="0"/>
      <w:marTop w:val="0"/>
      <w:marBottom w:val="0"/>
      <w:divBdr>
        <w:top w:val="none" w:sz="0" w:space="0" w:color="auto"/>
        <w:left w:val="none" w:sz="0" w:space="0" w:color="auto"/>
        <w:bottom w:val="none" w:sz="0" w:space="0" w:color="auto"/>
        <w:right w:val="none" w:sz="0" w:space="0" w:color="auto"/>
      </w:divBdr>
    </w:div>
    <w:div w:id="267275806">
      <w:bodyDiv w:val="1"/>
      <w:marLeft w:val="0"/>
      <w:marRight w:val="0"/>
      <w:marTop w:val="0"/>
      <w:marBottom w:val="0"/>
      <w:divBdr>
        <w:top w:val="none" w:sz="0" w:space="0" w:color="auto"/>
        <w:left w:val="none" w:sz="0" w:space="0" w:color="auto"/>
        <w:bottom w:val="none" w:sz="0" w:space="0" w:color="auto"/>
        <w:right w:val="none" w:sz="0" w:space="0" w:color="auto"/>
      </w:divBdr>
    </w:div>
    <w:div w:id="485784214">
      <w:bodyDiv w:val="1"/>
      <w:marLeft w:val="0"/>
      <w:marRight w:val="0"/>
      <w:marTop w:val="0"/>
      <w:marBottom w:val="0"/>
      <w:divBdr>
        <w:top w:val="none" w:sz="0" w:space="0" w:color="auto"/>
        <w:left w:val="none" w:sz="0" w:space="0" w:color="auto"/>
        <w:bottom w:val="none" w:sz="0" w:space="0" w:color="auto"/>
        <w:right w:val="none" w:sz="0" w:space="0" w:color="auto"/>
      </w:divBdr>
    </w:div>
    <w:div w:id="995303936">
      <w:bodyDiv w:val="1"/>
      <w:marLeft w:val="0"/>
      <w:marRight w:val="0"/>
      <w:marTop w:val="0"/>
      <w:marBottom w:val="0"/>
      <w:divBdr>
        <w:top w:val="none" w:sz="0" w:space="0" w:color="auto"/>
        <w:left w:val="none" w:sz="0" w:space="0" w:color="auto"/>
        <w:bottom w:val="none" w:sz="0" w:space="0" w:color="auto"/>
        <w:right w:val="none" w:sz="0" w:space="0" w:color="auto"/>
      </w:divBdr>
    </w:div>
    <w:div w:id="1003168762">
      <w:bodyDiv w:val="1"/>
      <w:marLeft w:val="0"/>
      <w:marRight w:val="0"/>
      <w:marTop w:val="0"/>
      <w:marBottom w:val="0"/>
      <w:divBdr>
        <w:top w:val="none" w:sz="0" w:space="0" w:color="auto"/>
        <w:left w:val="none" w:sz="0" w:space="0" w:color="auto"/>
        <w:bottom w:val="none" w:sz="0" w:space="0" w:color="auto"/>
        <w:right w:val="none" w:sz="0" w:space="0" w:color="auto"/>
      </w:divBdr>
    </w:div>
    <w:div w:id="1036270052">
      <w:bodyDiv w:val="1"/>
      <w:marLeft w:val="0"/>
      <w:marRight w:val="0"/>
      <w:marTop w:val="0"/>
      <w:marBottom w:val="0"/>
      <w:divBdr>
        <w:top w:val="none" w:sz="0" w:space="0" w:color="auto"/>
        <w:left w:val="none" w:sz="0" w:space="0" w:color="auto"/>
        <w:bottom w:val="none" w:sz="0" w:space="0" w:color="auto"/>
        <w:right w:val="none" w:sz="0" w:space="0" w:color="auto"/>
      </w:divBdr>
    </w:div>
    <w:div w:id="1061711761">
      <w:bodyDiv w:val="1"/>
      <w:marLeft w:val="0"/>
      <w:marRight w:val="0"/>
      <w:marTop w:val="0"/>
      <w:marBottom w:val="0"/>
      <w:divBdr>
        <w:top w:val="none" w:sz="0" w:space="0" w:color="auto"/>
        <w:left w:val="none" w:sz="0" w:space="0" w:color="auto"/>
        <w:bottom w:val="none" w:sz="0" w:space="0" w:color="auto"/>
        <w:right w:val="none" w:sz="0" w:space="0" w:color="auto"/>
      </w:divBdr>
    </w:div>
    <w:div w:id="1065569052">
      <w:bodyDiv w:val="1"/>
      <w:marLeft w:val="0"/>
      <w:marRight w:val="0"/>
      <w:marTop w:val="0"/>
      <w:marBottom w:val="0"/>
      <w:divBdr>
        <w:top w:val="none" w:sz="0" w:space="0" w:color="auto"/>
        <w:left w:val="none" w:sz="0" w:space="0" w:color="auto"/>
        <w:bottom w:val="none" w:sz="0" w:space="0" w:color="auto"/>
        <w:right w:val="none" w:sz="0" w:space="0" w:color="auto"/>
      </w:divBdr>
    </w:div>
    <w:div w:id="1087573707">
      <w:bodyDiv w:val="1"/>
      <w:marLeft w:val="0"/>
      <w:marRight w:val="0"/>
      <w:marTop w:val="0"/>
      <w:marBottom w:val="0"/>
      <w:divBdr>
        <w:top w:val="none" w:sz="0" w:space="0" w:color="auto"/>
        <w:left w:val="none" w:sz="0" w:space="0" w:color="auto"/>
        <w:bottom w:val="none" w:sz="0" w:space="0" w:color="auto"/>
        <w:right w:val="none" w:sz="0" w:space="0" w:color="auto"/>
      </w:divBdr>
    </w:div>
    <w:div w:id="1088893344">
      <w:bodyDiv w:val="1"/>
      <w:marLeft w:val="0"/>
      <w:marRight w:val="0"/>
      <w:marTop w:val="0"/>
      <w:marBottom w:val="0"/>
      <w:divBdr>
        <w:top w:val="none" w:sz="0" w:space="0" w:color="auto"/>
        <w:left w:val="none" w:sz="0" w:space="0" w:color="auto"/>
        <w:bottom w:val="none" w:sz="0" w:space="0" w:color="auto"/>
        <w:right w:val="none" w:sz="0" w:space="0" w:color="auto"/>
      </w:divBdr>
    </w:div>
    <w:div w:id="1103577407">
      <w:bodyDiv w:val="1"/>
      <w:marLeft w:val="0"/>
      <w:marRight w:val="0"/>
      <w:marTop w:val="0"/>
      <w:marBottom w:val="0"/>
      <w:divBdr>
        <w:top w:val="none" w:sz="0" w:space="0" w:color="auto"/>
        <w:left w:val="none" w:sz="0" w:space="0" w:color="auto"/>
        <w:bottom w:val="none" w:sz="0" w:space="0" w:color="auto"/>
        <w:right w:val="none" w:sz="0" w:space="0" w:color="auto"/>
      </w:divBdr>
    </w:div>
    <w:div w:id="1136875340">
      <w:bodyDiv w:val="1"/>
      <w:marLeft w:val="0"/>
      <w:marRight w:val="0"/>
      <w:marTop w:val="0"/>
      <w:marBottom w:val="0"/>
      <w:divBdr>
        <w:top w:val="none" w:sz="0" w:space="0" w:color="auto"/>
        <w:left w:val="none" w:sz="0" w:space="0" w:color="auto"/>
        <w:bottom w:val="none" w:sz="0" w:space="0" w:color="auto"/>
        <w:right w:val="none" w:sz="0" w:space="0" w:color="auto"/>
      </w:divBdr>
    </w:div>
    <w:div w:id="1160734002">
      <w:bodyDiv w:val="1"/>
      <w:marLeft w:val="0"/>
      <w:marRight w:val="0"/>
      <w:marTop w:val="0"/>
      <w:marBottom w:val="0"/>
      <w:divBdr>
        <w:top w:val="none" w:sz="0" w:space="0" w:color="auto"/>
        <w:left w:val="none" w:sz="0" w:space="0" w:color="auto"/>
        <w:bottom w:val="none" w:sz="0" w:space="0" w:color="auto"/>
        <w:right w:val="none" w:sz="0" w:space="0" w:color="auto"/>
      </w:divBdr>
    </w:div>
    <w:div w:id="1160925692">
      <w:bodyDiv w:val="1"/>
      <w:marLeft w:val="0"/>
      <w:marRight w:val="0"/>
      <w:marTop w:val="0"/>
      <w:marBottom w:val="0"/>
      <w:divBdr>
        <w:top w:val="none" w:sz="0" w:space="0" w:color="auto"/>
        <w:left w:val="none" w:sz="0" w:space="0" w:color="auto"/>
        <w:bottom w:val="none" w:sz="0" w:space="0" w:color="auto"/>
        <w:right w:val="none" w:sz="0" w:space="0" w:color="auto"/>
      </w:divBdr>
    </w:div>
    <w:div w:id="1192454466">
      <w:bodyDiv w:val="1"/>
      <w:marLeft w:val="0"/>
      <w:marRight w:val="0"/>
      <w:marTop w:val="0"/>
      <w:marBottom w:val="0"/>
      <w:divBdr>
        <w:top w:val="none" w:sz="0" w:space="0" w:color="auto"/>
        <w:left w:val="none" w:sz="0" w:space="0" w:color="auto"/>
        <w:bottom w:val="none" w:sz="0" w:space="0" w:color="auto"/>
        <w:right w:val="none" w:sz="0" w:space="0" w:color="auto"/>
      </w:divBdr>
    </w:div>
    <w:div w:id="1232697174">
      <w:bodyDiv w:val="1"/>
      <w:marLeft w:val="0"/>
      <w:marRight w:val="0"/>
      <w:marTop w:val="0"/>
      <w:marBottom w:val="0"/>
      <w:divBdr>
        <w:top w:val="none" w:sz="0" w:space="0" w:color="auto"/>
        <w:left w:val="none" w:sz="0" w:space="0" w:color="auto"/>
        <w:bottom w:val="none" w:sz="0" w:space="0" w:color="auto"/>
        <w:right w:val="none" w:sz="0" w:space="0" w:color="auto"/>
      </w:divBdr>
    </w:div>
    <w:div w:id="1270627446">
      <w:bodyDiv w:val="1"/>
      <w:marLeft w:val="0"/>
      <w:marRight w:val="0"/>
      <w:marTop w:val="0"/>
      <w:marBottom w:val="0"/>
      <w:divBdr>
        <w:top w:val="none" w:sz="0" w:space="0" w:color="auto"/>
        <w:left w:val="none" w:sz="0" w:space="0" w:color="auto"/>
        <w:bottom w:val="none" w:sz="0" w:space="0" w:color="auto"/>
        <w:right w:val="none" w:sz="0" w:space="0" w:color="auto"/>
      </w:divBdr>
    </w:div>
    <w:div w:id="1277516586">
      <w:bodyDiv w:val="1"/>
      <w:marLeft w:val="0"/>
      <w:marRight w:val="0"/>
      <w:marTop w:val="0"/>
      <w:marBottom w:val="0"/>
      <w:divBdr>
        <w:top w:val="none" w:sz="0" w:space="0" w:color="auto"/>
        <w:left w:val="none" w:sz="0" w:space="0" w:color="auto"/>
        <w:bottom w:val="none" w:sz="0" w:space="0" w:color="auto"/>
        <w:right w:val="none" w:sz="0" w:space="0" w:color="auto"/>
      </w:divBdr>
    </w:div>
    <w:div w:id="1464155848">
      <w:bodyDiv w:val="1"/>
      <w:marLeft w:val="0"/>
      <w:marRight w:val="0"/>
      <w:marTop w:val="0"/>
      <w:marBottom w:val="0"/>
      <w:divBdr>
        <w:top w:val="none" w:sz="0" w:space="0" w:color="auto"/>
        <w:left w:val="none" w:sz="0" w:space="0" w:color="auto"/>
        <w:bottom w:val="none" w:sz="0" w:space="0" w:color="auto"/>
        <w:right w:val="none" w:sz="0" w:space="0" w:color="auto"/>
      </w:divBdr>
    </w:div>
    <w:div w:id="1533955687">
      <w:bodyDiv w:val="1"/>
      <w:marLeft w:val="0"/>
      <w:marRight w:val="0"/>
      <w:marTop w:val="0"/>
      <w:marBottom w:val="0"/>
      <w:divBdr>
        <w:top w:val="none" w:sz="0" w:space="0" w:color="auto"/>
        <w:left w:val="none" w:sz="0" w:space="0" w:color="auto"/>
        <w:bottom w:val="none" w:sz="0" w:space="0" w:color="auto"/>
        <w:right w:val="none" w:sz="0" w:space="0" w:color="auto"/>
      </w:divBdr>
    </w:div>
    <w:div w:id="1627081438">
      <w:bodyDiv w:val="1"/>
      <w:marLeft w:val="0"/>
      <w:marRight w:val="0"/>
      <w:marTop w:val="0"/>
      <w:marBottom w:val="0"/>
      <w:divBdr>
        <w:top w:val="none" w:sz="0" w:space="0" w:color="auto"/>
        <w:left w:val="none" w:sz="0" w:space="0" w:color="auto"/>
        <w:bottom w:val="none" w:sz="0" w:space="0" w:color="auto"/>
        <w:right w:val="none" w:sz="0" w:space="0" w:color="auto"/>
      </w:divBdr>
    </w:div>
    <w:div w:id="1674988117">
      <w:bodyDiv w:val="1"/>
      <w:marLeft w:val="0"/>
      <w:marRight w:val="0"/>
      <w:marTop w:val="0"/>
      <w:marBottom w:val="0"/>
      <w:divBdr>
        <w:top w:val="none" w:sz="0" w:space="0" w:color="auto"/>
        <w:left w:val="none" w:sz="0" w:space="0" w:color="auto"/>
        <w:bottom w:val="none" w:sz="0" w:space="0" w:color="auto"/>
        <w:right w:val="none" w:sz="0" w:space="0" w:color="auto"/>
      </w:divBdr>
    </w:div>
    <w:div w:id="1777942733">
      <w:bodyDiv w:val="1"/>
      <w:marLeft w:val="0"/>
      <w:marRight w:val="0"/>
      <w:marTop w:val="0"/>
      <w:marBottom w:val="0"/>
      <w:divBdr>
        <w:top w:val="none" w:sz="0" w:space="0" w:color="auto"/>
        <w:left w:val="none" w:sz="0" w:space="0" w:color="auto"/>
        <w:bottom w:val="none" w:sz="0" w:space="0" w:color="auto"/>
        <w:right w:val="none" w:sz="0" w:space="0" w:color="auto"/>
      </w:divBdr>
    </w:div>
    <w:div w:id="1790271748">
      <w:bodyDiv w:val="1"/>
      <w:marLeft w:val="0"/>
      <w:marRight w:val="0"/>
      <w:marTop w:val="0"/>
      <w:marBottom w:val="0"/>
      <w:divBdr>
        <w:top w:val="none" w:sz="0" w:space="0" w:color="auto"/>
        <w:left w:val="none" w:sz="0" w:space="0" w:color="auto"/>
        <w:bottom w:val="none" w:sz="0" w:space="0" w:color="auto"/>
        <w:right w:val="none" w:sz="0" w:space="0" w:color="auto"/>
      </w:divBdr>
    </w:div>
    <w:div w:id="1888644365">
      <w:bodyDiv w:val="1"/>
      <w:marLeft w:val="0"/>
      <w:marRight w:val="0"/>
      <w:marTop w:val="0"/>
      <w:marBottom w:val="0"/>
      <w:divBdr>
        <w:top w:val="none" w:sz="0" w:space="0" w:color="auto"/>
        <w:left w:val="none" w:sz="0" w:space="0" w:color="auto"/>
        <w:bottom w:val="none" w:sz="0" w:space="0" w:color="auto"/>
        <w:right w:val="none" w:sz="0" w:space="0" w:color="auto"/>
      </w:divBdr>
    </w:div>
    <w:div w:id="1925456213">
      <w:bodyDiv w:val="1"/>
      <w:marLeft w:val="0"/>
      <w:marRight w:val="0"/>
      <w:marTop w:val="0"/>
      <w:marBottom w:val="0"/>
      <w:divBdr>
        <w:top w:val="none" w:sz="0" w:space="0" w:color="auto"/>
        <w:left w:val="none" w:sz="0" w:space="0" w:color="auto"/>
        <w:bottom w:val="none" w:sz="0" w:space="0" w:color="auto"/>
        <w:right w:val="none" w:sz="0" w:space="0" w:color="auto"/>
      </w:divBdr>
    </w:div>
    <w:div w:id="1935162175">
      <w:bodyDiv w:val="1"/>
      <w:marLeft w:val="0"/>
      <w:marRight w:val="0"/>
      <w:marTop w:val="0"/>
      <w:marBottom w:val="0"/>
      <w:divBdr>
        <w:top w:val="none" w:sz="0" w:space="0" w:color="auto"/>
        <w:left w:val="none" w:sz="0" w:space="0" w:color="auto"/>
        <w:bottom w:val="none" w:sz="0" w:space="0" w:color="auto"/>
        <w:right w:val="none" w:sz="0" w:space="0" w:color="auto"/>
      </w:divBdr>
    </w:div>
    <w:div w:id="2054572161">
      <w:bodyDiv w:val="1"/>
      <w:marLeft w:val="0"/>
      <w:marRight w:val="0"/>
      <w:marTop w:val="0"/>
      <w:marBottom w:val="0"/>
      <w:divBdr>
        <w:top w:val="none" w:sz="0" w:space="0" w:color="auto"/>
        <w:left w:val="none" w:sz="0" w:space="0" w:color="auto"/>
        <w:bottom w:val="none" w:sz="0" w:space="0" w:color="auto"/>
        <w:right w:val="none" w:sz="0" w:space="0" w:color="auto"/>
      </w:divBdr>
    </w:div>
    <w:div w:id="2063170305">
      <w:bodyDiv w:val="1"/>
      <w:marLeft w:val="0"/>
      <w:marRight w:val="0"/>
      <w:marTop w:val="0"/>
      <w:marBottom w:val="0"/>
      <w:divBdr>
        <w:top w:val="none" w:sz="0" w:space="0" w:color="auto"/>
        <w:left w:val="none" w:sz="0" w:space="0" w:color="auto"/>
        <w:bottom w:val="none" w:sz="0" w:space="0" w:color="auto"/>
        <w:right w:val="none" w:sz="0" w:space="0" w:color="auto"/>
      </w:divBdr>
    </w:div>
    <w:div w:id="2094357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pn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AD423E2-8F3E-4C45-A5CE-4C7C4BC5E344}">
  <we:reference id="wa104099688" version="1.3.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9408D9D0-3177-463B-89E3-578380B5C5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11466</TotalTime>
  <Pages>12</Pages>
  <Words>8151</Words>
  <Characters>47361</Characters>
  <Application>Microsoft Office Word</Application>
  <DocSecurity>0</DocSecurity>
  <Lines>706</Lines>
  <Paragraphs>237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Raeker, Brian</dc:creator>
  <cp:keywords/>
  <dc:description/>
  <cp:lastModifiedBy>Raeker, Brian</cp:lastModifiedBy>
  <cp:revision>355</cp:revision>
  <dcterms:created xsi:type="dcterms:W3CDTF">2020-10-16T15:02:00Z</dcterms:created>
  <dcterms:modified xsi:type="dcterms:W3CDTF">2021-02-17T21:20:00Z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http://www.zotero.org/styles/nature-communications</vt:lpwstr>
  </property>
  <property fmtid="{D5CDD505-2E9C-101B-9397-08002B2CF9AE}" pid="21" name="Mendeley Recent Style Name 9_1">
    <vt:lpwstr>Nature Communications</vt:lpwstr>
  </property>
  <property fmtid="{D5CDD505-2E9C-101B-9397-08002B2CF9AE}" pid="22" name="Mendeley Citation Style_1">
    <vt:lpwstr>http://www.zotero.org/styles/nature-communications</vt:lpwstr>
  </property>
  <property fmtid="{D5CDD505-2E9C-101B-9397-08002B2CF9AE}" pid="23" name="Mendeley Document_1">
    <vt:lpwstr>True</vt:lpwstr>
  </property>
  <property fmtid="{D5CDD505-2E9C-101B-9397-08002B2CF9AE}" pid="24" name="Mendeley Unique User Id_1">
    <vt:lpwstr>f33486f3-8ab0-3576-a130-933bb770f823</vt:lpwstr>
  </property>
</Properties>
</file>