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2D2E3" w14:textId="77777777" w:rsidR="00B8014B" w:rsidRPr="00142B75" w:rsidRDefault="00B8014B" w:rsidP="00B8014B">
      <w:pPr>
        <w:spacing w:line="480" w:lineRule="auto"/>
        <w:rPr>
          <w:color w:val="000000" w:themeColor="text1"/>
          <w:sz w:val="24"/>
          <w:szCs w:val="24"/>
        </w:rPr>
      </w:pPr>
      <w:r w:rsidRPr="00142B75">
        <w:rPr>
          <w:b/>
          <w:bCs/>
          <w:color w:val="000000" w:themeColor="text1"/>
          <w:sz w:val="24"/>
          <w:szCs w:val="24"/>
        </w:rPr>
        <w:t xml:space="preserve">Supplementary Fig. 1 </w:t>
      </w:r>
      <w:r w:rsidRPr="00142B75">
        <w:rPr>
          <w:color w:val="000000" w:themeColor="text1"/>
          <w:sz w:val="24"/>
          <w:szCs w:val="24"/>
        </w:rPr>
        <w:t xml:space="preserve">Fak deletion promotes </w:t>
      </w:r>
      <w:r w:rsidRPr="00142B75">
        <w:rPr>
          <w:i/>
          <w:iCs/>
          <w:color w:val="000000" w:themeColor="text1"/>
          <w:sz w:val="24"/>
          <w:szCs w:val="24"/>
        </w:rPr>
        <w:t>BRAF</w:t>
      </w:r>
      <w:r w:rsidRPr="00142B75">
        <w:rPr>
          <w:color w:val="000000" w:themeColor="text1"/>
          <w:sz w:val="24"/>
          <w:szCs w:val="24"/>
          <w:vertAlign w:val="superscript"/>
        </w:rPr>
        <w:t>V600E</w:t>
      </w:r>
      <w:r w:rsidRPr="00142B75">
        <w:rPr>
          <w:color w:val="000000" w:themeColor="text1"/>
          <w:sz w:val="24"/>
          <w:szCs w:val="24"/>
        </w:rPr>
        <w:t xml:space="preserve">-induced cecal tumorigenesis. </w:t>
      </w:r>
      <w:r w:rsidRPr="00142B75">
        <w:rPr>
          <w:b/>
          <w:bCs/>
          <w:color w:val="000000" w:themeColor="text1"/>
          <w:sz w:val="24"/>
          <w:szCs w:val="24"/>
        </w:rPr>
        <w:t>a</w:t>
      </w:r>
      <w:r w:rsidRPr="00142B75">
        <w:rPr>
          <w:color w:val="000000" w:themeColor="text1"/>
          <w:sz w:val="24"/>
          <w:szCs w:val="24"/>
        </w:rPr>
        <w:t xml:space="preserve"> Cre-mediated recombination efficiency in </w:t>
      </w:r>
      <w:r w:rsidRPr="00142B75">
        <w:rPr>
          <w:i/>
          <w:iCs/>
          <w:color w:val="000000" w:themeColor="text1"/>
          <w:sz w:val="24"/>
          <w:szCs w:val="24"/>
          <w:shd w:val="clear" w:color="auto" w:fill="FFFFFF"/>
        </w:rPr>
        <w:t>Villin-Cre</w:t>
      </w:r>
      <w:r w:rsidRPr="00142B75">
        <w:rPr>
          <w:color w:val="000000" w:themeColor="text1"/>
          <w:sz w:val="24"/>
          <w:szCs w:val="24"/>
          <w:shd w:val="clear" w:color="auto" w:fill="FFFFFF"/>
        </w:rPr>
        <w:t xml:space="preserve">; </w:t>
      </w:r>
      <w:r w:rsidRPr="00142B75">
        <w:rPr>
          <w:i/>
          <w:iCs/>
          <w:color w:val="000000" w:themeColor="text1"/>
          <w:sz w:val="24"/>
          <w:szCs w:val="24"/>
          <w:shd w:val="clear" w:color="auto" w:fill="FFFFFF"/>
        </w:rPr>
        <w:t>Rosa26</w:t>
      </w:r>
      <w:r w:rsidRPr="00142B75">
        <w:rPr>
          <w:i/>
          <w:iCs/>
          <w:color w:val="000000" w:themeColor="text1"/>
          <w:sz w:val="24"/>
          <w:szCs w:val="24"/>
          <w:shd w:val="clear" w:color="auto" w:fill="FFFFFF"/>
          <w:vertAlign w:val="superscript"/>
        </w:rPr>
        <w:t>LSL-</w:t>
      </w:r>
      <w:r w:rsidRPr="00142B75">
        <w:rPr>
          <w:i/>
          <w:iCs/>
          <w:color w:val="000000" w:themeColor="text1"/>
          <w:sz w:val="24"/>
          <w:szCs w:val="24"/>
          <w:vertAlign w:val="superscript"/>
        </w:rPr>
        <w:t>tdTomato/+</w:t>
      </w:r>
      <w:r w:rsidRPr="00142B75">
        <w:rPr>
          <w:color w:val="000000" w:themeColor="text1"/>
          <w:sz w:val="24"/>
          <w:szCs w:val="24"/>
          <w:vertAlign w:val="superscript"/>
        </w:rPr>
        <w:t xml:space="preserve"> </w:t>
      </w:r>
      <w:r w:rsidRPr="00142B75">
        <w:rPr>
          <w:color w:val="000000" w:themeColor="text1"/>
          <w:sz w:val="24"/>
          <w:szCs w:val="24"/>
        </w:rPr>
        <w:t xml:space="preserve">mice were scored for 30 crypts at each indicated bowel subsites (n=3). </w:t>
      </w:r>
      <w:r w:rsidRPr="00142B75">
        <w:rPr>
          <w:b/>
          <w:bCs/>
          <w:color w:val="000000" w:themeColor="text1"/>
          <w:sz w:val="24"/>
          <w:szCs w:val="24"/>
        </w:rPr>
        <w:t xml:space="preserve">b </w:t>
      </w:r>
      <w:r w:rsidRPr="00142B75">
        <w:rPr>
          <w:color w:val="000000" w:themeColor="text1"/>
          <w:sz w:val="24"/>
          <w:szCs w:val="24"/>
        </w:rPr>
        <w:t xml:space="preserve">Representative IHC staining of Fak in the cecum from </w:t>
      </w:r>
      <w:r w:rsidRPr="00142B75">
        <w:rPr>
          <w:i/>
          <w:iCs/>
          <w:color w:val="000000" w:themeColor="text1"/>
          <w:sz w:val="24"/>
          <w:szCs w:val="24"/>
        </w:rPr>
        <w:t>B</w:t>
      </w:r>
      <w:r w:rsidRPr="00142B75">
        <w:rPr>
          <w:color w:val="000000" w:themeColor="text1"/>
          <w:sz w:val="24"/>
          <w:szCs w:val="24"/>
        </w:rPr>
        <w:t xml:space="preserve"> and </w:t>
      </w:r>
      <w:r w:rsidRPr="00142B75">
        <w:rPr>
          <w:i/>
          <w:iCs/>
          <w:color w:val="000000" w:themeColor="text1"/>
          <w:sz w:val="24"/>
          <w:szCs w:val="24"/>
        </w:rPr>
        <w:t>FBC</w:t>
      </w:r>
      <w:r w:rsidRPr="00142B75">
        <w:rPr>
          <w:color w:val="000000" w:themeColor="text1"/>
          <w:sz w:val="24"/>
          <w:szCs w:val="24"/>
        </w:rPr>
        <w:t xml:space="preserve"> mice. </w:t>
      </w:r>
      <w:r w:rsidRPr="00142B75">
        <w:rPr>
          <w:b/>
          <w:bCs/>
          <w:color w:val="000000" w:themeColor="text1"/>
          <w:sz w:val="24"/>
          <w:szCs w:val="24"/>
        </w:rPr>
        <w:t>c</w:t>
      </w:r>
      <w:r w:rsidRPr="00142B75">
        <w:rPr>
          <w:color w:val="000000" w:themeColor="text1"/>
          <w:sz w:val="24"/>
          <w:szCs w:val="24"/>
        </w:rPr>
        <w:t xml:space="preserve"> Representative examples of intestinal tracts in indicated 6-week-old mice. </w:t>
      </w:r>
      <w:r w:rsidRPr="00142B75">
        <w:rPr>
          <w:b/>
          <w:bCs/>
          <w:color w:val="000000" w:themeColor="text1"/>
          <w:sz w:val="24"/>
          <w:szCs w:val="24"/>
        </w:rPr>
        <w:t>d</w:t>
      </w:r>
      <w:r w:rsidRPr="00142B75">
        <w:rPr>
          <w:color w:val="000000" w:themeColor="text1"/>
          <w:sz w:val="24"/>
          <w:szCs w:val="24"/>
        </w:rPr>
        <w:t xml:space="preserve"> Representative cecal tumors in 11-13-month-old </w:t>
      </w:r>
      <w:r w:rsidRPr="00142B75">
        <w:rPr>
          <w:i/>
          <w:iCs/>
          <w:color w:val="000000" w:themeColor="text1"/>
          <w:sz w:val="24"/>
          <w:szCs w:val="24"/>
        </w:rPr>
        <w:t>FBC</w:t>
      </w:r>
      <w:r w:rsidRPr="00142B75">
        <w:rPr>
          <w:color w:val="000000" w:themeColor="text1"/>
          <w:sz w:val="24"/>
          <w:szCs w:val="24"/>
        </w:rPr>
        <w:t xml:space="preserve"> mice.</w:t>
      </w:r>
    </w:p>
    <w:p w14:paraId="42712C20" w14:textId="77777777" w:rsidR="00B8014B" w:rsidRPr="00142B75" w:rsidRDefault="00B8014B" w:rsidP="00B8014B">
      <w:pPr>
        <w:spacing w:line="480" w:lineRule="auto"/>
        <w:rPr>
          <w:color w:val="000000" w:themeColor="text1"/>
          <w:sz w:val="24"/>
          <w:szCs w:val="24"/>
        </w:rPr>
      </w:pPr>
    </w:p>
    <w:p w14:paraId="0AB6A36A" w14:textId="77777777" w:rsidR="00B8014B" w:rsidRPr="00142B75" w:rsidRDefault="00B8014B" w:rsidP="00B8014B">
      <w:pPr>
        <w:spacing w:line="480" w:lineRule="auto"/>
        <w:rPr>
          <w:color w:val="000000" w:themeColor="text1"/>
          <w:sz w:val="24"/>
          <w:szCs w:val="24"/>
        </w:rPr>
      </w:pPr>
      <w:r w:rsidRPr="00142B75">
        <w:rPr>
          <w:b/>
          <w:bCs/>
          <w:color w:val="000000" w:themeColor="text1"/>
          <w:sz w:val="24"/>
          <w:szCs w:val="24"/>
        </w:rPr>
        <w:t xml:space="preserve">Supplementary Fig. 2 </w:t>
      </w:r>
      <w:r w:rsidRPr="00142B75">
        <w:rPr>
          <w:i/>
          <w:iCs/>
          <w:color w:val="000000" w:themeColor="text1"/>
          <w:sz w:val="24"/>
          <w:szCs w:val="24"/>
        </w:rPr>
        <w:t xml:space="preserve">Fak </w:t>
      </w:r>
      <w:r w:rsidRPr="00142B75">
        <w:rPr>
          <w:color w:val="000000" w:themeColor="text1"/>
          <w:sz w:val="24"/>
          <w:szCs w:val="24"/>
        </w:rPr>
        <w:t xml:space="preserve">loss has no impact on inflammation, senescence, apoptosis, proliferation, and </w:t>
      </w:r>
      <w:r w:rsidRPr="00142B75">
        <w:rPr>
          <w:i/>
          <w:iCs/>
          <w:color w:val="000000" w:themeColor="text1"/>
          <w:sz w:val="24"/>
          <w:szCs w:val="24"/>
        </w:rPr>
        <w:t>Lgr5</w:t>
      </w:r>
      <w:r w:rsidRPr="00142B75">
        <w:rPr>
          <w:color w:val="000000" w:themeColor="text1"/>
          <w:sz w:val="24"/>
          <w:szCs w:val="24"/>
        </w:rPr>
        <w:t xml:space="preserve"> expression in the cecum in </w:t>
      </w:r>
      <w:r w:rsidRPr="00142B75">
        <w:rPr>
          <w:i/>
          <w:iCs/>
          <w:color w:val="000000" w:themeColor="text1"/>
          <w:sz w:val="24"/>
          <w:szCs w:val="24"/>
        </w:rPr>
        <w:t>FBC</w:t>
      </w:r>
      <w:r w:rsidRPr="00142B75">
        <w:rPr>
          <w:color w:val="000000" w:themeColor="text1"/>
          <w:sz w:val="24"/>
          <w:szCs w:val="24"/>
        </w:rPr>
        <w:t xml:space="preserve"> mice. </w:t>
      </w:r>
      <w:r w:rsidRPr="00142B75">
        <w:rPr>
          <w:b/>
          <w:bCs/>
          <w:color w:val="000000" w:themeColor="text1"/>
          <w:sz w:val="24"/>
          <w:szCs w:val="24"/>
        </w:rPr>
        <w:t>a</w:t>
      </w:r>
      <w:r w:rsidRPr="00142B75">
        <w:rPr>
          <w:color w:val="000000" w:themeColor="text1"/>
          <w:sz w:val="24"/>
          <w:szCs w:val="24"/>
        </w:rPr>
        <w:t xml:space="preserve"> Left panel: representative IHC staining of MPO in indicated mice. Right panel: quantification of MPO</w:t>
      </w:r>
      <w:r w:rsidRPr="00142B75">
        <w:rPr>
          <w:color w:val="000000" w:themeColor="text1"/>
          <w:sz w:val="24"/>
          <w:szCs w:val="24"/>
          <w:vertAlign w:val="superscript"/>
        </w:rPr>
        <w:t>+</w:t>
      </w:r>
      <w:r w:rsidRPr="00142B75">
        <w:rPr>
          <w:color w:val="000000" w:themeColor="text1"/>
          <w:sz w:val="24"/>
          <w:szCs w:val="24"/>
        </w:rPr>
        <w:t xml:space="preserve"> cells per 500 µm-length of cecum on the tissue sections from indicted mice (n=3 per group). </w:t>
      </w:r>
      <w:r w:rsidRPr="00142B75">
        <w:rPr>
          <w:b/>
          <w:bCs/>
          <w:color w:val="000000" w:themeColor="text1"/>
          <w:sz w:val="24"/>
          <w:szCs w:val="24"/>
        </w:rPr>
        <w:t>b</w:t>
      </w:r>
      <w:r w:rsidRPr="00142B75">
        <w:rPr>
          <w:color w:val="000000" w:themeColor="text1"/>
          <w:sz w:val="24"/>
          <w:szCs w:val="24"/>
        </w:rPr>
        <w:t xml:space="preserve"> GSEA plots reveal no change of inflammatory response gene signature</w:t>
      </w:r>
      <w:r w:rsidRPr="00142B75">
        <w:rPr>
          <w:b/>
          <w:bCs/>
          <w:color w:val="000000" w:themeColor="text1"/>
          <w:sz w:val="24"/>
          <w:szCs w:val="24"/>
        </w:rPr>
        <w:t xml:space="preserve"> </w:t>
      </w:r>
      <w:r w:rsidRPr="00142B75">
        <w:rPr>
          <w:color w:val="000000" w:themeColor="text1"/>
          <w:sz w:val="24"/>
          <w:szCs w:val="24"/>
        </w:rPr>
        <w:t xml:space="preserve">in the cecum of </w:t>
      </w:r>
      <w:r w:rsidRPr="00142B75">
        <w:rPr>
          <w:i/>
          <w:iCs/>
          <w:color w:val="000000" w:themeColor="text1"/>
          <w:sz w:val="24"/>
          <w:szCs w:val="24"/>
        </w:rPr>
        <w:t>FBC</w:t>
      </w:r>
      <w:r w:rsidRPr="00142B75">
        <w:rPr>
          <w:color w:val="000000" w:themeColor="text1"/>
          <w:sz w:val="24"/>
          <w:szCs w:val="24"/>
        </w:rPr>
        <w:t xml:space="preserve"> mice vs </w:t>
      </w:r>
      <w:r w:rsidRPr="00142B75">
        <w:rPr>
          <w:i/>
          <w:iCs/>
          <w:color w:val="000000" w:themeColor="text1"/>
          <w:sz w:val="24"/>
          <w:szCs w:val="24"/>
        </w:rPr>
        <w:t>BC</w:t>
      </w:r>
      <w:r w:rsidRPr="00142B75">
        <w:rPr>
          <w:color w:val="000000" w:themeColor="text1"/>
          <w:sz w:val="24"/>
          <w:szCs w:val="24"/>
        </w:rPr>
        <w:t xml:space="preserve"> mice. </w:t>
      </w:r>
      <w:r w:rsidRPr="00142B75">
        <w:rPr>
          <w:b/>
          <w:bCs/>
          <w:color w:val="000000" w:themeColor="text1"/>
          <w:sz w:val="24"/>
          <w:szCs w:val="24"/>
        </w:rPr>
        <w:t>c</w:t>
      </w:r>
      <w:r w:rsidRPr="00142B75">
        <w:rPr>
          <w:color w:val="000000" w:themeColor="text1"/>
          <w:sz w:val="24"/>
          <w:szCs w:val="24"/>
        </w:rPr>
        <w:t xml:space="preserve"> SA-β-galactosidase staining in indicated mice. </w:t>
      </w:r>
      <w:r w:rsidRPr="00142B75">
        <w:rPr>
          <w:b/>
          <w:bCs/>
          <w:color w:val="000000" w:themeColor="text1"/>
          <w:sz w:val="24"/>
          <w:szCs w:val="24"/>
        </w:rPr>
        <w:t>d</w:t>
      </w:r>
      <w:r w:rsidRPr="00142B75">
        <w:rPr>
          <w:color w:val="000000" w:themeColor="text1"/>
          <w:sz w:val="24"/>
          <w:szCs w:val="24"/>
        </w:rPr>
        <w:t xml:space="preserve"> Left panel: representative images of TUNEL staining in indicated mice. Right panel: quantification of apoptotic cells per gland in cecum from indicated mice (n=3 per group). </w:t>
      </w:r>
      <w:proofErr w:type="spellStart"/>
      <w:r w:rsidRPr="00142B75">
        <w:rPr>
          <w:b/>
          <w:bCs/>
          <w:color w:val="000000" w:themeColor="text1"/>
          <w:sz w:val="24"/>
          <w:szCs w:val="24"/>
        </w:rPr>
        <w:t>e</w:t>
      </w:r>
      <w:proofErr w:type="spellEnd"/>
      <w:r w:rsidRPr="00142B75">
        <w:rPr>
          <w:color w:val="000000" w:themeColor="text1"/>
        </w:rPr>
        <w:t xml:space="preserve"> </w:t>
      </w:r>
      <w:r w:rsidRPr="00142B75">
        <w:rPr>
          <w:color w:val="000000" w:themeColor="text1"/>
          <w:sz w:val="24"/>
          <w:szCs w:val="24"/>
        </w:rPr>
        <w:t xml:space="preserve">Left panel: representative IHC staining of </w:t>
      </w:r>
      <w:proofErr w:type="spellStart"/>
      <w:r w:rsidRPr="00142B75">
        <w:rPr>
          <w:color w:val="000000" w:themeColor="text1"/>
          <w:sz w:val="24"/>
          <w:szCs w:val="24"/>
        </w:rPr>
        <w:t>BrdU</w:t>
      </w:r>
      <w:proofErr w:type="spellEnd"/>
      <w:r w:rsidRPr="00142B75">
        <w:rPr>
          <w:color w:val="000000" w:themeColor="text1"/>
          <w:sz w:val="24"/>
          <w:szCs w:val="24"/>
        </w:rPr>
        <w:t xml:space="preserve"> in indicated mice. Right panel: quantification of </w:t>
      </w:r>
      <w:proofErr w:type="spellStart"/>
      <w:r w:rsidRPr="00142B75">
        <w:rPr>
          <w:color w:val="000000" w:themeColor="text1"/>
          <w:sz w:val="24"/>
          <w:szCs w:val="24"/>
        </w:rPr>
        <w:t>BrdU</w:t>
      </w:r>
      <w:proofErr w:type="spellEnd"/>
      <w:r w:rsidRPr="00142B75">
        <w:rPr>
          <w:color w:val="000000" w:themeColor="text1"/>
          <w:sz w:val="24"/>
          <w:szCs w:val="24"/>
          <w:vertAlign w:val="superscript"/>
        </w:rPr>
        <w:t>+</w:t>
      </w:r>
      <w:r w:rsidRPr="00142B75">
        <w:rPr>
          <w:b/>
          <w:bCs/>
          <w:color w:val="000000" w:themeColor="text1"/>
          <w:sz w:val="24"/>
          <w:szCs w:val="24"/>
        </w:rPr>
        <w:t xml:space="preserve"> </w:t>
      </w:r>
      <w:r w:rsidRPr="00142B75">
        <w:rPr>
          <w:color w:val="000000" w:themeColor="text1"/>
          <w:sz w:val="24"/>
          <w:szCs w:val="24"/>
        </w:rPr>
        <w:t>cells</w:t>
      </w:r>
      <w:r w:rsidRPr="00142B75">
        <w:rPr>
          <w:b/>
          <w:bCs/>
          <w:color w:val="000000" w:themeColor="text1"/>
          <w:sz w:val="24"/>
          <w:szCs w:val="24"/>
        </w:rPr>
        <w:t xml:space="preserve"> </w:t>
      </w:r>
      <w:r w:rsidRPr="00142B75">
        <w:rPr>
          <w:color w:val="000000" w:themeColor="text1"/>
          <w:sz w:val="24"/>
          <w:szCs w:val="24"/>
        </w:rPr>
        <w:t>per gland in cecum from indicated mice (n=3 per group).</w:t>
      </w:r>
      <w:r w:rsidRPr="00142B75">
        <w:rPr>
          <w:b/>
          <w:bCs/>
          <w:color w:val="000000" w:themeColor="text1"/>
          <w:sz w:val="24"/>
          <w:szCs w:val="24"/>
        </w:rPr>
        <w:t xml:space="preserve"> f</w:t>
      </w:r>
      <w:r w:rsidRPr="00142B75">
        <w:rPr>
          <w:color w:val="000000" w:themeColor="text1"/>
          <w:sz w:val="24"/>
          <w:szCs w:val="24"/>
        </w:rPr>
        <w:t xml:space="preserve"> Left panel: representative RNA </w:t>
      </w:r>
      <w:r w:rsidRPr="00142B75">
        <w:rPr>
          <w:i/>
          <w:iCs/>
          <w:color w:val="000000" w:themeColor="text1"/>
          <w:sz w:val="24"/>
          <w:szCs w:val="24"/>
        </w:rPr>
        <w:t>in</w:t>
      </w:r>
      <w:r w:rsidRPr="00142B75">
        <w:rPr>
          <w:color w:val="000000" w:themeColor="text1"/>
          <w:sz w:val="24"/>
          <w:szCs w:val="24"/>
        </w:rPr>
        <w:t xml:space="preserve"> </w:t>
      </w:r>
      <w:r w:rsidRPr="00142B75">
        <w:rPr>
          <w:i/>
          <w:iCs/>
          <w:color w:val="000000" w:themeColor="text1"/>
          <w:sz w:val="24"/>
          <w:szCs w:val="24"/>
        </w:rPr>
        <w:t>situ</w:t>
      </w:r>
      <w:r w:rsidRPr="00142B75">
        <w:rPr>
          <w:color w:val="000000" w:themeColor="text1"/>
          <w:sz w:val="24"/>
          <w:szCs w:val="24"/>
        </w:rPr>
        <w:t xml:space="preserve"> hybridization (ISH) staining of </w:t>
      </w:r>
      <w:r w:rsidRPr="00142B75">
        <w:rPr>
          <w:i/>
          <w:iCs/>
          <w:color w:val="000000" w:themeColor="text1"/>
          <w:sz w:val="24"/>
          <w:szCs w:val="24"/>
        </w:rPr>
        <w:t>Lgr5</w:t>
      </w:r>
      <w:r w:rsidRPr="00142B75">
        <w:rPr>
          <w:color w:val="000000" w:themeColor="text1"/>
          <w:sz w:val="24"/>
          <w:szCs w:val="24"/>
        </w:rPr>
        <w:t xml:space="preserve"> in indicated mice. Right panel: </w:t>
      </w:r>
      <w:proofErr w:type="spellStart"/>
      <w:r w:rsidRPr="00142B75">
        <w:rPr>
          <w:color w:val="000000" w:themeColor="text1"/>
          <w:sz w:val="24"/>
          <w:szCs w:val="24"/>
        </w:rPr>
        <w:t>qRT</w:t>
      </w:r>
      <w:proofErr w:type="spellEnd"/>
      <w:r w:rsidRPr="00142B75">
        <w:rPr>
          <w:color w:val="000000" w:themeColor="text1"/>
          <w:sz w:val="24"/>
          <w:szCs w:val="24"/>
        </w:rPr>
        <w:t xml:space="preserve">-PCR of </w:t>
      </w:r>
      <w:r w:rsidRPr="00142B75">
        <w:rPr>
          <w:i/>
          <w:iCs/>
          <w:color w:val="000000" w:themeColor="text1"/>
          <w:sz w:val="24"/>
          <w:szCs w:val="24"/>
        </w:rPr>
        <w:t>Lgr5</w:t>
      </w:r>
      <w:r w:rsidRPr="00142B75">
        <w:rPr>
          <w:color w:val="000000" w:themeColor="text1"/>
          <w:sz w:val="24"/>
          <w:szCs w:val="24"/>
        </w:rPr>
        <w:t xml:space="preserve"> in cecum from indicated mice (n=3 per group). All samples were collected from 6-week-old mice. Data presented as mean ± SD (ns, not significant; *</w:t>
      </w:r>
      <w:r w:rsidRPr="00142B75">
        <w:rPr>
          <w:i/>
          <w:iCs/>
          <w:color w:val="000000" w:themeColor="text1"/>
          <w:sz w:val="24"/>
          <w:szCs w:val="24"/>
        </w:rPr>
        <w:t>P</w:t>
      </w:r>
      <w:r w:rsidRPr="00142B75">
        <w:rPr>
          <w:color w:val="000000" w:themeColor="text1"/>
          <w:sz w:val="24"/>
          <w:szCs w:val="24"/>
        </w:rPr>
        <w:t>&lt;0.05; **</w:t>
      </w:r>
      <w:r w:rsidRPr="00142B75">
        <w:rPr>
          <w:i/>
          <w:iCs/>
          <w:color w:val="000000" w:themeColor="text1"/>
          <w:sz w:val="24"/>
          <w:szCs w:val="24"/>
        </w:rPr>
        <w:t>P</w:t>
      </w:r>
      <w:r w:rsidRPr="00142B75">
        <w:rPr>
          <w:color w:val="000000" w:themeColor="text1"/>
          <w:sz w:val="24"/>
          <w:szCs w:val="24"/>
        </w:rPr>
        <w:t>&lt;0.01; ***</w:t>
      </w:r>
      <w:r w:rsidRPr="00142B75">
        <w:rPr>
          <w:i/>
          <w:iCs/>
          <w:color w:val="000000" w:themeColor="text1"/>
          <w:sz w:val="24"/>
          <w:szCs w:val="24"/>
        </w:rPr>
        <w:t>P</w:t>
      </w:r>
      <w:r w:rsidRPr="00142B75">
        <w:rPr>
          <w:color w:val="000000" w:themeColor="text1"/>
          <w:sz w:val="24"/>
          <w:szCs w:val="24"/>
        </w:rPr>
        <w:t>&lt;0.001, Student's </w:t>
      </w:r>
      <w:r w:rsidRPr="00142B75">
        <w:rPr>
          <w:i/>
          <w:iCs/>
          <w:color w:val="000000" w:themeColor="text1"/>
          <w:sz w:val="24"/>
          <w:szCs w:val="24"/>
        </w:rPr>
        <w:t>t</w:t>
      </w:r>
      <w:r w:rsidRPr="00142B75">
        <w:rPr>
          <w:color w:val="000000" w:themeColor="text1"/>
          <w:sz w:val="24"/>
          <w:szCs w:val="24"/>
        </w:rPr>
        <w:t>-test, two-tailed</w:t>
      </w:r>
      <w:r w:rsidRPr="00142B75">
        <w:rPr>
          <w:rFonts w:ascii="Noto Serif" w:hAnsi="Noto Serif" w:cs="Noto Serif"/>
          <w:color w:val="000000" w:themeColor="text1"/>
          <w:shd w:val="clear" w:color="auto" w:fill="FFFFFF"/>
        </w:rPr>
        <w:t>)</w:t>
      </w:r>
      <w:r w:rsidRPr="00142B75">
        <w:rPr>
          <w:color w:val="000000" w:themeColor="text1"/>
          <w:sz w:val="24"/>
          <w:szCs w:val="24"/>
        </w:rPr>
        <w:t>. Scale bars: 100 µm.</w:t>
      </w:r>
    </w:p>
    <w:p w14:paraId="1BA7E08B" w14:textId="77777777" w:rsidR="00B8014B" w:rsidRPr="00142B75" w:rsidRDefault="00B8014B" w:rsidP="00B8014B">
      <w:pPr>
        <w:spacing w:line="480" w:lineRule="auto"/>
        <w:rPr>
          <w:color w:val="000000" w:themeColor="text1"/>
          <w:sz w:val="24"/>
          <w:szCs w:val="24"/>
        </w:rPr>
      </w:pPr>
    </w:p>
    <w:p w14:paraId="125DEF78" w14:textId="77777777" w:rsidR="00B8014B" w:rsidRPr="00142B75" w:rsidRDefault="00B8014B" w:rsidP="00B8014B">
      <w:pPr>
        <w:spacing w:line="480" w:lineRule="auto"/>
        <w:rPr>
          <w:color w:val="000000" w:themeColor="text1"/>
          <w:sz w:val="24"/>
          <w:szCs w:val="24"/>
        </w:rPr>
      </w:pPr>
    </w:p>
    <w:p w14:paraId="38B88032" w14:textId="77777777" w:rsidR="00B8014B" w:rsidRPr="00142B75" w:rsidRDefault="00B8014B" w:rsidP="00B8014B">
      <w:pPr>
        <w:spacing w:line="480" w:lineRule="auto"/>
        <w:rPr>
          <w:b/>
          <w:bCs/>
          <w:color w:val="000000" w:themeColor="text1"/>
          <w:sz w:val="24"/>
          <w:szCs w:val="24"/>
        </w:rPr>
      </w:pPr>
      <w:r w:rsidRPr="00142B75">
        <w:rPr>
          <w:b/>
          <w:bCs/>
          <w:color w:val="000000" w:themeColor="text1"/>
          <w:sz w:val="24"/>
          <w:szCs w:val="24"/>
        </w:rPr>
        <w:t xml:space="preserve">Supplementary Fig. 3 </w:t>
      </w:r>
      <w:r w:rsidRPr="00142B75">
        <w:rPr>
          <w:i/>
          <w:iCs/>
          <w:color w:val="000000" w:themeColor="text1"/>
          <w:sz w:val="24"/>
          <w:szCs w:val="24"/>
        </w:rPr>
        <w:t>Fak</w:t>
      </w:r>
      <w:r w:rsidRPr="00142B75">
        <w:rPr>
          <w:color w:val="000000" w:themeColor="text1"/>
          <w:sz w:val="24"/>
          <w:szCs w:val="24"/>
        </w:rPr>
        <w:t xml:space="preserve"> loss downregulates </w:t>
      </w:r>
      <w:r w:rsidRPr="00142B75">
        <w:rPr>
          <w:i/>
          <w:iCs/>
          <w:color w:val="000000" w:themeColor="text1"/>
          <w:sz w:val="24"/>
          <w:szCs w:val="24"/>
        </w:rPr>
        <w:t>BRAF</w:t>
      </w:r>
      <w:r w:rsidRPr="00142B75">
        <w:rPr>
          <w:color w:val="000000" w:themeColor="text1"/>
          <w:sz w:val="24"/>
          <w:szCs w:val="24"/>
          <w:vertAlign w:val="superscript"/>
        </w:rPr>
        <w:t>V600E</w:t>
      </w:r>
      <w:r w:rsidRPr="00142B75">
        <w:rPr>
          <w:color w:val="000000" w:themeColor="text1"/>
          <w:sz w:val="24"/>
          <w:szCs w:val="24"/>
        </w:rPr>
        <w:t xml:space="preserve">-induced ERK phosphorylation. </w:t>
      </w:r>
      <w:proofErr w:type="gramStart"/>
      <w:r w:rsidRPr="00142B75">
        <w:rPr>
          <w:b/>
          <w:bCs/>
          <w:color w:val="000000" w:themeColor="text1"/>
          <w:sz w:val="24"/>
          <w:szCs w:val="24"/>
        </w:rPr>
        <w:t>a</w:t>
      </w:r>
      <w:proofErr w:type="gramEnd"/>
      <w:r w:rsidRPr="00142B75">
        <w:rPr>
          <w:color w:val="000000" w:themeColor="text1"/>
          <w:sz w:val="24"/>
          <w:szCs w:val="24"/>
        </w:rPr>
        <w:t xml:space="preserve"> Immunoblotting analysis of cecal lysates from indicated 6-week-old mice. </w:t>
      </w:r>
      <w:r w:rsidRPr="00142B75">
        <w:rPr>
          <w:b/>
          <w:bCs/>
          <w:color w:val="000000" w:themeColor="text1"/>
          <w:sz w:val="24"/>
          <w:szCs w:val="24"/>
        </w:rPr>
        <w:t>b</w:t>
      </w:r>
      <w:r w:rsidRPr="00142B75">
        <w:rPr>
          <w:color w:val="000000" w:themeColor="text1"/>
          <w:sz w:val="24"/>
          <w:szCs w:val="24"/>
        </w:rPr>
        <w:t xml:space="preserve"> </w:t>
      </w:r>
      <w:proofErr w:type="spellStart"/>
      <w:r w:rsidRPr="00142B75">
        <w:rPr>
          <w:color w:val="000000" w:themeColor="text1"/>
          <w:sz w:val="24"/>
          <w:szCs w:val="24"/>
        </w:rPr>
        <w:t>qRT</w:t>
      </w:r>
      <w:proofErr w:type="spellEnd"/>
      <w:r w:rsidRPr="00142B75">
        <w:rPr>
          <w:color w:val="000000" w:themeColor="text1"/>
          <w:sz w:val="24"/>
          <w:szCs w:val="24"/>
        </w:rPr>
        <w:t xml:space="preserve">-PCR of </w:t>
      </w:r>
      <w:r w:rsidRPr="00142B75">
        <w:rPr>
          <w:color w:val="000000" w:themeColor="text1"/>
          <w:sz w:val="24"/>
          <w:szCs w:val="24"/>
        </w:rPr>
        <w:lastRenderedPageBreak/>
        <w:t xml:space="preserve">selected ERK transcriptional output markers in cecum from vehicle- and erlotinib-treated </w:t>
      </w:r>
      <w:r w:rsidRPr="00142B75">
        <w:rPr>
          <w:i/>
          <w:iCs/>
          <w:color w:val="000000" w:themeColor="text1"/>
          <w:sz w:val="24"/>
          <w:szCs w:val="24"/>
        </w:rPr>
        <w:t>BC</w:t>
      </w:r>
      <w:r w:rsidRPr="00142B75">
        <w:rPr>
          <w:color w:val="000000" w:themeColor="text1"/>
          <w:sz w:val="24"/>
          <w:szCs w:val="24"/>
        </w:rPr>
        <w:t xml:space="preserve"> mice (n=3 per group). Data presented as mean ± SD (ns, not significant; *</w:t>
      </w:r>
      <w:r w:rsidRPr="00142B75">
        <w:rPr>
          <w:i/>
          <w:iCs/>
          <w:color w:val="000000" w:themeColor="text1"/>
          <w:sz w:val="24"/>
          <w:szCs w:val="24"/>
        </w:rPr>
        <w:t>P</w:t>
      </w:r>
      <w:r w:rsidRPr="00142B75">
        <w:rPr>
          <w:color w:val="000000" w:themeColor="text1"/>
          <w:sz w:val="24"/>
          <w:szCs w:val="24"/>
        </w:rPr>
        <w:t>&lt;0.05; Student's </w:t>
      </w:r>
      <w:r w:rsidRPr="00142B75">
        <w:rPr>
          <w:i/>
          <w:iCs/>
          <w:color w:val="000000" w:themeColor="text1"/>
          <w:sz w:val="24"/>
          <w:szCs w:val="24"/>
        </w:rPr>
        <w:t>t</w:t>
      </w:r>
      <w:r w:rsidRPr="00142B75">
        <w:rPr>
          <w:color w:val="000000" w:themeColor="text1"/>
          <w:sz w:val="24"/>
          <w:szCs w:val="24"/>
        </w:rPr>
        <w:t>-test, two-tailed</w:t>
      </w:r>
      <w:r w:rsidRPr="00142B75">
        <w:rPr>
          <w:rFonts w:ascii="Noto Serif" w:hAnsi="Noto Serif" w:cs="Noto Serif"/>
          <w:color w:val="000000" w:themeColor="text1"/>
          <w:shd w:val="clear" w:color="auto" w:fill="FFFFFF"/>
        </w:rPr>
        <w:t>)</w:t>
      </w:r>
      <w:r w:rsidRPr="00142B75">
        <w:rPr>
          <w:color w:val="000000" w:themeColor="text1"/>
          <w:sz w:val="24"/>
          <w:szCs w:val="24"/>
        </w:rPr>
        <w:t xml:space="preserve">. </w:t>
      </w:r>
      <w:r w:rsidRPr="00142B75">
        <w:rPr>
          <w:b/>
          <w:bCs/>
          <w:color w:val="000000" w:themeColor="text1"/>
          <w:sz w:val="24"/>
          <w:szCs w:val="24"/>
        </w:rPr>
        <w:t xml:space="preserve">c </w:t>
      </w:r>
      <w:r w:rsidRPr="00142B75">
        <w:rPr>
          <w:color w:val="000000" w:themeColor="text1"/>
          <w:sz w:val="24"/>
          <w:szCs w:val="24"/>
        </w:rPr>
        <w:t xml:space="preserve">The cecal mucosa lysates from 6-week-old </w:t>
      </w:r>
      <w:proofErr w:type="spellStart"/>
      <w:r w:rsidRPr="00142B75">
        <w:rPr>
          <w:i/>
          <w:iCs/>
          <w:color w:val="000000" w:themeColor="text1"/>
          <w:sz w:val="24"/>
          <w:szCs w:val="24"/>
        </w:rPr>
        <w:t>Fak</w:t>
      </w:r>
      <w:r w:rsidRPr="00142B75">
        <w:rPr>
          <w:color w:val="000000" w:themeColor="text1"/>
          <w:sz w:val="24"/>
          <w:szCs w:val="24"/>
          <w:vertAlign w:val="superscript"/>
        </w:rPr>
        <w:t>fl</w:t>
      </w:r>
      <w:proofErr w:type="spellEnd"/>
      <w:r w:rsidRPr="00142B75">
        <w:rPr>
          <w:color w:val="000000" w:themeColor="text1"/>
          <w:sz w:val="24"/>
          <w:szCs w:val="24"/>
          <w:vertAlign w:val="superscript"/>
        </w:rPr>
        <w:t>/</w:t>
      </w:r>
      <w:proofErr w:type="spellStart"/>
      <w:r w:rsidRPr="00142B75">
        <w:rPr>
          <w:color w:val="000000" w:themeColor="text1"/>
          <w:sz w:val="24"/>
          <w:szCs w:val="24"/>
          <w:vertAlign w:val="superscript"/>
        </w:rPr>
        <w:t>fl</w:t>
      </w:r>
      <w:proofErr w:type="spellEnd"/>
      <w:r w:rsidRPr="00142B75">
        <w:rPr>
          <w:color w:val="000000" w:themeColor="text1"/>
          <w:sz w:val="24"/>
          <w:szCs w:val="24"/>
        </w:rPr>
        <w:t xml:space="preserve"> and </w:t>
      </w:r>
      <w:proofErr w:type="spellStart"/>
      <w:r w:rsidRPr="00142B75">
        <w:rPr>
          <w:i/>
          <w:iCs/>
          <w:color w:val="000000" w:themeColor="text1"/>
          <w:sz w:val="24"/>
          <w:szCs w:val="24"/>
        </w:rPr>
        <w:t>Vill-</w:t>
      </w:r>
      <w:proofErr w:type="gramStart"/>
      <w:r w:rsidRPr="00142B75">
        <w:rPr>
          <w:i/>
          <w:iCs/>
          <w:color w:val="000000" w:themeColor="text1"/>
          <w:sz w:val="24"/>
          <w:szCs w:val="24"/>
        </w:rPr>
        <w:t>Cre</w:t>
      </w:r>
      <w:r w:rsidRPr="00142B75">
        <w:rPr>
          <w:color w:val="000000" w:themeColor="text1"/>
          <w:sz w:val="24"/>
          <w:szCs w:val="24"/>
        </w:rPr>
        <w:t>;</w:t>
      </w:r>
      <w:r w:rsidRPr="00142B75">
        <w:rPr>
          <w:i/>
          <w:iCs/>
          <w:color w:val="000000" w:themeColor="text1"/>
          <w:sz w:val="24"/>
          <w:szCs w:val="24"/>
        </w:rPr>
        <w:t>Fak</w:t>
      </w:r>
      <w:r w:rsidRPr="00142B75">
        <w:rPr>
          <w:color w:val="000000" w:themeColor="text1"/>
          <w:sz w:val="24"/>
          <w:szCs w:val="24"/>
          <w:vertAlign w:val="superscript"/>
        </w:rPr>
        <w:t>fl</w:t>
      </w:r>
      <w:proofErr w:type="spellEnd"/>
      <w:proofErr w:type="gramEnd"/>
      <w:r w:rsidRPr="00142B75">
        <w:rPr>
          <w:color w:val="000000" w:themeColor="text1"/>
          <w:sz w:val="24"/>
          <w:szCs w:val="24"/>
          <w:vertAlign w:val="superscript"/>
        </w:rPr>
        <w:t>/</w:t>
      </w:r>
      <w:proofErr w:type="spellStart"/>
      <w:r w:rsidRPr="00142B75">
        <w:rPr>
          <w:color w:val="000000" w:themeColor="text1"/>
          <w:sz w:val="24"/>
          <w:szCs w:val="24"/>
          <w:vertAlign w:val="superscript"/>
        </w:rPr>
        <w:t>fl</w:t>
      </w:r>
      <w:proofErr w:type="spellEnd"/>
      <w:r w:rsidRPr="00142B75">
        <w:rPr>
          <w:color w:val="000000" w:themeColor="text1"/>
          <w:sz w:val="24"/>
          <w:szCs w:val="24"/>
        </w:rPr>
        <w:t xml:space="preserve"> mice were used for immunoblotting. Each lane represented a single mouse. </w:t>
      </w:r>
      <w:r w:rsidRPr="00142B75">
        <w:rPr>
          <w:b/>
          <w:bCs/>
          <w:color w:val="000000" w:themeColor="text1"/>
          <w:sz w:val="24"/>
          <w:szCs w:val="24"/>
        </w:rPr>
        <w:t xml:space="preserve">d </w:t>
      </w:r>
      <w:proofErr w:type="gramStart"/>
      <w:r w:rsidRPr="00142B75">
        <w:rPr>
          <w:color w:val="000000" w:themeColor="text1"/>
          <w:sz w:val="24"/>
          <w:szCs w:val="24"/>
        </w:rPr>
        <w:t>The</w:t>
      </w:r>
      <w:proofErr w:type="gramEnd"/>
      <w:r w:rsidRPr="00142B75">
        <w:rPr>
          <w:color w:val="000000" w:themeColor="text1"/>
          <w:sz w:val="24"/>
          <w:szCs w:val="24"/>
        </w:rPr>
        <w:t xml:space="preserve"> cecal mucosa lysates from 6-week-old vehicle-treated </w:t>
      </w:r>
      <w:r w:rsidRPr="00142B75">
        <w:rPr>
          <w:i/>
          <w:iCs/>
          <w:color w:val="000000" w:themeColor="text1"/>
          <w:sz w:val="24"/>
          <w:szCs w:val="24"/>
        </w:rPr>
        <w:t>B</w:t>
      </w:r>
      <w:r w:rsidRPr="00142B75">
        <w:rPr>
          <w:color w:val="000000" w:themeColor="text1"/>
          <w:sz w:val="24"/>
          <w:szCs w:val="24"/>
        </w:rPr>
        <w:t xml:space="preserve"> and </w:t>
      </w:r>
      <w:r w:rsidRPr="00142B75">
        <w:rPr>
          <w:i/>
          <w:iCs/>
          <w:color w:val="000000" w:themeColor="text1"/>
          <w:sz w:val="24"/>
          <w:szCs w:val="24"/>
        </w:rPr>
        <w:t>BC</w:t>
      </w:r>
      <w:r w:rsidRPr="00142B75">
        <w:rPr>
          <w:color w:val="000000" w:themeColor="text1"/>
          <w:sz w:val="24"/>
          <w:szCs w:val="24"/>
        </w:rPr>
        <w:t xml:space="preserve"> mice and EGFR inhibitor erlotinib-treated </w:t>
      </w:r>
      <w:r w:rsidRPr="00142B75">
        <w:rPr>
          <w:i/>
          <w:iCs/>
          <w:color w:val="000000" w:themeColor="text1"/>
          <w:sz w:val="24"/>
          <w:szCs w:val="24"/>
        </w:rPr>
        <w:t>BC</w:t>
      </w:r>
      <w:r w:rsidRPr="00142B75">
        <w:rPr>
          <w:color w:val="000000" w:themeColor="text1"/>
          <w:sz w:val="24"/>
          <w:szCs w:val="24"/>
        </w:rPr>
        <w:t xml:space="preserve"> mice were used for immunoprecipitation and immunoblotting with the indicated antibodies. </w:t>
      </w:r>
      <w:r w:rsidRPr="00142B75">
        <w:rPr>
          <w:b/>
          <w:bCs/>
          <w:color w:val="000000" w:themeColor="text1"/>
          <w:sz w:val="24"/>
          <w:szCs w:val="24"/>
        </w:rPr>
        <w:t xml:space="preserve">e </w:t>
      </w:r>
      <w:proofErr w:type="gramStart"/>
      <w:r w:rsidRPr="00142B75">
        <w:rPr>
          <w:color w:val="000000" w:themeColor="text1"/>
          <w:sz w:val="24"/>
          <w:szCs w:val="24"/>
        </w:rPr>
        <w:t>The</w:t>
      </w:r>
      <w:proofErr w:type="gramEnd"/>
      <w:r w:rsidRPr="00142B75">
        <w:rPr>
          <w:color w:val="000000" w:themeColor="text1"/>
          <w:sz w:val="24"/>
          <w:szCs w:val="24"/>
        </w:rPr>
        <w:t xml:space="preserve"> lysates from HT-29 cells treated with vehicle, EGFR inhibitor erlotinib, or FAK initiator PF-562271 were used for immunoprecipitation and immunoblotting with the indicated antibodies.</w:t>
      </w:r>
    </w:p>
    <w:p w14:paraId="191AE172" w14:textId="77777777" w:rsidR="00B8014B" w:rsidRPr="00142B75" w:rsidRDefault="00B8014B" w:rsidP="00B8014B">
      <w:pPr>
        <w:spacing w:line="480" w:lineRule="auto"/>
        <w:rPr>
          <w:b/>
          <w:bCs/>
          <w:color w:val="000000" w:themeColor="text1"/>
          <w:sz w:val="24"/>
          <w:szCs w:val="24"/>
        </w:rPr>
      </w:pPr>
    </w:p>
    <w:p w14:paraId="37479FBE" w14:textId="77777777" w:rsidR="00B8014B" w:rsidRPr="00142B75" w:rsidRDefault="00B8014B" w:rsidP="00B8014B">
      <w:pPr>
        <w:spacing w:line="480" w:lineRule="auto"/>
        <w:rPr>
          <w:color w:val="000000" w:themeColor="text1"/>
          <w:sz w:val="24"/>
          <w:szCs w:val="24"/>
        </w:rPr>
      </w:pPr>
      <w:r w:rsidRPr="00142B75">
        <w:rPr>
          <w:b/>
          <w:bCs/>
          <w:color w:val="000000" w:themeColor="text1"/>
          <w:sz w:val="24"/>
          <w:szCs w:val="24"/>
        </w:rPr>
        <w:t>Supplementary Fig. 4</w:t>
      </w:r>
      <w:r w:rsidRPr="00142B75">
        <w:rPr>
          <w:color w:val="000000" w:themeColor="text1"/>
          <w:sz w:val="24"/>
          <w:szCs w:val="24"/>
        </w:rPr>
        <w:t xml:space="preserve"> </w:t>
      </w:r>
      <w:proofErr w:type="spellStart"/>
      <w:r w:rsidRPr="00142B75">
        <w:rPr>
          <w:color w:val="000000" w:themeColor="text1"/>
          <w:sz w:val="24"/>
          <w:szCs w:val="24"/>
        </w:rPr>
        <w:t>qRT</w:t>
      </w:r>
      <w:proofErr w:type="spellEnd"/>
      <w:r w:rsidRPr="00142B75">
        <w:rPr>
          <w:color w:val="000000" w:themeColor="text1"/>
          <w:sz w:val="24"/>
          <w:szCs w:val="24"/>
        </w:rPr>
        <w:t xml:space="preserve">-PCR of selected ERK transcriptional output markers in cecum from vehicle- and MEKi-treated </w:t>
      </w:r>
      <w:r w:rsidRPr="00142B75">
        <w:rPr>
          <w:i/>
          <w:iCs/>
          <w:color w:val="000000" w:themeColor="text1"/>
          <w:sz w:val="24"/>
          <w:szCs w:val="24"/>
        </w:rPr>
        <w:t>BC</w:t>
      </w:r>
      <w:r w:rsidRPr="00142B75">
        <w:rPr>
          <w:color w:val="000000" w:themeColor="text1"/>
          <w:sz w:val="24"/>
          <w:szCs w:val="24"/>
        </w:rPr>
        <w:t xml:space="preserve"> mice (n=3 per group). Data presented as mean ± SD (ns, not significant; *</w:t>
      </w:r>
      <w:r w:rsidRPr="00142B75">
        <w:rPr>
          <w:i/>
          <w:iCs/>
          <w:color w:val="000000" w:themeColor="text1"/>
          <w:sz w:val="24"/>
          <w:szCs w:val="24"/>
        </w:rPr>
        <w:t>P</w:t>
      </w:r>
      <w:r w:rsidRPr="00142B75">
        <w:rPr>
          <w:color w:val="000000" w:themeColor="text1"/>
          <w:sz w:val="24"/>
          <w:szCs w:val="24"/>
        </w:rPr>
        <w:t>&lt;0.05; **</w:t>
      </w:r>
      <w:r w:rsidRPr="00142B75">
        <w:rPr>
          <w:i/>
          <w:iCs/>
          <w:color w:val="000000" w:themeColor="text1"/>
          <w:sz w:val="24"/>
          <w:szCs w:val="24"/>
        </w:rPr>
        <w:t>P</w:t>
      </w:r>
      <w:r w:rsidRPr="00142B75">
        <w:rPr>
          <w:color w:val="000000" w:themeColor="text1"/>
          <w:sz w:val="24"/>
          <w:szCs w:val="24"/>
        </w:rPr>
        <w:t>&lt;0.01; ***</w:t>
      </w:r>
      <w:r w:rsidRPr="00142B75">
        <w:rPr>
          <w:i/>
          <w:iCs/>
          <w:color w:val="000000" w:themeColor="text1"/>
          <w:sz w:val="24"/>
          <w:szCs w:val="24"/>
        </w:rPr>
        <w:t>P</w:t>
      </w:r>
      <w:r w:rsidRPr="00142B75">
        <w:rPr>
          <w:color w:val="000000" w:themeColor="text1"/>
          <w:sz w:val="24"/>
          <w:szCs w:val="24"/>
        </w:rPr>
        <w:t>&lt;0.001, Student's </w:t>
      </w:r>
      <w:r w:rsidRPr="00142B75">
        <w:rPr>
          <w:i/>
          <w:iCs/>
          <w:color w:val="000000" w:themeColor="text1"/>
          <w:sz w:val="24"/>
          <w:szCs w:val="24"/>
        </w:rPr>
        <w:t>t</w:t>
      </w:r>
      <w:r w:rsidRPr="00142B75">
        <w:rPr>
          <w:color w:val="000000" w:themeColor="text1"/>
          <w:sz w:val="24"/>
          <w:szCs w:val="24"/>
        </w:rPr>
        <w:t>-test, two-tailed</w:t>
      </w:r>
      <w:r w:rsidRPr="00142B75">
        <w:rPr>
          <w:rFonts w:ascii="Noto Serif" w:hAnsi="Noto Serif" w:cs="Noto Serif"/>
          <w:color w:val="000000" w:themeColor="text1"/>
          <w:shd w:val="clear" w:color="auto" w:fill="FFFFFF"/>
        </w:rPr>
        <w:t>)</w:t>
      </w:r>
      <w:r w:rsidRPr="00142B75">
        <w:rPr>
          <w:color w:val="000000" w:themeColor="text1"/>
          <w:sz w:val="24"/>
          <w:szCs w:val="24"/>
        </w:rPr>
        <w:t>.</w:t>
      </w:r>
    </w:p>
    <w:p w14:paraId="6915BE46" w14:textId="77777777" w:rsidR="001777A1" w:rsidRDefault="001777A1"/>
    <w:sectPr w:rsidR="0017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erif">
    <w:altName w:val="Noto Serif"/>
    <w:charset w:val="00"/>
    <w:family w:val="roman"/>
    <w:pitch w:val="variable"/>
    <w:sig w:usb0="E00002FF" w:usb1="500078FF" w:usb2="00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14B"/>
    <w:rsid w:val="001777A1"/>
    <w:rsid w:val="00B8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2049D"/>
  <w15:chartTrackingRefBased/>
  <w15:docId w15:val="{C64A495E-61B9-42EE-A1B9-DDB378786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14B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</Words>
  <Characters>2384</Characters>
  <Application>Microsoft Office Word</Application>
  <DocSecurity>0</DocSecurity>
  <Lines>19</Lines>
  <Paragraphs>5</Paragraphs>
  <ScaleCrop>false</ScaleCrop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2024-01-05T20:30:00Z</dcterms:created>
  <dcterms:modified xsi:type="dcterms:W3CDTF">2024-01-05T20:31:00Z</dcterms:modified>
</cp:coreProperties>
</file>