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A5A81" w14:textId="77777777" w:rsidR="004B1BAE" w:rsidRPr="005F5ECD" w:rsidRDefault="004B1BAE" w:rsidP="004B1BAE">
      <w:pPr>
        <w:pStyle w:val="Normal0"/>
        <w:spacing w:before="240" w:after="240" w:line="240" w:lineRule="auto"/>
        <w:jc w:val="center"/>
        <w:rPr>
          <w:b/>
          <w:color w:val="231F20"/>
          <w:lang w:val="en-US"/>
        </w:rPr>
      </w:pPr>
      <w:r w:rsidRPr="005F5ECD">
        <w:rPr>
          <w:b/>
          <w:color w:val="231F20"/>
          <w:lang w:val="en-US"/>
        </w:rPr>
        <w:t>Supplementary Information</w:t>
      </w:r>
    </w:p>
    <w:p w14:paraId="056806E7" w14:textId="77777777" w:rsidR="009A59E9" w:rsidRPr="009A59E9" w:rsidRDefault="009A59E9" w:rsidP="009A59E9">
      <w:pPr>
        <w:pStyle w:val="Normal0"/>
        <w:spacing w:before="240" w:after="240" w:line="360" w:lineRule="auto"/>
        <w:jc w:val="both"/>
        <w:rPr>
          <w:b/>
          <w:bCs/>
          <w:lang w:val="en-GB"/>
        </w:rPr>
      </w:pPr>
      <w:r w:rsidRPr="009A59E9">
        <w:rPr>
          <w:b/>
          <w:bCs/>
          <w:lang w:val="en-GB"/>
        </w:rPr>
        <w:t xml:space="preserve">Recent increase in tree damage and mortality and their spatial dependence on drought intensity in Mediterranean forests </w:t>
      </w:r>
    </w:p>
    <w:p w14:paraId="417A0FC7" w14:textId="0715804A" w:rsidR="00EB5865" w:rsidRPr="006F6F49" w:rsidRDefault="00EB5865" w:rsidP="00EB5865">
      <w:pPr>
        <w:pStyle w:val="Normal0"/>
        <w:spacing w:before="240" w:after="240" w:line="360" w:lineRule="auto"/>
        <w:jc w:val="both"/>
        <w:rPr>
          <w:b/>
          <w:sz w:val="28"/>
          <w:szCs w:val="28"/>
        </w:rPr>
      </w:pPr>
      <w:r w:rsidRPr="00770D35">
        <w:t xml:space="preserve">Pedro Rebollo, Daniel Moreno-Fernández, Verónica Cruz-Alonso, Antonio </w:t>
      </w:r>
      <w:r w:rsidRPr="006039C2">
        <w:t>Gazol</w:t>
      </w:r>
      <w:r>
        <w:t xml:space="preserve">, Marta Rodríguez-Rey, </w:t>
      </w:r>
      <w:r w:rsidRPr="00763499">
        <w:t>Julen Astigarraga</w:t>
      </w:r>
      <w:r>
        <w:t>,</w:t>
      </w:r>
      <w:r>
        <w:rPr>
          <w:vertAlign w:val="superscript"/>
        </w:rPr>
        <w:t xml:space="preserve"> </w:t>
      </w:r>
      <w:r w:rsidRPr="00770D35">
        <w:t xml:space="preserve">Miguel A. Zavala, </w:t>
      </w:r>
      <w:r>
        <w:t>Lorena Gómez-Aparicio, Enrique Andivia,</w:t>
      </w:r>
      <w:r w:rsidRPr="00DA02FB">
        <w:t xml:space="preserve"> </w:t>
      </w:r>
      <w:r>
        <w:t>Sofía Miguel-Romero,</w:t>
      </w:r>
      <w:r w:rsidRPr="00763499">
        <w:t xml:space="preserve"> </w:t>
      </w:r>
      <w:r w:rsidRPr="00770D35">
        <w:t>Paloma Ruiz</w:t>
      </w:r>
      <w:r>
        <w:t>-</w:t>
      </w:r>
      <w:r w:rsidRPr="00770D35">
        <w:t>Benito</w:t>
      </w:r>
    </w:p>
    <w:p w14:paraId="11CAEE8B" w14:textId="77777777" w:rsidR="004B1BAE" w:rsidRPr="005F5ECD" w:rsidRDefault="004B1BAE" w:rsidP="004B1BAE">
      <w:pPr>
        <w:pStyle w:val="Normal0"/>
        <w:spacing w:line="360" w:lineRule="auto"/>
        <w:jc w:val="both"/>
        <w:rPr>
          <w:lang w:val="en-US"/>
        </w:rPr>
      </w:pPr>
      <w:r>
        <w:rPr>
          <w:lang w:val="en-US"/>
        </w:rPr>
        <w:t>Correspondence</w:t>
      </w:r>
      <w:r w:rsidRPr="005F5ECD">
        <w:rPr>
          <w:lang w:val="en-US"/>
        </w:rPr>
        <w:t xml:space="preserve">: </w:t>
      </w:r>
      <w:hyperlink r:id="rId6">
        <w:r w:rsidRPr="289BF14E">
          <w:rPr>
            <w:rStyle w:val="Hipervnculo"/>
            <w:lang w:val="en-US"/>
          </w:rPr>
          <w:t>prebollo@ucm.es</w:t>
        </w:r>
      </w:hyperlink>
      <w:r w:rsidRPr="005F5ECD">
        <w:rPr>
          <w:lang w:val="en-US"/>
        </w:rPr>
        <w:t xml:space="preserve">  phone number: (+34) 636877806 </w:t>
      </w:r>
    </w:p>
    <w:p w14:paraId="312DF967" w14:textId="77777777" w:rsidR="004B1BAE" w:rsidRDefault="004B1BAE" w:rsidP="004B1BAE">
      <w:pPr>
        <w:pStyle w:val="Normal0"/>
        <w:spacing w:before="240" w:after="240" w:line="360" w:lineRule="auto"/>
        <w:jc w:val="both"/>
        <w:rPr>
          <w:b/>
          <w:lang w:val="en-US"/>
        </w:rPr>
      </w:pPr>
      <w:r w:rsidRPr="005F5ECD">
        <w:rPr>
          <w:b/>
          <w:lang w:val="en-US"/>
        </w:rPr>
        <w:t>Landscape Ecology</w:t>
      </w:r>
    </w:p>
    <w:p w14:paraId="4BC5B304" w14:textId="77777777" w:rsidR="004B1BAE" w:rsidRDefault="004B1BAE" w:rsidP="004B1BAE">
      <w:pPr>
        <w:jc w:val="both"/>
        <w:rPr>
          <w:bCs/>
          <w:lang w:val="en-US"/>
        </w:rPr>
      </w:pPr>
    </w:p>
    <w:p w14:paraId="7A718F0B" w14:textId="77777777" w:rsidR="004B1BAE" w:rsidRPr="00ED046B" w:rsidRDefault="004B1BAE" w:rsidP="004B1BAE">
      <w:pPr>
        <w:jc w:val="both"/>
        <w:rPr>
          <w:bCs/>
          <w:lang w:val="en-US"/>
        </w:rPr>
      </w:pPr>
      <w:r w:rsidRPr="00A221A9">
        <w:rPr>
          <w:b/>
          <w:lang w:val="en-US"/>
        </w:rPr>
        <w:t>Appendix A.</w:t>
      </w:r>
      <w:r w:rsidRPr="00ED046B">
        <w:rPr>
          <w:bCs/>
          <w:lang w:val="en-US"/>
        </w:rPr>
        <w:t xml:space="preserve"> </w:t>
      </w:r>
      <w:r>
        <w:rPr>
          <w:bCs/>
          <w:lang w:val="en-US"/>
        </w:rPr>
        <w:t>Further information about</w:t>
      </w:r>
      <w:r w:rsidRPr="00ED046B">
        <w:rPr>
          <w:bCs/>
          <w:lang w:val="en-US"/>
        </w:rPr>
        <w:t xml:space="preserve"> tree damage and mortality in Mediterranean forests of the Iberian Peninsula</w:t>
      </w:r>
      <w:r>
        <w:rPr>
          <w:bCs/>
          <w:lang w:val="en-US"/>
        </w:rPr>
        <w:t>.</w:t>
      </w:r>
    </w:p>
    <w:p w14:paraId="71899D18" w14:textId="77777777" w:rsidR="004B1BAE" w:rsidRPr="00ED046B" w:rsidRDefault="004B1BAE" w:rsidP="004B1BAE">
      <w:pPr>
        <w:jc w:val="both"/>
        <w:rPr>
          <w:bCs/>
          <w:lang w:val="en-US"/>
        </w:rPr>
      </w:pPr>
    </w:p>
    <w:p w14:paraId="475C848D" w14:textId="77777777" w:rsidR="004B1BAE" w:rsidRDefault="004B1BAE" w:rsidP="004B1BAE">
      <w:pPr>
        <w:jc w:val="both"/>
        <w:rPr>
          <w:bCs/>
          <w:lang w:val="en-US"/>
        </w:rPr>
      </w:pPr>
      <w:r w:rsidRPr="00A221A9">
        <w:rPr>
          <w:b/>
          <w:lang w:val="en-US"/>
        </w:rPr>
        <w:t>Appendix B.</w:t>
      </w:r>
      <w:r w:rsidRPr="00ED046B">
        <w:rPr>
          <w:bCs/>
          <w:lang w:val="en-US"/>
        </w:rPr>
        <w:t xml:space="preserve"> Further </w:t>
      </w:r>
      <w:r>
        <w:rPr>
          <w:bCs/>
          <w:lang w:val="en-US"/>
        </w:rPr>
        <w:t>details of</w:t>
      </w:r>
      <w:r w:rsidRPr="00ED046B">
        <w:rPr>
          <w:bCs/>
          <w:lang w:val="en-US"/>
        </w:rPr>
        <w:t xml:space="preserve"> the Spanish Forest Inventory</w:t>
      </w:r>
      <w:r>
        <w:rPr>
          <w:bCs/>
          <w:lang w:val="en-US"/>
        </w:rPr>
        <w:t xml:space="preserve"> used.</w:t>
      </w:r>
    </w:p>
    <w:p w14:paraId="4355DF2D" w14:textId="77777777" w:rsidR="004B1BAE" w:rsidRDefault="004B1BAE" w:rsidP="004B1BAE">
      <w:pPr>
        <w:jc w:val="both"/>
        <w:rPr>
          <w:bCs/>
          <w:lang w:val="en-US"/>
        </w:rPr>
      </w:pPr>
    </w:p>
    <w:p w14:paraId="505FA5E7" w14:textId="77777777" w:rsidR="004B1BAE" w:rsidRPr="00ED046B" w:rsidRDefault="004B1BAE" w:rsidP="004B1BAE">
      <w:pPr>
        <w:jc w:val="both"/>
        <w:rPr>
          <w:lang w:val="en-US"/>
        </w:rPr>
      </w:pPr>
      <w:r w:rsidRPr="00AA59C4">
        <w:rPr>
          <w:b/>
          <w:lang w:val="en-US"/>
        </w:rPr>
        <w:t>Appendix C.</w:t>
      </w:r>
      <w:r>
        <w:rPr>
          <w:bCs/>
          <w:lang w:val="en-US"/>
        </w:rPr>
        <w:t xml:space="preserve"> Detailed information about the goodness of fit of the models. </w:t>
      </w:r>
      <w:r w:rsidRPr="00ED046B">
        <w:rPr>
          <w:bCs/>
          <w:lang w:val="en-US"/>
        </w:rPr>
        <w:br w:type="page"/>
      </w:r>
    </w:p>
    <w:p w14:paraId="006C5F9F" w14:textId="77777777" w:rsidR="004B1BAE" w:rsidRPr="00ED046B" w:rsidRDefault="004B1BAE" w:rsidP="004B1BAE">
      <w:pPr>
        <w:jc w:val="both"/>
        <w:rPr>
          <w:bCs/>
          <w:lang w:val="en-US"/>
        </w:rPr>
      </w:pPr>
      <w:r w:rsidRPr="00A221A9">
        <w:rPr>
          <w:b/>
          <w:lang w:val="en-US"/>
        </w:rPr>
        <w:lastRenderedPageBreak/>
        <w:t>Appendix A.</w:t>
      </w:r>
      <w:r w:rsidRPr="00ED046B">
        <w:rPr>
          <w:bCs/>
          <w:lang w:val="en-US"/>
        </w:rPr>
        <w:t xml:space="preserve"> </w:t>
      </w:r>
      <w:r>
        <w:rPr>
          <w:bCs/>
          <w:lang w:val="en-US"/>
        </w:rPr>
        <w:t xml:space="preserve">Further information about </w:t>
      </w:r>
      <w:r w:rsidRPr="00ED046B">
        <w:rPr>
          <w:bCs/>
          <w:lang w:val="en-US"/>
        </w:rPr>
        <w:t>tree damage and mortality in Mediterranean forests of the Iberian Peninsula</w:t>
      </w:r>
    </w:p>
    <w:p w14:paraId="589CFBED" w14:textId="77777777" w:rsidR="004B1BAE" w:rsidRPr="00444BF6" w:rsidRDefault="004B1BAE" w:rsidP="004B1BAE">
      <w:pPr>
        <w:pStyle w:val="Sinespaciado"/>
        <w:jc w:val="both"/>
        <w:rPr>
          <w:lang w:val="en-US"/>
        </w:rPr>
      </w:pPr>
    </w:p>
    <w:p w14:paraId="19799089" w14:textId="77777777" w:rsidR="004B1BAE" w:rsidRDefault="004B1BAE" w:rsidP="004B1BAE">
      <w:pPr>
        <w:pStyle w:val="Sinespaciado"/>
        <w:jc w:val="center"/>
        <w:rPr>
          <w:sz w:val="22"/>
          <w:szCs w:val="22"/>
          <w:lang w:val="en-US"/>
        </w:rPr>
      </w:pPr>
      <w:r>
        <w:rPr>
          <w:noProof/>
          <w:sz w:val="22"/>
          <w:szCs w:val="22"/>
          <w:lang w:val="en-US"/>
        </w:rPr>
        <w:drawing>
          <wp:inline distT="0" distB="0" distL="0" distR="0" wp14:anchorId="456E4A2A" wp14:editId="33201915">
            <wp:extent cx="4068000" cy="4068000"/>
            <wp:effectExtent l="0" t="0" r="889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68000" cy="4068000"/>
                    </a:xfrm>
                    <a:prstGeom prst="rect">
                      <a:avLst/>
                    </a:prstGeom>
                  </pic:spPr>
                </pic:pic>
              </a:graphicData>
            </a:graphic>
          </wp:inline>
        </w:drawing>
      </w:r>
    </w:p>
    <w:p w14:paraId="67AAAA1D" w14:textId="77777777" w:rsidR="004B1BAE" w:rsidRDefault="004B1BAE" w:rsidP="004B1BAE">
      <w:pPr>
        <w:rPr>
          <w:lang w:val="en-US"/>
        </w:rPr>
      </w:pPr>
      <w:bookmarkStart w:id="0" w:name="_Hlk118376417"/>
      <w:r w:rsidRPr="00032B1D">
        <w:rPr>
          <w:b/>
          <w:color w:val="231F20"/>
          <w:lang w:val="en-US"/>
        </w:rPr>
        <w:t>Fig</w:t>
      </w:r>
      <w:r>
        <w:rPr>
          <w:b/>
          <w:color w:val="231F20"/>
          <w:lang w:val="en-US"/>
        </w:rPr>
        <w:t>ure</w:t>
      </w:r>
      <w:r w:rsidRPr="00032B1D">
        <w:rPr>
          <w:b/>
          <w:color w:val="231F20"/>
          <w:lang w:val="en-US"/>
        </w:rPr>
        <w:t xml:space="preserve"> </w:t>
      </w:r>
      <w:r>
        <w:rPr>
          <w:b/>
          <w:color w:val="231F20"/>
          <w:lang w:val="en-US"/>
        </w:rPr>
        <w:t>A.1</w:t>
      </w:r>
      <w:r w:rsidRPr="00032B1D">
        <w:rPr>
          <w:b/>
          <w:color w:val="231F20"/>
          <w:lang w:val="en-US"/>
        </w:rPr>
        <w:t xml:space="preserve">. </w:t>
      </w:r>
      <w:r w:rsidRPr="00F06894">
        <w:rPr>
          <w:lang w:val="en-US"/>
        </w:rPr>
        <w:t xml:space="preserve">Relationships between the </w:t>
      </w:r>
      <w:r>
        <w:rPr>
          <w:lang w:val="en-US"/>
        </w:rPr>
        <w:t>a</w:t>
      </w:r>
      <w:r w:rsidRPr="00F06894">
        <w:rPr>
          <w:lang w:val="en-US"/>
        </w:rPr>
        <w:t>bsolute</w:t>
      </w:r>
      <w:r>
        <w:rPr>
          <w:lang w:val="en-US"/>
        </w:rPr>
        <w:t xml:space="preserve"> </w:t>
      </w:r>
      <w:r w:rsidRPr="00F06894">
        <w:rPr>
          <w:lang w:val="en-US"/>
        </w:rPr>
        <w:t>and relative tree damage</w:t>
      </w:r>
      <w:r>
        <w:rPr>
          <w:lang w:val="en-US"/>
        </w:rPr>
        <w:t xml:space="preserve"> and </w:t>
      </w:r>
      <w:r w:rsidRPr="00F06894">
        <w:rPr>
          <w:lang w:val="en-US"/>
        </w:rPr>
        <w:t xml:space="preserve">mortality </w:t>
      </w:r>
      <w:r>
        <w:rPr>
          <w:lang w:val="en-US"/>
        </w:rPr>
        <w:t>in the permanent plots between the second and third Spanish Forest Inventory</w:t>
      </w:r>
      <w:r w:rsidRPr="00F06894">
        <w:rPr>
          <w:lang w:val="en-US"/>
        </w:rPr>
        <w:t xml:space="preserve">. </w:t>
      </w:r>
      <w:bookmarkEnd w:id="0"/>
      <w:r>
        <w:rPr>
          <w:lang w:val="en-US"/>
        </w:rPr>
        <w:br w:type="page"/>
      </w:r>
    </w:p>
    <w:p w14:paraId="194D0C47" w14:textId="77777777" w:rsidR="004B1BAE" w:rsidRDefault="004B1BAE" w:rsidP="004B1BAE">
      <w:pPr>
        <w:pStyle w:val="Sinespaciado"/>
        <w:jc w:val="center"/>
        <w:rPr>
          <w:lang w:val="en-US"/>
        </w:rPr>
      </w:pPr>
      <w:r>
        <w:rPr>
          <w:noProof/>
          <w:sz w:val="16"/>
          <w:szCs w:val="16"/>
        </w:rPr>
        <w:lastRenderedPageBreak/>
        <w:drawing>
          <wp:inline distT="0" distB="0" distL="0" distR="0" wp14:anchorId="716EFCB7" wp14:editId="49E1DA43">
            <wp:extent cx="5962650" cy="5962650"/>
            <wp:effectExtent l="0" t="0" r="0" b="0"/>
            <wp:docPr id="9" name="Imagen 9"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Map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2650" cy="5962650"/>
                    </a:xfrm>
                    <a:prstGeom prst="rect">
                      <a:avLst/>
                    </a:prstGeom>
                  </pic:spPr>
                </pic:pic>
              </a:graphicData>
            </a:graphic>
          </wp:inline>
        </w:drawing>
      </w:r>
    </w:p>
    <w:p w14:paraId="3BDCCF4B" w14:textId="77777777" w:rsidR="004B1BAE" w:rsidRPr="00956032" w:rsidRDefault="004B1BAE" w:rsidP="004B1BAE">
      <w:pPr>
        <w:pStyle w:val="Sinespaciado"/>
        <w:jc w:val="both"/>
        <w:rPr>
          <w:sz w:val="22"/>
          <w:szCs w:val="22"/>
          <w:lang w:val="en-US"/>
        </w:rPr>
      </w:pPr>
      <w:r w:rsidRPr="00F06894">
        <w:rPr>
          <w:b/>
          <w:bCs/>
          <w:color w:val="231F20"/>
          <w:lang w:val="en-US"/>
        </w:rPr>
        <w:t>Fig</w:t>
      </w:r>
      <w:r>
        <w:rPr>
          <w:b/>
          <w:bCs/>
          <w:color w:val="231F20"/>
          <w:lang w:val="en-US"/>
        </w:rPr>
        <w:t>ure</w:t>
      </w:r>
      <w:r w:rsidRPr="00F06894">
        <w:rPr>
          <w:b/>
          <w:bCs/>
          <w:color w:val="231F20"/>
          <w:lang w:val="en-US"/>
        </w:rPr>
        <w:t xml:space="preserve"> </w:t>
      </w:r>
      <w:r>
        <w:rPr>
          <w:b/>
          <w:bCs/>
          <w:color w:val="231F20"/>
          <w:lang w:val="en-US"/>
        </w:rPr>
        <w:t>A.2</w:t>
      </w:r>
      <w:r w:rsidRPr="00032B1D">
        <w:rPr>
          <w:color w:val="231F20"/>
          <w:lang w:val="en-US"/>
        </w:rPr>
        <w:t>.</w:t>
      </w:r>
      <w:r w:rsidRPr="009255D5">
        <w:rPr>
          <w:lang w:val="en-US"/>
        </w:rPr>
        <w:t xml:space="preserve"> </w:t>
      </w:r>
      <w:r w:rsidRPr="00F91DF9">
        <w:rPr>
          <w:sz w:val="22"/>
          <w:szCs w:val="22"/>
          <w:lang w:val="en-GB"/>
        </w:rPr>
        <w:t>(</w:t>
      </w:r>
      <w:r>
        <w:rPr>
          <w:sz w:val="22"/>
          <w:szCs w:val="22"/>
          <w:lang w:val="en-GB"/>
        </w:rPr>
        <w:t>a</w:t>
      </w:r>
      <w:r w:rsidRPr="00F91DF9">
        <w:rPr>
          <w:sz w:val="22"/>
          <w:szCs w:val="22"/>
          <w:lang w:val="en-GB"/>
        </w:rPr>
        <w:t xml:space="preserve">) </w:t>
      </w:r>
      <w:r>
        <w:rPr>
          <w:sz w:val="22"/>
          <w:szCs w:val="22"/>
          <w:lang w:val="en-GB"/>
        </w:rPr>
        <w:t>T</w:t>
      </w:r>
      <w:r w:rsidRPr="00F91DF9">
        <w:rPr>
          <w:sz w:val="22"/>
          <w:szCs w:val="22"/>
          <w:lang w:val="en-GB"/>
        </w:rPr>
        <w:t>ree damage (m</w:t>
      </w:r>
      <w:r w:rsidRPr="00F91DF9">
        <w:rPr>
          <w:sz w:val="22"/>
          <w:szCs w:val="22"/>
          <w:vertAlign w:val="superscript"/>
          <w:lang w:val="en-GB"/>
        </w:rPr>
        <w:t>2</w:t>
      </w:r>
      <w:r w:rsidRPr="00F91DF9">
        <w:rPr>
          <w:sz w:val="22"/>
          <w:szCs w:val="22"/>
          <w:lang w:val="en-GB"/>
        </w:rPr>
        <w:t xml:space="preserve"> ha</w:t>
      </w:r>
      <w:r w:rsidRPr="00F91DF9">
        <w:rPr>
          <w:sz w:val="22"/>
          <w:szCs w:val="22"/>
          <w:vertAlign w:val="superscript"/>
          <w:lang w:val="en-GB"/>
        </w:rPr>
        <w:t>-1</w:t>
      </w:r>
      <w:r w:rsidRPr="00F91DF9">
        <w:rPr>
          <w:sz w:val="22"/>
          <w:szCs w:val="22"/>
          <w:lang w:val="en-GB"/>
        </w:rPr>
        <w:t xml:space="preserve">) </w:t>
      </w:r>
      <w:r>
        <w:rPr>
          <w:sz w:val="22"/>
          <w:szCs w:val="22"/>
          <w:lang w:val="en-GB"/>
        </w:rPr>
        <w:t xml:space="preserve">and </w:t>
      </w:r>
      <w:r w:rsidRPr="00F91DF9">
        <w:rPr>
          <w:sz w:val="22"/>
          <w:szCs w:val="22"/>
          <w:lang w:val="en-GB"/>
        </w:rPr>
        <w:t>(</w:t>
      </w:r>
      <w:r>
        <w:rPr>
          <w:sz w:val="22"/>
          <w:szCs w:val="22"/>
          <w:lang w:val="en-GB"/>
        </w:rPr>
        <w:t>b</w:t>
      </w:r>
      <w:r w:rsidRPr="00F91DF9">
        <w:rPr>
          <w:sz w:val="22"/>
          <w:szCs w:val="22"/>
          <w:lang w:val="en-GB"/>
        </w:rPr>
        <w:t xml:space="preserve">) </w:t>
      </w:r>
      <w:r>
        <w:rPr>
          <w:sz w:val="22"/>
          <w:szCs w:val="22"/>
          <w:lang w:val="en-GB"/>
        </w:rPr>
        <w:t>standing t</w:t>
      </w:r>
      <w:r w:rsidRPr="00F91DF9">
        <w:rPr>
          <w:sz w:val="22"/>
          <w:szCs w:val="22"/>
          <w:lang w:val="en-GB"/>
        </w:rPr>
        <w:t>ree mortality (m</w:t>
      </w:r>
      <w:r w:rsidRPr="00F91DF9">
        <w:rPr>
          <w:sz w:val="22"/>
          <w:szCs w:val="22"/>
          <w:vertAlign w:val="superscript"/>
          <w:lang w:val="en-GB"/>
        </w:rPr>
        <w:t>2</w:t>
      </w:r>
      <w:r w:rsidRPr="00F91DF9">
        <w:rPr>
          <w:sz w:val="22"/>
          <w:szCs w:val="22"/>
          <w:lang w:val="en-GB"/>
        </w:rPr>
        <w:t xml:space="preserve"> ha</w:t>
      </w:r>
      <w:r w:rsidRPr="00F91DF9">
        <w:rPr>
          <w:sz w:val="22"/>
          <w:szCs w:val="22"/>
          <w:vertAlign w:val="superscript"/>
          <w:lang w:val="en-GB"/>
        </w:rPr>
        <w:t>-1</w:t>
      </w:r>
      <w:r w:rsidRPr="00F91DF9">
        <w:rPr>
          <w:sz w:val="22"/>
          <w:szCs w:val="22"/>
          <w:lang w:val="en-GB"/>
        </w:rPr>
        <w:t xml:space="preserve">) distribution across Mediterranean forests in </w:t>
      </w:r>
      <w:r w:rsidRPr="05F81AB7">
        <w:rPr>
          <w:sz w:val="22"/>
          <w:szCs w:val="22"/>
          <w:lang w:val="en-GB"/>
        </w:rPr>
        <w:t xml:space="preserve">the </w:t>
      </w:r>
      <w:r w:rsidRPr="00F91DF9">
        <w:rPr>
          <w:sz w:val="22"/>
          <w:szCs w:val="22"/>
          <w:lang w:val="en-GB"/>
        </w:rPr>
        <w:t xml:space="preserve">Iberian Peninsula. </w:t>
      </w:r>
    </w:p>
    <w:p w14:paraId="21093F5F" w14:textId="77777777" w:rsidR="004B1BAE" w:rsidRDefault="004B1BAE" w:rsidP="004B1BAE">
      <w:pPr>
        <w:rPr>
          <w:lang w:val="en-US"/>
        </w:rPr>
      </w:pPr>
      <w:r>
        <w:rPr>
          <w:lang w:val="en-US"/>
        </w:rPr>
        <w:br w:type="page"/>
      </w:r>
    </w:p>
    <w:p w14:paraId="7AD0F228" w14:textId="77777777" w:rsidR="004B1BAE" w:rsidRDefault="004B1BAE" w:rsidP="004B1BAE">
      <w:pPr>
        <w:pStyle w:val="Sinespaciado"/>
        <w:jc w:val="center"/>
        <w:rPr>
          <w:b/>
          <w:bCs/>
          <w:lang w:val="en-US"/>
        </w:rPr>
      </w:pPr>
      <w:r>
        <w:rPr>
          <w:b/>
          <w:bCs/>
          <w:noProof/>
          <w:lang w:val="en-US"/>
        </w:rPr>
        <w:lastRenderedPageBreak/>
        <w:drawing>
          <wp:inline distT="0" distB="0" distL="0" distR="0" wp14:anchorId="787F17D3" wp14:editId="3EC1F18A">
            <wp:extent cx="5704897" cy="3648075"/>
            <wp:effectExtent l="0" t="0" r="0" b="0"/>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8409" cy="3650321"/>
                    </a:xfrm>
                    <a:prstGeom prst="rect">
                      <a:avLst/>
                    </a:prstGeom>
                  </pic:spPr>
                </pic:pic>
              </a:graphicData>
            </a:graphic>
          </wp:inline>
        </w:drawing>
      </w:r>
    </w:p>
    <w:p w14:paraId="3CE6CFC8" w14:textId="77777777" w:rsidR="004B1BAE" w:rsidRPr="009B1004" w:rsidRDefault="004B1BAE" w:rsidP="004B1BAE">
      <w:pPr>
        <w:pStyle w:val="Sinespaciado"/>
        <w:jc w:val="both"/>
        <w:rPr>
          <w:lang w:val="en-GB"/>
        </w:rPr>
      </w:pPr>
      <w:r w:rsidRPr="00576666">
        <w:rPr>
          <w:b/>
          <w:bCs/>
          <w:lang w:val="en-GB"/>
        </w:rPr>
        <w:t xml:space="preserve">Figure </w:t>
      </w:r>
      <w:r>
        <w:rPr>
          <w:b/>
          <w:bCs/>
          <w:lang w:val="en-GB"/>
        </w:rPr>
        <w:t>A.3</w:t>
      </w:r>
      <w:r w:rsidRPr="00576666">
        <w:rPr>
          <w:b/>
          <w:bCs/>
          <w:lang w:val="en-GB"/>
        </w:rPr>
        <w:t>.</w:t>
      </w:r>
      <w:r w:rsidRPr="00576666">
        <w:rPr>
          <w:lang w:val="en-GB"/>
        </w:rPr>
        <w:t xml:space="preserve"> </w:t>
      </w:r>
      <w:r>
        <w:rPr>
          <w:lang w:val="en-GB"/>
        </w:rPr>
        <w:t>S</w:t>
      </w:r>
      <w:r w:rsidRPr="00576666">
        <w:rPr>
          <w:lang w:val="en-GB"/>
        </w:rPr>
        <w:t xml:space="preserve">patial autocorrelation </w:t>
      </w:r>
      <w:r>
        <w:rPr>
          <w:lang w:val="en-GB"/>
        </w:rPr>
        <w:t xml:space="preserve">pairwise comparation of </w:t>
      </w:r>
      <w:r w:rsidRPr="00576666">
        <w:rPr>
          <w:lang w:val="en-GB"/>
        </w:rPr>
        <w:t>absolute tree damage (m</w:t>
      </w:r>
      <w:r w:rsidRPr="00576666">
        <w:rPr>
          <w:vertAlign w:val="superscript"/>
          <w:lang w:val="en-GB"/>
        </w:rPr>
        <w:t>2</w:t>
      </w:r>
      <w:r w:rsidRPr="00576666">
        <w:rPr>
          <w:lang w:val="en-GB"/>
        </w:rPr>
        <w:t xml:space="preserve"> ha</w:t>
      </w:r>
      <w:r w:rsidRPr="00576666">
        <w:rPr>
          <w:vertAlign w:val="superscript"/>
          <w:lang w:val="en-GB"/>
        </w:rPr>
        <w:t>-1</w:t>
      </w:r>
      <w:r w:rsidRPr="00576666">
        <w:rPr>
          <w:lang w:val="en-GB"/>
        </w:rPr>
        <w:t>) and mortality (m</w:t>
      </w:r>
      <w:r w:rsidRPr="00576666">
        <w:rPr>
          <w:vertAlign w:val="superscript"/>
          <w:lang w:val="en-GB"/>
        </w:rPr>
        <w:t>2</w:t>
      </w:r>
      <w:r w:rsidRPr="00576666">
        <w:rPr>
          <w:lang w:val="en-GB"/>
        </w:rPr>
        <w:t xml:space="preserve"> ha</w:t>
      </w:r>
      <w:r w:rsidRPr="00576666">
        <w:rPr>
          <w:vertAlign w:val="superscript"/>
          <w:lang w:val="en-GB"/>
        </w:rPr>
        <w:t xml:space="preserve">-1 </w:t>
      </w:r>
      <w:r w:rsidRPr="00576666">
        <w:rPr>
          <w:lang w:val="en-GB"/>
        </w:rPr>
        <w:t>yr</w:t>
      </w:r>
      <w:r w:rsidRPr="00576666">
        <w:rPr>
          <w:vertAlign w:val="superscript"/>
          <w:lang w:val="en-GB"/>
        </w:rPr>
        <w:t>-1</w:t>
      </w:r>
      <w:r w:rsidRPr="00576666">
        <w:rPr>
          <w:lang w:val="en-GB"/>
        </w:rPr>
        <w:t>) in gymnosperm forests (green), angiosperm forests (brown) and mixed forests (blue). Solid lines and filled area represent the mean correlation and 95% confidence intervals, respectively.</w:t>
      </w:r>
      <w:r>
        <w:rPr>
          <w:lang w:val="en-US"/>
        </w:rPr>
        <w:br w:type="page"/>
      </w:r>
    </w:p>
    <w:p w14:paraId="7DBE112E" w14:textId="77777777" w:rsidR="004B1BAE" w:rsidRDefault="004B1BAE" w:rsidP="004B1BAE">
      <w:pPr>
        <w:jc w:val="both"/>
        <w:rPr>
          <w:bCs/>
          <w:lang w:val="en-US"/>
        </w:rPr>
      </w:pPr>
      <w:r w:rsidRPr="00A221A9">
        <w:rPr>
          <w:b/>
          <w:lang w:val="en-US"/>
        </w:rPr>
        <w:lastRenderedPageBreak/>
        <w:t>Appendix B.</w:t>
      </w:r>
      <w:r w:rsidRPr="00ED046B">
        <w:rPr>
          <w:bCs/>
          <w:lang w:val="en-US"/>
        </w:rPr>
        <w:t xml:space="preserve"> Further </w:t>
      </w:r>
      <w:r>
        <w:rPr>
          <w:bCs/>
          <w:lang w:val="en-US"/>
        </w:rPr>
        <w:t xml:space="preserve">details of the </w:t>
      </w:r>
      <w:r w:rsidRPr="00ED046B">
        <w:rPr>
          <w:bCs/>
          <w:lang w:val="en-US"/>
        </w:rPr>
        <w:t>Spanish Forest Inventory</w:t>
      </w:r>
      <w:r>
        <w:rPr>
          <w:bCs/>
          <w:lang w:val="en-US"/>
        </w:rPr>
        <w:t xml:space="preserve"> used.</w:t>
      </w:r>
    </w:p>
    <w:p w14:paraId="7FA616A1" w14:textId="77777777" w:rsidR="004B1BAE" w:rsidRDefault="004B1BAE" w:rsidP="004B1BAE">
      <w:pPr>
        <w:pStyle w:val="Sinespaciado"/>
        <w:rPr>
          <w:lang w:val="en-US"/>
        </w:rPr>
      </w:pPr>
    </w:p>
    <w:p w14:paraId="21BF27AF" w14:textId="77777777" w:rsidR="004B1BAE" w:rsidRPr="007264CE" w:rsidRDefault="004B1BAE" w:rsidP="004B1BAE">
      <w:pPr>
        <w:pStyle w:val="Sinespaciado"/>
        <w:jc w:val="center"/>
        <w:rPr>
          <w:lang w:val="en-US"/>
        </w:rPr>
      </w:pPr>
      <w:r>
        <w:rPr>
          <w:noProof/>
          <w:lang w:val="en-US"/>
        </w:rPr>
        <w:drawing>
          <wp:inline distT="0" distB="0" distL="0" distR="0" wp14:anchorId="315C0696" wp14:editId="32757EF6">
            <wp:extent cx="6132249" cy="2127250"/>
            <wp:effectExtent l="0" t="0" r="1905" b="6350"/>
            <wp:docPr id="4" name="Imagen 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circular&#10;&#10;Descripción generada automáticamente"/>
                    <pic:cNvPicPr/>
                  </pic:nvPicPr>
                  <pic:blipFill rotWithShape="1">
                    <a:blip r:embed="rId10" cstate="print">
                      <a:extLst>
                        <a:ext uri="{28A0092B-C50C-407E-A947-70E740481C1C}">
                          <a14:useLocalDpi xmlns:a14="http://schemas.microsoft.com/office/drawing/2010/main" val="0"/>
                        </a:ext>
                      </a:extLst>
                    </a:blip>
                    <a:srcRect t="14820" b="15783"/>
                    <a:stretch/>
                  </pic:blipFill>
                  <pic:spPr bwMode="auto">
                    <a:xfrm>
                      <a:off x="0" y="0"/>
                      <a:ext cx="6136585" cy="2128754"/>
                    </a:xfrm>
                    <a:prstGeom prst="rect">
                      <a:avLst/>
                    </a:prstGeom>
                    <a:ln>
                      <a:noFill/>
                    </a:ln>
                    <a:extLst>
                      <a:ext uri="{53640926-AAD7-44D8-BBD7-CCE9431645EC}">
                        <a14:shadowObscured xmlns:a14="http://schemas.microsoft.com/office/drawing/2010/main"/>
                      </a:ext>
                    </a:extLst>
                  </pic:spPr>
                </pic:pic>
              </a:graphicData>
            </a:graphic>
          </wp:inline>
        </w:drawing>
      </w:r>
    </w:p>
    <w:p w14:paraId="3D622E87" w14:textId="77777777" w:rsidR="004B1BAE" w:rsidRPr="00F957F5" w:rsidRDefault="004B1BAE" w:rsidP="004B1BAE">
      <w:pPr>
        <w:pStyle w:val="Sinespaciado"/>
        <w:jc w:val="both"/>
        <w:rPr>
          <w:lang w:val="en-US"/>
        </w:rPr>
      </w:pPr>
      <w:r w:rsidRPr="00F06894">
        <w:rPr>
          <w:b/>
          <w:bCs/>
          <w:lang w:val="en-US"/>
        </w:rPr>
        <w:t>Fig</w:t>
      </w:r>
      <w:r>
        <w:rPr>
          <w:b/>
          <w:bCs/>
          <w:lang w:val="en-US"/>
        </w:rPr>
        <w:t>ure</w:t>
      </w:r>
      <w:r w:rsidRPr="00F06894">
        <w:rPr>
          <w:b/>
          <w:bCs/>
          <w:lang w:val="en-US"/>
        </w:rPr>
        <w:t xml:space="preserve"> </w:t>
      </w:r>
      <w:r>
        <w:rPr>
          <w:b/>
          <w:bCs/>
          <w:lang w:val="en-US"/>
        </w:rPr>
        <w:t>B.1</w:t>
      </w:r>
      <w:r w:rsidRPr="00F06894">
        <w:rPr>
          <w:b/>
          <w:bCs/>
          <w:lang w:val="en-US"/>
        </w:rPr>
        <w:t>.</w:t>
      </w:r>
      <w:r>
        <w:rPr>
          <w:b/>
          <w:bCs/>
          <w:lang w:val="en-US"/>
        </w:rPr>
        <w:t xml:space="preserve"> </w:t>
      </w:r>
      <w:r w:rsidRPr="009075A9">
        <w:rPr>
          <w:lang w:val="en-US"/>
        </w:rPr>
        <w:t>Total</w:t>
      </w:r>
      <w:r>
        <w:rPr>
          <w:b/>
          <w:bCs/>
          <w:lang w:val="en-US"/>
        </w:rPr>
        <w:t xml:space="preserve"> </w:t>
      </w:r>
      <w:r>
        <w:rPr>
          <w:lang w:val="en-US"/>
        </w:rPr>
        <w:t>Number (and percentage) of plots in the third Spanish Forest Inventory (3SFI) and permanent plots between the second and the third (23SFI) and between the second and the fourth (234SFI) inventories.</w:t>
      </w:r>
    </w:p>
    <w:p w14:paraId="7A9FD598" w14:textId="77777777" w:rsidR="004B1BAE" w:rsidRDefault="004B1BAE" w:rsidP="004B1BAE">
      <w:pPr>
        <w:rPr>
          <w:lang w:val="en-US"/>
        </w:rPr>
      </w:pPr>
      <w:r>
        <w:rPr>
          <w:lang w:val="en-US"/>
        </w:rPr>
        <w:br w:type="page"/>
      </w:r>
    </w:p>
    <w:p w14:paraId="60D21F47" w14:textId="77777777" w:rsidR="004B1BAE" w:rsidRDefault="004B1BAE" w:rsidP="004B1BAE">
      <w:pPr>
        <w:pStyle w:val="Sinespaciado"/>
        <w:rPr>
          <w:lang w:val="en-US"/>
        </w:rPr>
      </w:pPr>
    </w:p>
    <w:p w14:paraId="7806D8C1" w14:textId="77777777" w:rsidR="004B1BAE" w:rsidRDefault="004B1BAE" w:rsidP="004B1BAE">
      <w:pPr>
        <w:pStyle w:val="Sinespaciado"/>
        <w:rPr>
          <w:lang w:val="en-US"/>
        </w:rPr>
      </w:pPr>
      <w:r>
        <w:rPr>
          <w:noProof/>
          <w:lang w:val="en-US"/>
        </w:rPr>
        <w:drawing>
          <wp:inline distT="0" distB="0" distL="0" distR="0" wp14:anchorId="60946E5E" wp14:editId="395B0588">
            <wp:extent cx="3822700" cy="3822700"/>
            <wp:effectExtent l="0" t="0" r="6350" b="6350"/>
            <wp:docPr id="15" name="Imagen 15"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cajas y bigotes&#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3017" cy="3823017"/>
                    </a:xfrm>
                    <a:prstGeom prst="rect">
                      <a:avLst/>
                    </a:prstGeom>
                  </pic:spPr>
                </pic:pic>
              </a:graphicData>
            </a:graphic>
          </wp:inline>
        </w:drawing>
      </w:r>
    </w:p>
    <w:p w14:paraId="39B66EE2" w14:textId="77777777" w:rsidR="004B1BAE" w:rsidRPr="007E786D" w:rsidRDefault="004B1BAE" w:rsidP="004B1BAE">
      <w:pPr>
        <w:rPr>
          <w:lang w:val="en-US"/>
        </w:rPr>
      </w:pPr>
      <w:r w:rsidRPr="00032B1D">
        <w:rPr>
          <w:b/>
          <w:color w:val="231F20"/>
          <w:lang w:val="en-US"/>
        </w:rPr>
        <w:t>Fig</w:t>
      </w:r>
      <w:r>
        <w:rPr>
          <w:b/>
          <w:color w:val="231F20"/>
          <w:lang w:val="en-US"/>
        </w:rPr>
        <w:t>ure</w:t>
      </w:r>
      <w:r w:rsidRPr="00032B1D">
        <w:rPr>
          <w:b/>
          <w:color w:val="231F20"/>
          <w:lang w:val="en-US"/>
        </w:rPr>
        <w:t xml:space="preserve"> </w:t>
      </w:r>
      <w:r>
        <w:rPr>
          <w:b/>
          <w:color w:val="231F20"/>
          <w:lang w:val="en-US"/>
        </w:rPr>
        <w:t>B.2.</w:t>
      </w:r>
      <w:r>
        <w:rPr>
          <w:bCs/>
          <w:color w:val="231F20"/>
          <w:lang w:val="en-US"/>
        </w:rPr>
        <w:t xml:space="preserve"> Boxplot with the timeframe of the three censuses of the Spanish Forest Inventory (second, third and fourth as 2SFI, 3SFI and 4SFI).</w:t>
      </w:r>
      <w:r>
        <w:rPr>
          <w:lang w:val="en-US"/>
        </w:rPr>
        <w:br w:type="page"/>
      </w:r>
    </w:p>
    <w:p w14:paraId="26C896DD" w14:textId="77777777" w:rsidR="004B1BAE" w:rsidRDefault="004B1BAE" w:rsidP="004B1BAE">
      <w:pPr>
        <w:pStyle w:val="Sinespaciado"/>
        <w:ind w:left="720" w:hanging="720"/>
        <w:rPr>
          <w:lang w:val="en-US"/>
        </w:rPr>
      </w:pPr>
      <w:r w:rsidRPr="00AA59C4">
        <w:rPr>
          <w:b/>
          <w:lang w:val="en-US"/>
        </w:rPr>
        <w:lastRenderedPageBreak/>
        <w:t>Appendix C.</w:t>
      </w:r>
      <w:r>
        <w:rPr>
          <w:bCs/>
          <w:lang w:val="en-US"/>
        </w:rPr>
        <w:t xml:space="preserve"> Detailed information about the goodness of fit of the models.</w:t>
      </w:r>
    </w:p>
    <w:p w14:paraId="7850700D" w14:textId="77777777" w:rsidR="004B1BAE" w:rsidRDefault="004B1BAE" w:rsidP="004B1BAE">
      <w:pPr>
        <w:pStyle w:val="Sinespaciado"/>
        <w:jc w:val="center"/>
        <w:rPr>
          <w:b/>
          <w:bCs/>
          <w:lang w:val="en-US"/>
        </w:rPr>
      </w:pPr>
    </w:p>
    <w:p w14:paraId="40E7A5C6" w14:textId="77777777" w:rsidR="004B1BAE" w:rsidRDefault="004B1BAE" w:rsidP="004B1BAE">
      <w:pPr>
        <w:pStyle w:val="Sinespaciado"/>
        <w:jc w:val="center"/>
        <w:rPr>
          <w:b/>
          <w:bCs/>
          <w:lang w:val="en-US"/>
        </w:rPr>
      </w:pPr>
      <w:r>
        <w:rPr>
          <w:b/>
          <w:bCs/>
          <w:noProof/>
          <w:lang w:val="en-US"/>
        </w:rPr>
        <w:drawing>
          <wp:inline distT="0" distB="0" distL="0" distR="0" wp14:anchorId="73F01622" wp14:editId="5C8E0D7C">
            <wp:extent cx="5400040" cy="5025390"/>
            <wp:effectExtent l="0" t="0" r="0" b="381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rotWithShape="1">
                    <a:blip r:embed="rId12" cstate="print">
                      <a:extLst>
                        <a:ext uri="{28A0092B-C50C-407E-A947-70E740481C1C}">
                          <a14:useLocalDpi xmlns:a14="http://schemas.microsoft.com/office/drawing/2010/main" val="0"/>
                        </a:ext>
                      </a:extLst>
                    </a:blip>
                    <a:srcRect t="6938"/>
                    <a:stretch/>
                  </pic:blipFill>
                  <pic:spPr bwMode="auto">
                    <a:xfrm>
                      <a:off x="0" y="0"/>
                      <a:ext cx="5400040" cy="5025390"/>
                    </a:xfrm>
                    <a:prstGeom prst="rect">
                      <a:avLst/>
                    </a:prstGeom>
                    <a:ln>
                      <a:noFill/>
                    </a:ln>
                    <a:extLst>
                      <a:ext uri="{53640926-AAD7-44D8-BBD7-CCE9431645EC}">
                        <a14:shadowObscured xmlns:a14="http://schemas.microsoft.com/office/drawing/2010/main"/>
                      </a:ext>
                    </a:extLst>
                  </pic:spPr>
                </pic:pic>
              </a:graphicData>
            </a:graphic>
          </wp:inline>
        </w:drawing>
      </w:r>
    </w:p>
    <w:p w14:paraId="11CF6AEF" w14:textId="77777777" w:rsidR="004B1BAE" w:rsidRDefault="004B1BAE" w:rsidP="004B1BAE">
      <w:pPr>
        <w:pStyle w:val="Sinespaciado"/>
        <w:jc w:val="both"/>
        <w:rPr>
          <w:lang w:val="en-US"/>
        </w:rPr>
      </w:pPr>
      <w:r w:rsidRPr="00F06894">
        <w:rPr>
          <w:b/>
          <w:bCs/>
          <w:color w:val="231F20"/>
          <w:lang w:val="en-US"/>
        </w:rPr>
        <w:t>Fig</w:t>
      </w:r>
      <w:r>
        <w:rPr>
          <w:b/>
          <w:bCs/>
          <w:color w:val="231F20"/>
          <w:lang w:val="en-US"/>
        </w:rPr>
        <w:t>ure</w:t>
      </w:r>
      <w:r w:rsidRPr="00F06894">
        <w:rPr>
          <w:b/>
          <w:bCs/>
          <w:color w:val="231F20"/>
          <w:lang w:val="en-US"/>
        </w:rPr>
        <w:t xml:space="preserve"> </w:t>
      </w:r>
      <w:r>
        <w:rPr>
          <w:b/>
          <w:bCs/>
          <w:color w:val="231F20"/>
          <w:lang w:val="en-US"/>
        </w:rPr>
        <w:t>C.1</w:t>
      </w:r>
      <w:r w:rsidRPr="00032B1D">
        <w:rPr>
          <w:color w:val="231F20"/>
          <w:lang w:val="en-US"/>
        </w:rPr>
        <w:t>.</w:t>
      </w:r>
      <w:r w:rsidRPr="009255D5">
        <w:rPr>
          <w:lang w:val="en-US"/>
        </w:rPr>
        <w:t xml:space="preserve"> </w:t>
      </w:r>
      <w:r>
        <w:rPr>
          <w:lang w:val="en-US"/>
        </w:rPr>
        <w:t>Scatterplot of residuals versus predicted values (a, b) and h</w:t>
      </w:r>
      <w:r w:rsidRPr="009255D5">
        <w:rPr>
          <w:lang w:val="en-US"/>
        </w:rPr>
        <w:t>istogram of the residuals (</w:t>
      </w:r>
      <w:r>
        <w:rPr>
          <w:lang w:val="en-US"/>
        </w:rPr>
        <w:t>c</w:t>
      </w:r>
      <w:r w:rsidRPr="009255D5">
        <w:rPr>
          <w:lang w:val="en-US"/>
        </w:rPr>
        <w:t xml:space="preserve">, </w:t>
      </w:r>
      <w:r>
        <w:rPr>
          <w:lang w:val="en-US"/>
        </w:rPr>
        <w:t>d</w:t>
      </w:r>
      <w:r w:rsidRPr="009255D5">
        <w:rPr>
          <w:lang w:val="en-US"/>
        </w:rPr>
        <w:t xml:space="preserve">) for the best models selected to predict </w:t>
      </w:r>
      <w:r>
        <w:rPr>
          <w:lang w:val="en-US"/>
        </w:rPr>
        <w:t>the effects of forest structure and climate in tree damage and mortality of the spatial analyses.</w:t>
      </w:r>
    </w:p>
    <w:p w14:paraId="5D4609AC" w14:textId="77777777" w:rsidR="004B1BAE" w:rsidRDefault="004B1BAE" w:rsidP="004B1BAE">
      <w:pPr>
        <w:pStyle w:val="Sinespaciado"/>
        <w:jc w:val="both"/>
        <w:rPr>
          <w:lang w:val="en-US"/>
        </w:rPr>
      </w:pPr>
    </w:p>
    <w:p w14:paraId="62EDE3D3" w14:textId="77777777" w:rsidR="004B1BAE" w:rsidRDefault="004B1BAE" w:rsidP="004B1BAE">
      <w:pPr>
        <w:rPr>
          <w:lang w:val="en-US"/>
        </w:rPr>
      </w:pPr>
      <w:r>
        <w:rPr>
          <w:lang w:val="en-US"/>
        </w:rPr>
        <w:br w:type="page"/>
      </w:r>
    </w:p>
    <w:p w14:paraId="5B49F569" w14:textId="77777777" w:rsidR="004B1BAE" w:rsidRDefault="004B1BAE" w:rsidP="004B1BAE">
      <w:pPr>
        <w:pStyle w:val="Sinespaciado"/>
        <w:jc w:val="both"/>
        <w:rPr>
          <w:lang w:val="en-US"/>
        </w:rPr>
      </w:pPr>
      <w:r>
        <w:rPr>
          <w:noProof/>
          <w:lang w:val="en-US"/>
        </w:rPr>
        <w:lastRenderedPageBreak/>
        <w:drawing>
          <wp:inline distT="0" distB="0" distL="0" distR="0" wp14:anchorId="50A8470E" wp14:editId="62BACB56">
            <wp:extent cx="5645150" cy="3777710"/>
            <wp:effectExtent l="0" t="0" r="0" b="0"/>
            <wp:docPr id="6" name="Imagen 6"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con confianza media"/>
                    <pic:cNvPicPr/>
                  </pic:nvPicPr>
                  <pic:blipFill rotWithShape="1">
                    <a:blip r:embed="rId13" cstate="print">
                      <a:extLst>
                        <a:ext uri="{28A0092B-C50C-407E-A947-70E740481C1C}">
                          <a14:useLocalDpi xmlns:a14="http://schemas.microsoft.com/office/drawing/2010/main" val="0"/>
                        </a:ext>
                      </a:extLst>
                    </a:blip>
                    <a:srcRect l="10818" t="10937" r="11689" b="11272"/>
                    <a:stretch/>
                  </pic:blipFill>
                  <pic:spPr bwMode="auto">
                    <a:xfrm>
                      <a:off x="0" y="0"/>
                      <a:ext cx="5668825" cy="3793553"/>
                    </a:xfrm>
                    <a:prstGeom prst="rect">
                      <a:avLst/>
                    </a:prstGeom>
                    <a:ln>
                      <a:noFill/>
                    </a:ln>
                    <a:extLst>
                      <a:ext uri="{53640926-AAD7-44D8-BBD7-CCE9431645EC}">
                        <a14:shadowObscured xmlns:a14="http://schemas.microsoft.com/office/drawing/2010/main"/>
                      </a:ext>
                    </a:extLst>
                  </pic:spPr>
                </pic:pic>
              </a:graphicData>
            </a:graphic>
          </wp:inline>
        </w:drawing>
      </w:r>
    </w:p>
    <w:p w14:paraId="3F589C3B" w14:textId="77777777" w:rsidR="004B1BAE" w:rsidRDefault="004B1BAE" w:rsidP="004B1BAE">
      <w:pPr>
        <w:pStyle w:val="Sinespaciado"/>
        <w:jc w:val="both"/>
        <w:rPr>
          <w:lang w:val="en-US"/>
        </w:rPr>
      </w:pPr>
      <w:r w:rsidRPr="00F06894">
        <w:rPr>
          <w:b/>
          <w:bCs/>
          <w:color w:val="231F20"/>
          <w:lang w:val="en-US"/>
        </w:rPr>
        <w:t>Fig</w:t>
      </w:r>
      <w:r>
        <w:rPr>
          <w:b/>
          <w:bCs/>
          <w:color w:val="231F20"/>
          <w:lang w:val="en-US"/>
        </w:rPr>
        <w:t>ure</w:t>
      </w:r>
      <w:r w:rsidRPr="00F06894">
        <w:rPr>
          <w:b/>
          <w:bCs/>
          <w:color w:val="231F20"/>
          <w:lang w:val="en-US"/>
        </w:rPr>
        <w:t xml:space="preserve"> </w:t>
      </w:r>
      <w:r>
        <w:rPr>
          <w:b/>
          <w:bCs/>
          <w:color w:val="231F20"/>
          <w:lang w:val="en-US"/>
        </w:rPr>
        <w:t>C.2</w:t>
      </w:r>
      <w:r w:rsidRPr="00032B1D">
        <w:rPr>
          <w:color w:val="231F20"/>
          <w:lang w:val="en-US"/>
        </w:rPr>
        <w:t>.</w:t>
      </w:r>
      <w:r w:rsidRPr="009255D5">
        <w:rPr>
          <w:lang w:val="en-US"/>
        </w:rPr>
        <w:t xml:space="preserve"> </w:t>
      </w:r>
      <w:r>
        <w:rPr>
          <w:lang w:val="en-US"/>
        </w:rPr>
        <w:t>Scatterplot of residuals versus predicted values (a, b, c, d) and h</w:t>
      </w:r>
      <w:r w:rsidRPr="009255D5">
        <w:rPr>
          <w:lang w:val="en-US"/>
        </w:rPr>
        <w:t>istogram of the residuals (</w:t>
      </w:r>
      <w:r>
        <w:rPr>
          <w:lang w:val="en-US"/>
        </w:rPr>
        <w:t>e, f, g, h</w:t>
      </w:r>
      <w:r w:rsidRPr="009255D5">
        <w:rPr>
          <w:lang w:val="en-US"/>
        </w:rPr>
        <w:t xml:space="preserve">) for the best </w:t>
      </w:r>
      <w:r>
        <w:rPr>
          <w:lang w:val="en-US"/>
        </w:rPr>
        <w:t xml:space="preserve">tree damage and mortality </w:t>
      </w:r>
      <w:r w:rsidRPr="009255D5">
        <w:rPr>
          <w:lang w:val="en-US"/>
        </w:rPr>
        <w:t xml:space="preserve">models </w:t>
      </w:r>
      <w:r>
        <w:rPr>
          <w:lang w:val="en-US"/>
        </w:rPr>
        <w:t>performed for 3 and 4SFI; 23SFI and 34SFI considering consecutive inventories from the Spanish Forest Inventory.</w:t>
      </w:r>
    </w:p>
    <w:p w14:paraId="5E8611B0" w14:textId="77777777" w:rsidR="00595A67" w:rsidRDefault="00595A67"/>
    <w:sectPr w:rsidR="00595A67" w:rsidSect="00F33810">
      <w:headerReference w:type="default" r:id="rId14"/>
      <w:footerReference w:type="default" r:id="rId15"/>
      <w:pgSz w:w="11906" w:h="16838"/>
      <w:pgMar w:top="1417" w:right="1701" w:bottom="1417" w:left="1701" w:header="708" w:footer="708"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73CE" w14:textId="77777777" w:rsidR="003B3621" w:rsidRDefault="003B3621">
      <w:pPr>
        <w:spacing w:after="0" w:line="240" w:lineRule="auto"/>
      </w:pPr>
      <w:r>
        <w:separator/>
      </w:r>
    </w:p>
  </w:endnote>
  <w:endnote w:type="continuationSeparator" w:id="0">
    <w:p w14:paraId="788E3042" w14:textId="77777777" w:rsidR="003B3621" w:rsidRDefault="003B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6F7B3DB5" w14:paraId="3CC61B62" w14:textId="77777777" w:rsidTr="6F7B3DB5">
      <w:trPr>
        <w:trHeight w:val="300"/>
      </w:trPr>
      <w:tc>
        <w:tcPr>
          <w:tcW w:w="2830" w:type="dxa"/>
        </w:tcPr>
        <w:p w14:paraId="7B56ADF3" w14:textId="77777777" w:rsidR="6F7B3DB5" w:rsidRDefault="00000000" w:rsidP="6F7B3DB5">
          <w:pPr>
            <w:pStyle w:val="Encabezado"/>
            <w:ind w:left="-115"/>
          </w:pPr>
        </w:p>
      </w:tc>
      <w:tc>
        <w:tcPr>
          <w:tcW w:w="2830" w:type="dxa"/>
        </w:tcPr>
        <w:p w14:paraId="475C462D" w14:textId="77777777" w:rsidR="6F7B3DB5" w:rsidRDefault="00000000" w:rsidP="6F7B3DB5">
          <w:pPr>
            <w:pStyle w:val="Encabezado"/>
            <w:jc w:val="center"/>
          </w:pPr>
        </w:p>
      </w:tc>
      <w:tc>
        <w:tcPr>
          <w:tcW w:w="2830" w:type="dxa"/>
        </w:tcPr>
        <w:p w14:paraId="39FD12C6" w14:textId="77777777" w:rsidR="6F7B3DB5" w:rsidRDefault="00000000" w:rsidP="6F7B3DB5">
          <w:pPr>
            <w:pStyle w:val="Encabezado"/>
            <w:ind w:right="-115"/>
            <w:jc w:val="right"/>
          </w:pPr>
        </w:p>
      </w:tc>
    </w:tr>
  </w:tbl>
  <w:p w14:paraId="17155632" w14:textId="77777777" w:rsidR="00E60E85"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9B81" w14:textId="77777777" w:rsidR="003B3621" w:rsidRDefault="003B3621">
      <w:pPr>
        <w:spacing w:after="0" w:line="240" w:lineRule="auto"/>
      </w:pPr>
      <w:r>
        <w:separator/>
      </w:r>
    </w:p>
  </w:footnote>
  <w:footnote w:type="continuationSeparator" w:id="0">
    <w:p w14:paraId="015A1D4E" w14:textId="77777777" w:rsidR="003B3621" w:rsidRDefault="003B3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6F7B3DB5" w14:paraId="6BCA4F3C" w14:textId="77777777" w:rsidTr="6F7B3DB5">
      <w:trPr>
        <w:trHeight w:val="300"/>
      </w:trPr>
      <w:tc>
        <w:tcPr>
          <w:tcW w:w="2830" w:type="dxa"/>
        </w:tcPr>
        <w:p w14:paraId="3317879F" w14:textId="77777777" w:rsidR="6F7B3DB5" w:rsidRDefault="00000000" w:rsidP="6F7B3DB5">
          <w:pPr>
            <w:pStyle w:val="Encabezado"/>
            <w:ind w:left="-115"/>
          </w:pPr>
        </w:p>
      </w:tc>
      <w:tc>
        <w:tcPr>
          <w:tcW w:w="2830" w:type="dxa"/>
        </w:tcPr>
        <w:p w14:paraId="28BAAF63" w14:textId="77777777" w:rsidR="6F7B3DB5" w:rsidRDefault="00000000" w:rsidP="6F7B3DB5">
          <w:pPr>
            <w:pStyle w:val="Encabezado"/>
            <w:jc w:val="center"/>
          </w:pPr>
        </w:p>
      </w:tc>
      <w:tc>
        <w:tcPr>
          <w:tcW w:w="2830" w:type="dxa"/>
        </w:tcPr>
        <w:p w14:paraId="1CE72D87" w14:textId="77777777" w:rsidR="6F7B3DB5" w:rsidRDefault="00000000" w:rsidP="6F7B3DB5">
          <w:pPr>
            <w:pStyle w:val="Encabezado"/>
            <w:ind w:right="-115"/>
            <w:jc w:val="right"/>
          </w:pPr>
        </w:p>
      </w:tc>
    </w:tr>
  </w:tbl>
  <w:p w14:paraId="4B4E9DAB" w14:textId="77777777" w:rsidR="00E60E85" w:rsidRDefault="0000000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AE"/>
    <w:rsid w:val="00021FA5"/>
    <w:rsid w:val="000B15D9"/>
    <w:rsid w:val="00293FC0"/>
    <w:rsid w:val="003B3621"/>
    <w:rsid w:val="004B1BAE"/>
    <w:rsid w:val="00595A67"/>
    <w:rsid w:val="009A59E9"/>
    <w:rsid w:val="00EB58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2729"/>
  <w15:chartTrackingRefBased/>
  <w15:docId w15:val="{FFB39EB4-AF5D-44F0-937D-C20E3D15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AE"/>
    <w:rPr>
      <w:rFonts w:eastAsia="Times New Roman"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0"/>
    <w:qFormat/>
    <w:rsid w:val="004B1BAE"/>
    <w:rPr>
      <w:rFonts w:eastAsia="Times New Roman" w:cs="Times New Roman"/>
      <w:szCs w:val="24"/>
      <w:lang w:eastAsia="es-ES"/>
    </w:rPr>
  </w:style>
  <w:style w:type="paragraph" w:styleId="Sinespaciado">
    <w:name w:val="No Spacing"/>
    <w:uiPriority w:val="1"/>
    <w:qFormat/>
    <w:rsid w:val="004B1BAE"/>
    <w:pPr>
      <w:spacing w:after="0" w:line="240" w:lineRule="auto"/>
    </w:pPr>
    <w:rPr>
      <w:rFonts w:eastAsia="Times New Roman" w:cs="Times New Roman"/>
      <w:szCs w:val="24"/>
      <w:lang w:eastAsia="es-ES"/>
    </w:rPr>
  </w:style>
  <w:style w:type="character" w:styleId="Hipervnculo">
    <w:name w:val="Hyperlink"/>
    <w:basedOn w:val="Fuentedeprrafopredeter"/>
    <w:uiPriority w:val="99"/>
    <w:unhideWhenUsed/>
    <w:rsid w:val="004B1BAE"/>
    <w:rPr>
      <w:color w:val="0563C1" w:themeColor="hyperlink"/>
      <w:u w:val="single"/>
    </w:rPr>
  </w:style>
  <w:style w:type="paragraph" w:styleId="Encabezado">
    <w:name w:val="header"/>
    <w:basedOn w:val="Normal"/>
    <w:link w:val="EncabezadoCar"/>
    <w:uiPriority w:val="99"/>
    <w:unhideWhenUsed/>
    <w:rsid w:val="004B1B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1BAE"/>
    <w:rPr>
      <w:rFonts w:eastAsia="Times New Roman" w:cs="Times New Roman"/>
      <w:szCs w:val="24"/>
      <w:lang w:eastAsia="es-ES"/>
    </w:rPr>
  </w:style>
  <w:style w:type="paragraph" w:styleId="Piedepgina">
    <w:name w:val="footer"/>
    <w:basedOn w:val="Normal"/>
    <w:link w:val="PiedepginaCar"/>
    <w:uiPriority w:val="99"/>
    <w:unhideWhenUsed/>
    <w:rsid w:val="004B1B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1BAE"/>
    <w:rPr>
      <w:rFonts w:eastAsia="Times New Roman" w:cs="Times New Roman"/>
      <w:szCs w:val="24"/>
      <w:lang w:eastAsia="es-ES"/>
    </w:rPr>
  </w:style>
  <w:style w:type="character" w:styleId="Nmerodelnea">
    <w:name w:val="line number"/>
    <w:basedOn w:val="Fuentedeprrafopredeter"/>
    <w:uiPriority w:val="99"/>
    <w:semiHidden/>
    <w:unhideWhenUsed/>
    <w:rsid w:val="004B1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rebollo@ucm.es"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389</Words>
  <Characters>2143</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Rebollo Orozco Pedro</dc:creator>
  <cp:keywords/>
  <dc:description/>
  <cp:lastModifiedBy>Rebollo Orozco Pedro</cp:lastModifiedBy>
  <cp:revision>4</cp:revision>
  <dcterms:created xsi:type="dcterms:W3CDTF">2023-01-30T12:55:00Z</dcterms:created>
  <dcterms:modified xsi:type="dcterms:W3CDTF">2023-01-30T14:32:00Z</dcterms:modified>
</cp:coreProperties>
</file>