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C195" w14:textId="6841ACF1"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The procedure for </w:t>
      </w:r>
      <w:r w:rsidR="00BC76F7">
        <w:rPr>
          <w:rFonts w:ascii="游明朝" w:eastAsia="游明朝" w:hAnsi="游明朝" w:cs="游明朝"/>
        </w:rPr>
        <w:t>the h</w:t>
      </w:r>
      <w:r>
        <w:rPr>
          <w:rFonts w:ascii="游明朝" w:eastAsia="游明朝" w:hAnsi="游明朝" w:cs="游明朝"/>
        </w:rPr>
        <w:t>and-</w:t>
      </w:r>
      <w:r w:rsidR="00BC76F7">
        <w:rPr>
          <w:rFonts w:ascii="游明朝" w:eastAsia="游明朝" w:hAnsi="游明朝" w:cs="游明朝"/>
        </w:rPr>
        <w:t>f</w:t>
      </w:r>
      <w:r>
        <w:rPr>
          <w:rFonts w:ascii="游明朝" w:eastAsia="游明朝" w:hAnsi="游明朝" w:cs="游明朝"/>
        </w:rPr>
        <w:t xml:space="preserve">oot </w:t>
      </w:r>
      <w:r w:rsidR="00BC76F7">
        <w:rPr>
          <w:rFonts w:ascii="游明朝" w:eastAsia="游明朝" w:hAnsi="游明朝" w:cs="游明朝"/>
        </w:rPr>
        <w:t>s</w:t>
      </w:r>
      <w:r>
        <w:rPr>
          <w:rFonts w:ascii="游明朝" w:eastAsia="游明朝" w:hAnsi="游明朝" w:cs="游明朝"/>
        </w:rPr>
        <w:t xml:space="preserve">yndrome </w:t>
      </w:r>
      <w:r w:rsidR="00BC76F7">
        <w:rPr>
          <w:rFonts w:ascii="游明朝" w:eastAsia="游明朝" w:hAnsi="游明朝" w:cs="游明朝"/>
        </w:rPr>
        <w:t>(HFS)</w:t>
      </w:r>
    </w:p>
    <w:p w14:paraId="77DA40B3" w14:textId="35F69668" w:rsidR="006B66D5" w:rsidRDefault="006B66D5" w:rsidP="000814B7">
      <w:pPr>
        <w:spacing w:line="480" w:lineRule="auto"/>
      </w:pPr>
    </w:p>
    <w:p w14:paraId="0AF10F7D"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Purpose</w:t>
      </w:r>
    </w:p>
    <w:p w14:paraId="5CEBD6A5" w14:textId="417947A7" w:rsidR="006B66D5" w:rsidRDefault="00BC76F7" w:rsidP="000814B7">
      <w:pPr>
        <w:spacing w:line="480" w:lineRule="auto"/>
        <w:ind w:firstLine="105"/>
        <w:rPr>
          <w:rFonts w:ascii="游明朝" w:eastAsia="游明朝" w:hAnsi="游明朝" w:cs="游明朝"/>
        </w:rPr>
      </w:pPr>
      <w:r>
        <w:rPr>
          <w:rFonts w:ascii="游明朝" w:eastAsia="游明朝" w:hAnsi="游明朝" w:cs="游明朝"/>
        </w:rPr>
        <w:t xml:space="preserve">The </w:t>
      </w:r>
      <w:r w:rsidR="001A1285">
        <w:rPr>
          <w:rFonts w:ascii="游明朝" w:eastAsia="游明朝" w:hAnsi="游明朝" w:cs="游明朝"/>
        </w:rPr>
        <w:t xml:space="preserve">HFS is a side effect of anticancer chemotherapy that reduces the quality of life (QOL) of patients undergoing chemotherapy. HFS is a skin disorder that appears specifically in the hands and feet, and its main symptoms include numbness, pain, skin redness, keratinization, blisters, and desquamation. Vinorelbine, docetaxel, capecitabine, and molecular target agents, such as regorafenib, sorafenib, and sunitinib, have been reported as causative agents [1-3]. The time of onset of HFS differs depending on the anticancer agent; however, it </w:t>
      </w:r>
      <w:r>
        <w:rPr>
          <w:rFonts w:ascii="游明朝" w:eastAsia="游明朝" w:hAnsi="游明朝" w:cs="游明朝"/>
        </w:rPr>
        <w:t xml:space="preserve">frequently </w:t>
      </w:r>
      <w:r w:rsidR="001A1285">
        <w:rPr>
          <w:rFonts w:ascii="游明朝" w:eastAsia="游明朝" w:hAnsi="游明朝" w:cs="游明朝"/>
        </w:rPr>
        <w:t xml:space="preserve">appears several weeks after the start of chemotherapy, and the symptoms continue with the use of the causative drug. </w:t>
      </w:r>
      <w:r>
        <w:rPr>
          <w:rFonts w:ascii="游明朝" w:eastAsia="游明朝" w:hAnsi="游明朝" w:cs="游明朝"/>
        </w:rPr>
        <w:t xml:space="preserve">In addition, </w:t>
      </w:r>
      <w:r w:rsidR="001A1285">
        <w:rPr>
          <w:rFonts w:ascii="游明朝" w:eastAsia="游明朝" w:hAnsi="游明朝" w:cs="游明朝"/>
        </w:rPr>
        <w:t xml:space="preserve">HFS causes treatment delays, interruptions, and poor medication adherence. Capecitabine is an oral anticancer agent administered for both adjuvant and advanced recurrence chemotherapy in </w:t>
      </w:r>
      <w:r>
        <w:rPr>
          <w:rFonts w:ascii="游明朝" w:eastAsia="游明朝" w:hAnsi="游明朝" w:cs="游明朝"/>
        </w:rPr>
        <w:t xml:space="preserve">patients with </w:t>
      </w:r>
      <w:r w:rsidR="001A1285">
        <w:rPr>
          <w:rFonts w:ascii="游明朝" w:eastAsia="游明朝" w:hAnsi="游明朝" w:cs="游明朝"/>
        </w:rPr>
        <w:t xml:space="preserve">colorectal cancer. As it can be treated on an outpatient basis, it is widely used as a key drug and is recommended by guidelines as a global standard treatment [4]. The incidence of capecitabine-induced HFS </w:t>
      </w:r>
      <w:r>
        <w:rPr>
          <w:rFonts w:ascii="游明朝" w:eastAsia="游明朝" w:hAnsi="游明朝" w:cs="游明朝"/>
        </w:rPr>
        <w:t xml:space="preserve">ranges </w:t>
      </w:r>
      <w:r w:rsidR="001A1285">
        <w:rPr>
          <w:rFonts w:ascii="游明朝" w:eastAsia="游明朝" w:hAnsi="游明朝" w:cs="游明朝"/>
        </w:rPr>
        <w:t>from 30</w:t>
      </w:r>
      <w:r>
        <w:rPr>
          <w:rFonts w:ascii="游明朝" w:eastAsia="游明朝" w:hAnsi="游明朝" w:cs="游明朝"/>
        </w:rPr>
        <w:t>%</w:t>
      </w:r>
      <w:r w:rsidR="001A1285">
        <w:rPr>
          <w:rFonts w:ascii="游明朝" w:eastAsia="游明朝" w:hAnsi="游明朝" w:cs="游明朝"/>
        </w:rPr>
        <w:t xml:space="preserve"> to 80% in all grades of colorectal cancer in randomized controlled trials [5-7]. Management of capecitabine-induced HFS is </w:t>
      </w:r>
      <w:r>
        <w:rPr>
          <w:rFonts w:ascii="游明朝" w:eastAsia="游明朝" w:hAnsi="游明朝" w:cs="游明朝"/>
        </w:rPr>
        <w:t xml:space="preserve">frequently </w:t>
      </w:r>
      <w:r w:rsidR="001A1285">
        <w:rPr>
          <w:rFonts w:ascii="游明朝" w:eastAsia="游明朝" w:hAnsi="游明朝" w:cs="游明朝"/>
        </w:rPr>
        <w:t xml:space="preserve">difficult, and it has been reported that the frequency of occurrence is &gt; 90% in the real world (survey on capecitabine + </w:t>
      </w:r>
      <w:r w:rsidR="001A1285">
        <w:rPr>
          <w:rFonts w:ascii="游明朝" w:eastAsia="游明朝" w:hAnsi="游明朝" w:cs="游明朝"/>
        </w:rPr>
        <w:lastRenderedPageBreak/>
        <w:t xml:space="preserve">oxaliplatin combination therapy) [8]. Grade 2 or higher HFS can be associated with swelling, blistering, desquamation, and ulceration, which may </w:t>
      </w:r>
      <w:r>
        <w:rPr>
          <w:rFonts w:ascii="游明朝" w:eastAsia="游明朝" w:hAnsi="游明朝" w:cs="游明朝"/>
        </w:rPr>
        <w:t>cause</w:t>
      </w:r>
      <w:r w:rsidRPr="00BC76F7">
        <w:rPr>
          <w:rFonts w:ascii="游明朝" w:eastAsia="游明朝" w:hAnsi="游明朝" w:cs="游明朝"/>
        </w:rPr>
        <w:t xml:space="preserve"> </w:t>
      </w:r>
      <w:r>
        <w:rPr>
          <w:rFonts w:ascii="游明朝" w:eastAsia="游明朝" w:hAnsi="游明朝" w:cs="游明朝"/>
        </w:rPr>
        <w:t xml:space="preserve">chemotherapy </w:t>
      </w:r>
      <w:r w:rsidR="001A1285">
        <w:rPr>
          <w:rFonts w:ascii="游明朝" w:eastAsia="游明朝" w:hAnsi="游明朝" w:cs="游明朝"/>
        </w:rPr>
        <w:t xml:space="preserve">to </w:t>
      </w:r>
      <w:r>
        <w:rPr>
          <w:rFonts w:ascii="游明朝" w:eastAsia="游明朝" w:hAnsi="游明朝" w:cs="游明朝"/>
        </w:rPr>
        <w:t>be</w:t>
      </w:r>
      <w:r w:rsidR="001A1285">
        <w:rPr>
          <w:rFonts w:ascii="游明朝" w:eastAsia="游明朝" w:hAnsi="游明朝" w:cs="游明朝"/>
        </w:rPr>
        <w:t xml:space="preserve"> delay</w:t>
      </w:r>
      <w:r>
        <w:rPr>
          <w:rFonts w:ascii="游明朝" w:eastAsia="游明朝" w:hAnsi="游明朝" w:cs="游明朝"/>
        </w:rPr>
        <w:t>ed</w:t>
      </w:r>
      <w:r w:rsidR="001A1285">
        <w:rPr>
          <w:rFonts w:ascii="游明朝" w:eastAsia="游明朝" w:hAnsi="游明朝" w:cs="游明朝"/>
        </w:rPr>
        <w:t xml:space="preserve"> </w:t>
      </w:r>
      <w:r w:rsidR="00D135E7">
        <w:rPr>
          <w:rFonts w:ascii="游明朝" w:eastAsia="游明朝" w:hAnsi="游明朝" w:cs="游明朝"/>
        </w:rPr>
        <w:t xml:space="preserve">or </w:t>
      </w:r>
      <w:r w:rsidR="001A1285">
        <w:rPr>
          <w:rFonts w:ascii="游明朝" w:eastAsia="游明朝" w:hAnsi="游明朝" w:cs="游明朝"/>
        </w:rPr>
        <w:t>discontinu</w:t>
      </w:r>
      <w:r>
        <w:rPr>
          <w:rFonts w:ascii="游明朝" w:eastAsia="游明朝" w:hAnsi="游明朝" w:cs="游明朝"/>
        </w:rPr>
        <w:t>ed</w:t>
      </w:r>
      <w:r w:rsidR="001A1285">
        <w:rPr>
          <w:rFonts w:ascii="游明朝" w:eastAsia="游明朝" w:hAnsi="游明朝" w:cs="游明朝"/>
        </w:rPr>
        <w:t>. Currently, as supportive care for capecitabine-induced HFS, avoidance of physical stimuli and moisturizing [9-11] are recommended as standard treatments. There are reports examining the effects of topical agents</w:t>
      </w:r>
      <w:r w:rsidR="00D135E7">
        <w:rPr>
          <w:rFonts w:ascii="游明朝" w:eastAsia="游明朝" w:hAnsi="游明朝" w:cs="游明朝"/>
        </w:rPr>
        <w:t>,</w:t>
      </w:r>
      <w:r w:rsidR="001A1285">
        <w:rPr>
          <w:rFonts w:ascii="游明朝" w:eastAsia="游明朝" w:hAnsi="游明朝" w:cs="游明朝"/>
        </w:rPr>
        <w:t xml:space="preserve"> </w:t>
      </w:r>
      <w:r w:rsidR="00D135E7">
        <w:rPr>
          <w:rFonts w:ascii="游明朝" w:eastAsia="游明朝" w:hAnsi="游明朝" w:cs="游明朝"/>
        </w:rPr>
        <w:t>including</w:t>
      </w:r>
      <w:r w:rsidR="001A1285">
        <w:rPr>
          <w:rFonts w:ascii="游明朝" w:eastAsia="游明朝" w:hAnsi="游明朝" w:cs="游明朝"/>
        </w:rPr>
        <w:t xml:space="preserve"> exfoliants [12,13], celecoxib [14,15], and oral drugs</w:t>
      </w:r>
      <w:r w:rsidR="00D135E7">
        <w:rPr>
          <w:rFonts w:ascii="游明朝" w:eastAsia="游明朝" w:hAnsi="游明朝" w:cs="游明朝"/>
        </w:rPr>
        <w:t>,</w:t>
      </w:r>
      <w:r w:rsidR="001A1285">
        <w:rPr>
          <w:rFonts w:ascii="游明朝" w:eastAsia="游明朝" w:hAnsi="游明朝" w:cs="游明朝"/>
        </w:rPr>
        <w:t xml:space="preserve"> such as pyridoxine [16]</w:t>
      </w:r>
      <w:r w:rsidR="00D135E7">
        <w:rPr>
          <w:rFonts w:ascii="游明朝" w:eastAsia="游明朝" w:hAnsi="游明朝" w:cs="游明朝"/>
        </w:rPr>
        <w:t>. However,</w:t>
      </w:r>
      <w:r w:rsidR="001A1285">
        <w:rPr>
          <w:rFonts w:ascii="游明朝" w:eastAsia="游明朝" w:hAnsi="游明朝" w:cs="游明朝"/>
        </w:rPr>
        <w:t xml:space="preserve"> no high-evidence-level reports</w:t>
      </w:r>
      <w:r w:rsidR="00D135E7">
        <w:rPr>
          <w:rFonts w:ascii="游明朝" w:eastAsia="游明朝" w:hAnsi="游明朝" w:cs="游明朝"/>
        </w:rPr>
        <w:t xml:space="preserve"> exist</w:t>
      </w:r>
      <w:r w:rsidR="001A1285">
        <w:rPr>
          <w:rFonts w:ascii="游明朝" w:eastAsia="游明朝" w:hAnsi="游明朝" w:cs="游明朝"/>
        </w:rPr>
        <w:t xml:space="preserve"> on the prevention of HFS. Therefore, the only definite improvement in capecitabine-induced HFS is dose reduction and withdrawal [17]. Inhibition of skin basal cell proliferation, drug secretion from eccrine sweat glands, and drug degradation products have been suggested as the mechanisms of HFS development</w:t>
      </w:r>
      <w:r w:rsidR="00D135E7">
        <w:rPr>
          <w:rFonts w:ascii="游明朝" w:eastAsia="游明朝" w:hAnsi="游明朝" w:cs="游明朝"/>
        </w:rPr>
        <w:t>; however,</w:t>
      </w:r>
      <w:r w:rsidR="001A1285">
        <w:rPr>
          <w:rFonts w:ascii="游明朝" w:eastAsia="游明朝" w:hAnsi="游明朝" w:cs="游明朝"/>
        </w:rPr>
        <w:t xml:space="preserve"> this has not been fully elucidated [18,19] (Table 1).</w:t>
      </w:r>
    </w:p>
    <w:p w14:paraId="5CFD9430" w14:textId="77777777" w:rsidR="006B66D5" w:rsidRDefault="006B66D5" w:rsidP="000814B7">
      <w:pPr>
        <w:spacing w:line="480" w:lineRule="auto"/>
      </w:pPr>
    </w:p>
    <w:p w14:paraId="072AF04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Table 1. Summary for clinical evidence of supportive care for HFS</w:t>
      </w:r>
    </w:p>
    <w:tbl>
      <w:tblPr>
        <w:tblW w:w="0" w:type="auto"/>
        <w:tblCellMar>
          <w:left w:w="0" w:type="dxa"/>
          <w:right w:w="0" w:type="dxa"/>
        </w:tblCellMar>
        <w:tblLook w:val="0000" w:firstRow="0" w:lastRow="0" w:firstColumn="0" w:lastColumn="0" w:noHBand="0" w:noVBand="0"/>
      </w:tblPr>
      <w:tblGrid>
        <w:gridCol w:w="586"/>
        <w:gridCol w:w="413"/>
        <w:gridCol w:w="726"/>
        <w:gridCol w:w="597"/>
        <w:gridCol w:w="764"/>
        <w:gridCol w:w="718"/>
        <w:gridCol w:w="726"/>
        <w:gridCol w:w="449"/>
        <w:gridCol w:w="726"/>
        <w:gridCol w:w="449"/>
        <w:gridCol w:w="726"/>
        <w:gridCol w:w="449"/>
        <w:gridCol w:w="726"/>
        <w:gridCol w:w="449"/>
      </w:tblGrid>
      <w:tr w:rsidR="00BC5D82" w14:paraId="66C629F5" w14:textId="77777777" w:rsidTr="00D22F27">
        <w:trPr>
          <w:trHeight w:val="865"/>
        </w:trPr>
        <w:tc>
          <w:tcPr>
            <w:tcW w:w="579" w:type="dxa"/>
            <w:tcBorders>
              <w:top w:val="single" w:sz="8" w:space="0" w:color="000000"/>
              <w:left w:val="nil"/>
              <w:bottom w:val="nil"/>
              <w:right w:val="nil"/>
            </w:tcBorders>
            <w:shd w:val="clear" w:color="auto" w:fill="auto"/>
          </w:tcPr>
          <w:p w14:paraId="154F6F90" w14:textId="77777777" w:rsidR="006B66D5" w:rsidRDefault="006B66D5" w:rsidP="000814B7">
            <w:pPr>
              <w:spacing w:line="480" w:lineRule="auto"/>
            </w:pPr>
          </w:p>
        </w:tc>
        <w:tc>
          <w:tcPr>
            <w:tcW w:w="408" w:type="dxa"/>
            <w:tcBorders>
              <w:top w:val="single" w:sz="8" w:space="0" w:color="000000"/>
              <w:left w:val="nil"/>
              <w:bottom w:val="nil"/>
              <w:right w:val="nil"/>
            </w:tcBorders>
            <w:shd w:val="clear" w:color="auto" w:fill="auto"/>
          </w:tcPr>
          <w:p w14:paraId="2377B684" w14:textId="77777777" w:rsidR="006B66D5" w:rsidRDefault="006B66D5" w:rsidP="000814B7">
            <w:pPr>
              <w:spacing w:line="480" w:lineRule="auto"/>
            </w:pPr>
          </w:p>
        </w:tc>
        <w:tc>
          <w:tcPr>
            <w:tcW w:w="718" w:type="dxa"/>
            <w:tcBorders>
              <w:top w:val="single" w:sz="8" w:space="0" w:color="000000"/>
              <w:left w:val="nil"/>
              <w:bottom w:val="nil"/>
              <w:right w:val="nil"/>
            </w:tcBorders>
            <w:shd w:val="clear" w:color="auto" w:fill="auto"/>
          </w:tcPr>
          <w:p w14:paraId="42A19934" w14:textId="77777777" w:rsidR="006B66D5" w:rsidRDefault="006B66D5" w:rsidP="000814B7">
            <w:pPr>
              <w:spacing w:line="480" w:lineRule="auto"/>
            </w:pPr>
          </w:p>
        </w:tc>
        <w:tc>
          <w:tcPr>
            <w:tcW w:w="591" w:type="dxa"/>
            <w:tcBorders>
              <w:top w:val="single" w:sz="8" w:space="0" w:color="000000"/>
              <w:left w:val="nil"/>
              <w:bottom w:val="nil"/>
              <w:right w:val="nil"/>
            </w:tcBorders>
            <w:shd w:val="clear" w:color="auto" w:fill="auto"/>
          </w:tcPr>
          <w:p w14:paraId="4C7F4305" w14:textId="77777777" w:rsidR="006B66D5" w:rsidRDefault="006B66D5" w:rsidP="000814B7">
            <w:pPr>
              <w:spacing w:line="480" w:lineRule="auto"/>
            </w:pPr>
          </w:p>
        </w:tc>
        <w:tc>
          <w:tcPr>
            <w:tcW w:w="842" w:type="dxa"/>
            <w:tcBorders>
              <w:top w:val="single" w:sz="8" w:space="0" w:color="000000"/>
              <w:left w:val="nil"/>
              <w:bottom w:val="nil"/>
              <w:right w:val="nil"/>
            </w:tcBorders>
            <w:shd w:val="clear" w:color="auto" w:fill="auto"/>
          </w:tcPr>
          <w:p w14:paraId="493AFC92" w14:textId="77777777" w:rsidR="006B66D5" w:rsidRDefault="006B66D5" w:rsidP="000814B7">
            <w:pPr>
              <w:spacing w:line="480" w:lineRule="auto"/>
            </w:pPr>
          </w:p>
        </w:tc>
        <w:tc>
          <w:tcPr>
            <w:tcW w:w="710" w:type="dxa"/>
            <w:tcBorders>
              <w:top w:val="single" w:sz="8" w:space="0" w:color="000000"/>
              <w:left w:val="nil"/>
              <w:bottom w:val="nil"/>
              <w:right w:val="nil"/>
            </w:tcBorders>
            <w:shd w:val="clear" w:color="auto" w:fill="auto"/>
          </w:tcPr>
          <w:p w14:paraId="76F83A23" w14:textId="77777777" w:rsidR="006B66D5" w:rsidRDefault="006B66D5" w:rsidP="000814B7">
            <w:pPr>
              <w:spacing w:line="480" w:lineRule="auto"/>
            </w:pPr>
          </w:p>
        </w:tc>
        <w:tc>
          <w:tcPr>
            <w:tcW w:w="719" w:type="dxa"/>
            <w:tcBorders>
              <w:top w:val="single" w:sz="8" w:space="0" w:color="000000"/>
              <w:left w:val="nil"/>
              <w:bottom w:val="nil"/>
              <w:right w:val="nil"/>
            </w:tcBorders>
            <w:shd w:val="clear" w:color="auto" w:fill="auto"/>
          </w:tcPr>
          <w:p w14:paraId="2BDB4D66" w14:textId="77777777" w:rsidR="006B66D5" w:rsidRDefault="006B66D5" w:rsidP="000814B7">
            <w:pPr>
              <w:spacing w:line="480" w:lineRule="auto"/>
            </w:pPr>
          </w:p>
        </w:tc>
        <w:tc>
          <w:tcPr>
            <w:tcW w:w="445" w:type="dxa"/>
            <w:tcBorders>
              <w:top w:val="single" w:sz="8" w:space="0" w:color="000000"/>
              <w:left w:val="nil"/>
              <w:bottom w:val="nil"/>
              <w:right w:val="nil"/>
            </w:tcBorders>
            <w:shd w:val="clear" w:color="auto" w:fill="auto"/>
          </w:tcPr>
          <w:p w14:paraId="1734FF20" w14:textId="77777777" w:rsidR="006B66D5" w:rsidRDefault="006B66D5" w:rsidP="000814B7">
            <w:pPr>
              <w:spacing w:line="480" w:lineRule="auto"/>
            </w:pPr>
          </w:p>
        </w:tc>
        <w:tc>
          <w:tcPr>
            <w:tcW w:w="1164" w:type="dxa"/>
            <w:gridSpan w:val="2"/>
            <w:tcBorders>
              <w:top w:val="single" w:sz="8" w:space="0" w:color="000000"/>
              <w:left w:val="nil"/>
              <w:bottom w:val="single" w:sz="8" w:space="0" w:color="000000"/>
              <w:right w:val="nil"/>
            </w:tcBorders>
            <w:shd w:val="clear" w:color="auto" w:fill="auto"/>
            <w:vAlign w:val="center"/>
          </w:tcPr>
          <w:p w14:paraId="672C2386" w14:textId="364FCBAC" w:rsidR="006B66D5" w:rsidRDefault="001A1285" w:rsidP="000814B7">
            <w:pPr>
              <w:spacing w:line="480" w:lineRule="auto"/>
              <w:rPr>
                <w:rFonts w:ascii="游明朝" w:eastAsia="游明朝" w:hAnsi="游明朝" w:cs="游明朝"/>
                <w:b/>
              </w:rPr>
            </w:pPr>
            <w:r>
              <w:rPr>
                <w:rFonts w:ascii="游明朝" w:eastAsia="游明朝" w:hAnsi="游明朝" w:cs="游明朝"/>
                <w:b/>
              </w:rPr>
              <w:t>The incidence rate of HFS (any grade)</w:t>
            </w:r>
          </w:p>
        </w:tc>
        <w:tc>
          <w:tcPr>
            <w:tcW w:w="1164" w:type="dxa"/>
            <w:gridSpan w:val="2"/>
            <w:tcBorders>
              <w:top w:val="single" w:sz="8" w:space="0" w:color="000000"/>
              <w:left w:val="nil"/>
              <w:bottom w:val="single" w:sz="8" w:space="0" w:color="000000"/>
              <w:right w:val="nil"/>
            </w:tcBorders>
            <w:shd w:val="clear" w:color="auto" w:fill="auto"/>
            <w:vAlign w:val="center"/>
          </w:tcPr>
          <w:p w14:paraId="235BAEA9" w14:textId="0E6D9BD4" w:rsidR="006B66D5" w:rsidRDefault="001A1285" w:rsidP="000814B7">
            <w:pPr>
              <w:spacing w:line="480" w:lineRule="auto"/>
              <w:rPr>
                <w:rFonts w:ascii="游明朝" w:eastAsia="游明朝" w:hAnsi="游明朝" w:cs="游明朝"/>
                <w:b/>
              </w:rPr>
            </w:pPr>
            <w:r>
              <w:rPr>
                <w:rFonts w:ascii="游明朝" w:eastAsia="游明朝" w:hAnsi="游明朝" w:cs="游明朝"/>
                <w:b/>
              </w:rPr>
              <w:t>The incidence rate of HFS (grade2+3)</w:t>
            </w:r>
          </w:p>
        </w:tc>
        <w:tc>
          <w:tcPr>
            <w:tcW w:w="1164" w:type="dxa"/>
            <w:gridSpan w:val="2"/>
            <w:tcBorders>
              <w:top w:val="single" w:sz="8" w:space="0" w:color="000000"/>
              <w:left w:val="nil"/>
              <w:bottom w:val="single" w:sz="8" w:space="0" w:color="000000"/>
              <w:right w:val="nil"/>
            </w:tcBorders>
            <w:shd w:val="clear" w:color="auto" w:fill="auto"/>
            <w:vAlign w:val="center"/>
          </w:tcPr>
          <w:p w14:paraId="0F486137" w14:textId="7B98293F" w:rsidR="006B66D5" w:rsidRDefault="001A1285" w:rsidP="000814B7">
            <w:pPr>
              <w:spacing w:line="480" w:lineRule="auto"/>
              <w:rPr>
                <w:rFonts w:ascii="游明朝" w:eastAsia="游明朝" w:hAnsi="游明朝" w:cs="游明朝"/>
                <w:b/>
              </w:rPr>
            </w:pPr>
            <w:r>
              <w:rPr>
                <w:rFonts w:ascii="游明朝" w:eastAsia="游明朝" w:hAnsi="游明朝" w:cs="游明朝"/>
                <w:b/>
              </w:rPr>
              <w:t>The incidence rate of HFS (≥grade. 3)</w:t>
            </w:r>
          </w:p>
        </w:tc>
      </w:tr>
      <w:tr w:rsidR="00BC5D82" w14:paraId="5416DA39" w14:textId="77777777" w:rsidTr="00D22F27">
        <w:trPr>
          <w:trHeight w:val="366"/>
        </w:trPr>
        <w:tc>
          <w:tcPr>
            <w:tcW w:w="579" w:type="dxa"/>
            <w:tcBorders>
              <w:top w:val="nil"/>
              <w:left w:val="nil"/>
              <w:bottom w:val="nil"/>
              <w:right w:val="nil"/>
            </w:tcBorders>
            <w:shd w:val="clear" w:color="auto" w:fill="auto"/>
          </w:tcPr>
          <w:p w14:paraId="5B4497EF" w14:textId="77777777" w:rsidR="006B66D5" w:rsidRDefault="006B66D5" w:rsidP="000814B7">
            <w:pPr>
              <w:spacing w:line="480" w:lineRule="auto"/>
            </w:pPr>
          </w:p>
        </w:tc>
        <w:tc>
          <w:tcPr>
            <w:tcW w:w="408" w:type="dxa"/>
            <w:tcBorders>
              <w:top w:val="nil"/>
              <w:left w:val="nil"/>
              <w:bottom w:val="nil"/>
              <w:right w:val="nil"/>
            </w:tcBorders>
            <w:shd w:val="clear" w:color="auto" w:fill="auto"/>
          </w:tcPr>
          <w:p w14:paraId="7185964B" w14:textId="77777777" w:rsidR="006B66D5" w:rsidRDefault="006B66D5" w:rsidP="000814B7">
            <w:pPr>
              <w:spacing w:line="480" w:lineRule="auto"/>
            </w:pPr>
          </w:p>
        </w:tc>
        <w:tc>
          <w:tcPr>
            <w:tcW w:w="718" w:type="dxa"/>
            <w:tcBorders>
              <w:top w:val="nil"/>
              <w:left w:val="nil"/>
              <w:bottom w:val="nil"/>
              <w:right w:val="nil"/>
            </w:tcBorders>
            <w:shd w:val="clear" w:color="auto" w:fill="auto"/>
          </w:tcPr>
          <w:p w14:paraId="2CE3BFB9" w14:textId="77777777" w:rsidR="006B66D5" w:rsidRDefault="006B66D5" w:rsidP="000814B7">
            <w:pPr>
              <w:spacing w:line="480" w:lineRule="auto"/>
            </w:pPr>
          </w:p>
        </w:tc>
        <w:tc>
          <w:tcPr>
            <w:tcW w:w="591" w:type="dxa"/>
            <w:tcBorders>
              <w:top w:val="nil"/>
              <w:left w:val="nil"/>
              <w:bottom w:val="nil"/>
              <w:right w:val="nil"/>
            </w:tcBorders>
            <w:shd w:val="clear" w:color="auto" w:fill="auto"/>
          </w:tcPr>
          <w:p w14:paraId="383ED514" w14:textId="77777777" w:rsidR="006B66D5" w:rsidRDefault="006B66D5" w:rsidP="000814B7">
            <w:pPr>
              <w:spacing w:line="480" w:lineRule="auto"/>
            </w:pPr>
          </w:p>
        </w:tc>
        <w:tc>
          <w:tcPr>
            <w:tcW w:w="842" w:type="dxa"/>
            <w:tcBorders>
              <w:top w:val="nil"/>
              <w:left w:val="nil"/>
              <w:bottom w:val="nil"/>
              <w:right w:val="nil"/>
            </w:tcBorders>
            <w:shd w:val="clear" w:color="auto" w:fill="auto"/>
          </w:tcPr>
          <w:p w14:paraId="5D8134EF" w14:textId="77777777" w:rsidR="006B66D5" w:rsidRDefault="006B66D5" w:rsidP="000814B7">
            <w:pPr>
              <w:spacing w:line="480" w:lineRule="auto"/>
            </w:pPr>
          </w:p>
        </w:tc>
        <w:tc>
          <w:tcPr>
            <w:tcW w:w="710" w:type="dxa"/>
            <w:tcBorders>
              <w:top w:val="nil"/>
              <w:left w:val="nil"/>
              <w:bottom w:val="nil"/>
              <w:right w:val="nil"/>
            </w:tcBorders>
            <w:shd w:val="clear" w:color="auto" w:fill="auto"/>
          </w:tcPr>
          <w:p w14:paraId="40D89867" w14:textId="77777777" w:rsidR="006B66D5" w:rsidRDefault="006B66D5" w:rsidP="000814B7">
            <w:pPr>
              <w:spacing w:line="480" w:lineRule="auto"/>
            </w:pPr>
          </w:p>
        </w:tc>
        <w:tc>
          <w:tcPr>
            <w:tcW w:w="1164" w:type="dxa"/>
            <w:gridSpan w:val="2"/>
            <w:tcBorders>
              <w:top w:val="nil"/>
              <w:left w:val="nil"/>
              <w:bottom w:val="single" w:sz="8" w:space="0" w:color="000000"/>
              <w:right w:val="nil"/>
            </w:tcBorders>
            <w:shd w:val="clear" w:color="auto" w:fill="auto"/>
            <w:vAlign w:val="center"/>
          </w:tcPr>
          <w:p w14:paraId="505B909E"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n</w:t>
            </w:r>
          </w:p>
        </w:tc>
        <w:tc>
          <w:tcPr>
            <w:tcW w:w="1164" w:type="dxa"/>
            <w:gridSpan w:val="2"/>
            <w:tcBorders>
              <w:top w:val="single" w:sz="8" w:space="0" w:color="000000"/>
              <w:left w:val="nil"/>
              <w:bottom w:val="single" w:sz="8" w:space="0" w:color="000000"/>
              <w:right w:val="nil"/>
            </w:tcBorders>
            <w:shd w:val="clear" w:color="auto" w:fill="auto"/>
            <w:vAlign w:val="center"/>
          </w:tcPr>
          <w:p w14:paraId="63C7D822"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w:t>
            </w:r>
          </w:p>
        </w:tc>
        <w:tc>
          <w:tcPr>
            <w:tcW w:w="1164" w:type="dxa"/>
            <w:gridSpan w:val="2"/>
            <w:tcBorders>
              <w:top w:val="single" w:sz="8" w:space="0" w:color="000000"/>
              <w:left w:val="nil"/>
              <w:bottom w:val="single" w:sz="8" w:space="0" w:color="000000"/>
              <w:right w:val="nil"/>
            </w:tcBorders>
            <w:shd w:val="clear" w:color="auto" w:fill="auto"/>
            <w:vAlign w:val="center"/>
          </w:tcPr>
          <w:p w14:paraId="04BB8F49"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w:t>
            </w:r>
          </w:p>
        </w:tc>
        <w:tc>
          <w:tcPr>
            <w:tcW w:w="1164" w:type="dxa"/>
            <w:gridSpan w:val="2"/>
            <w:tcBorders>
              <w:top w:val="single" w:sz="8" w:space="0" w:color="000000"/>
              <w:left w:val="nil"/>
              <w:bottom w:val="single" w:sz="8" w:space="0" w:color="000000"/>
              <w:right w:val="nil"/>
            </w:tcBorders>
            <w:shd w:val="clear" w:color="auto" w:fill="auto"/>
            <w:vAlign w:val="center"/>
          </w:tcPr>
          <w:p w14:paraId="2A748B75"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w:t>
            </w:r>
          </w:p>
        </w:tc>
      </w:tr>
      <w:tr w:rsidR="00BC5D82" w14:paraId="06A450F5" w14:textId="77777777" w:rsidTr="00D22F27">
        <w:trPr>
          <w:trHeight w:val="1150"/>
        </w:trPr>
        <w:tc>
          <w:tcPr>
            <w:tcW w:w="579" w:type="dxa"/>
            <w:tcBorders>
              <w:top w:val="nil"/>
              <w:left w:val="nil"/>
              <w:bottom w:val="single" w:sz="8" w:space="0" w:color="000000"/>
              <w:right w:val="nil"/>
            </w:tcBorders>
            <w:shd w:val="clear" w:color="auto" w:fill="auto"/>
            <w:vAlign w:val="center"/>
          </w:tcPr>
          <w:p w14:paraId="0BBEAAEE"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lastRenderedPageBreak/>
              <w:t>Reference No.</w:t>
            </w:r>
          </w:p>
        </w:tc>
        <w:tc>
          <w:tcPr>
            <w:tcW w:w="408" w:type="dxa"/>
            <w:tcBorders>
              <w:top w:val="nil"/>
              <w:left w:val="nil"/>
              <w:bottom w:val="single" w:sz="8" w:space="0" w:color="000000"/>
              <w:right w:val="nil"/>
            </w:tcBorders>
            <w:shd w:val="clear" w:color="auto" w:fill="auto"/>
            <w:vAlign w:val="center"/>
          </w:tcPr>
          <w:p w14:paraId="2CB0275B"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Study design</w:t>
            </w:r>
          </w:p>
        </w:tc>
        <w:tc>
          <w:tcPr>
            <w:tcW w:w="718" w:type="dxa"/>
            <w:tcBorders>
              <w:top w:val="nil"/>
              <w:left w:val="nil"/>
              <w:bottom w:val="single" w:sz="8" w:space="0" w:color="000000"/>
              <w:right w:val="nil"/>
            </w:tcBorders>
            <w:shd w:val="clear" w:color="auto" w:fill="auto"/>
            <w:vAlign w:val="center"/>
          </w:tcPr>
          <w:p w14:paraId="7CE29F0D"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Intervention</w:t>
            </w:r>
          </w:p>
        </w:tc>
        <w:tc>
          <w:tcPr>
            <w:tcW w:w="591" w:type="dxa"/>
            <w:tcBorders>
              <w:top w:val="nil"/>
              <w:left w:val="nil"/>
              <w:bottom w:val="single" w:sz="8" w:space="0" w:color="000000"/>
              <w:right w:val="nil"/>
            </w:tcBorders>
            <w:shd w:val="clear" w:color="auto" w:fill="auto"/>
            <w:vAlign w:val="center"/>
          </w:tcPr>
          <w:p w14:paraId="1CFCC37D"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Tumor type</w:t>
            </w:r>
          </w:p>
        </w:tc>
        <w:tc>
          <w:tcPr>
            <w:tcW w:w="842" w:type="dxa"/>
            <w:tcBorders>
              <w:top w:val="nil"/>
              <w:left w:val="nil"/>
              <w:bottom w:val="single" w:sz="8" w:space="0" w:color="000000"/>
              <w:right w:val="nil"/>
            </w:tcBorders>
            <w:shd w:val="clear" w:color="auto" w:fill="auto"/>
            <w:vAlign w:val="center"/>
          </w:tcPr>
          <w:p w14:paraId="27E45F5D"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Capecitabine dose(/times)</w:t>
            </w:r>
          </w:p>
        </w:tc>
        <w:tc>
          <w:tcPr>
            <w:tcW w:w="710" w:type="dxa"/>
            <w:tcBorders>
              <w:top w:val="nil"/>
              <w:left w:val="nil"/>
              <w:bottom w:val="single" w:sz="8" w:space="0" w:color="000000"/>
              <w:right w:val="nil"/>
            </w:tcBorders>
            <w:shd w:val="clear" w:color="auto" w:fill="auto"/>
            <w:vAlign w:val="center"/>
          </w:tcPr>
          <w:p w14:paraId="7F2B3B2A"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Observation period</w:t>
            </w:r>
          </w:p>
        </w:tc>
        <w:tc>
          <w:tcPr>
            <w:tcW w:w="719" w:type="dxa"/>
            <w:tcBorders>
              <w:top w:val="single" w:sz="8" w:space="0" w:color="000000"/>
              <w:left w:val="nil"/>
              <w:bottom w:val="single" w:sz="8" w:space="0" w:color="000000"/>
              <w:right w:val="nil"/>
            </w:tcBorders>
            <w:shd w:val="clear" w:color="auto" w:fill="auto"/>
            <w:vAlign w:val="center"/>
          </w:tcPr>
          <w:p w14:paraId="3889A5EE"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Intervention</w:t>
            </w:r>
          </w:p>
        </w:tc>
        <w:tc>
          <w:tcPr>
            <w:tcW w:w="445" w:type="dxa"/>
            <w:tcBorders>
              <w:top w:val="single" w:sz="8" w:space="0" w:color="000000"/>
              <w:left w:val="nil"/>
              <w:bottom w:val="single" w:sz="8" w:space="0" w:color="000000"/>
              <w:right w:val="nil"/>
            </w:tcBorders>
            <w:shd w:val="clear" w:color="auto" w:fill="auto"/>
            <w:vAlign w:val="center"/>
          </w:tcPr>
          <w:p w14:paraId="13AF760D"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Control</w:t>
            </w:r>
          </w:p>
        </w:tc>
        <w:tc>
          <w:tcPr>
            <w:tcW w:w="719" w:type="dxa"/>
            <w:tcBorders>
              <w:top w:val="single" w:sz="8" w:space="0" w:color="000000"/>
              <w:left w:val="nil"/>
              <w:bottom w:val="single" w:sz="8" w:space="0" w:color="000000"/>
              <w:right w:val="nil"/>
            </w:tcBorders>
            <w:shd w:val="clear" w:color="auto" w:fill="auto"/>
            <w:vAlign w:val="center"/>
          </w:tcPr>
          <w:p w14:paraId="4D509B5A"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Intervention</w:t>
            </w:r>
          </w:p>
        </w:tc>
        <w:tc>
          <w:tcPr>
            <w:tcW w:w="445" w:type="dxa"/>
            <w:tcBorders>
              <w:top w:val="single" w:sz="8" w:space="0" w:color="000000"/>
              <w:left w:val="nil"/>
              <w:bottom w:val="single" w:sz="8" w:space="0" w:color="000000"/>
              <w:right w:val="nil"/>
            </w:tcBorders>
            <w:shd w:val="clear" w:color="auto" w:fill="auto"/>
            <w:vAlign w:val="center"/>
          </w:tcPr>
          <w:p w14:paraId="2864A23D"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Control</w:t>
            </w:r>
          </w:p>
        </w:tc>
        <w:tc>
          <w:tcPr>
            <w:tcW w:w="719" w:type="dxa"/>
            <w:tcBorders>
              <w:top w:val="single" w:sz="8" w:space="0" w:color="000000"/>
              <w:left w:val="nil"/>
              <w:bottom w:val="single" w:sz="8" w:space="0" w:color="000000"/>
              <w:right w:val="nil"/>
            </w:tcBorders>
            <w:shd w:val="clear" w:color="auto" w:fill="auto"/>
            <w:vAlign w:val="center"/>
          </w:tcPr>
          <w:p w14:paraId="37B0D022"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Intervention</w:t>
            </w:r>
          </w:p>
        </w:tc>
        <w:tc>
          <w:tcPr>
            <w:tcW w:w="445" w:type="dxa"/>
            <w:tcBorders>
              <w:top w:val="single" w:sz="8" w:space="0" w:color="000000"/>
              <w:left w:val="nil"/>
              <w:bottom w:val="single" w:sz="8" w:space="0" w:color="000000"/>
              <w:right w:val="nil"/>
            </w:tcBorders>
            <w:shd w:val="clear" w:color="auto" w:fill="auto"/>
            <w:vAlign w:val="center"/>
          </w:tcPr>
          <w:p w14:paraId="152D7741"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Control</w:t>
            </w:r>
          </w:p>
        </w:tc>
        <w:tc>
          <w:tcPr>
            <w:tcW w:w="719" w:type="dxa"/>
            <w:tcBorders>
              <w:top w:val="single" w:sz="8" w:space="0" w:color="000000"/>
              <w:left w:val="nil"/>
              <w:bottom w:val="single" w:sz="8" w:space="0" w:color="000000"/>
              <w:right w:val="nil"/>
            </w:tcBorders>
            <w:shd w:val="clear" w:color="auto" w:fill="auto"/>
            <w:vAlign w:val="center"/>
          </w:tcPr>
          <w:p w14:paraId="0C44B65C"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Intervention</w:t>
            </w:r>
          </w:p>
        </w:tc>
        <w:tc>
          <w:tcPr>
            <w:tcW w:w="445" w:type="dxa"/>
            <w:tcBorders>
              <w:top w:val="single" w:sz="8" w:space="0" w:color="000000"/>
              <w:left w:val="nil"/>
              <w:bottom w:val="single" w:sz="8" w:space="0" w:color="000000"/>
              <w:right w:val="nil"/>
            </w:tcBorders>
            <w:shd w:val="clear" w:color="auto" w:fill="auto"/>
            <w:vAlign w:val="center"/>
          </w:tcPr>
          <w:p w14:paraId="43148E4F" w14:textId="77777777" w:rsidR="006B66D5" w:rsidRDefault="001A1285" w:rsidP="000814B7">
            <w:pPr>
              <w:spacing w:line="480" w:lineRule="auto"/>
              <w:rPr>
                <w:rFonts w:ascii="游明朝" w:eastAsia="游明朝" w:hAnsi="游明朝" w:cs="游明朝"/>
                <w:b/>
              </w:rPr>
            </w:pPr>
            <w:r>
              <w:rPr>
                <w:rFonts w:ascii="游明朝" w:eastAsia="游明朝" w:hAnsi="游明朝" w:cs="游明朝"/>
                <w:b/>
              </w:rPr>
              <w:t>Control</w:t>
            </w:r>
          </w:p>
        </w:tc>
      </w:tr>
      <w:tr w:rsidR="00BC5D82" w14:paraId="089C7319" w14:textId="77777777" w:rsidTr="00D22F27">
        <w:trPr>
          <w:trHeight w:val="1150"/>
        </w:trPr>
        <w:tc>
          <w:tcPr>
            <w:tcW w:w="579" w:type="dxa"/>
            <w:tcBorders>
              <w:top w:val="single" w:sz="8" w:space="0" w:color="000000"/>
              <w:left w:val="nil"/>
              <w:bottom w:val="nil"/>
              <w:right w:val="nil"/>
            </w:tcBorders>
            <w:shd w:val="clear" w:color="auto" w:fill="D9D9D9"/>
            <w:vAlign w:val="center"/>
          </w:tcPr>
          <w:p w14:paraId="68C27BD4"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PMID: 21113620</w:t>
            </w:r>
          </w:p>
        </w:tc>
        <w:tc>
          <w:tcPr>
            <w:tcW w:w="408" w:type="dxa"/>
            <w:tcBorders>
              <w:top w:val="single" w:sz="8" w:space="0" w:color="000000"/>
              <w:left w:val="nil"/>
              <w:bottom w:val="nil"/>
              <w:right w:val="nil"/>
            </w:tcBorders>
            <w:shd w:val="clear" w:color="auto" w:fill="D9D9D9"/>
            <w:vAlign w:val="center"/>
          </w:tcPr>
          <w:p w14:paraId="08155008"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RCT</w:t>
            </w:r>
          </w:p>
        </w:tc>
        <w:tc>
          <w:tcPr>
            <w:tcW w:w="718" w:type="dxa"/>
            <w:tcBorders>
              <w:top w:val="single" w:sz="8" w:space="0" w:color="000000"/>
              <w:left w:val="nil"/>
              <w:bottom w:val="nil"/>
              <w:right w:val="nil"/>
            </w:tcBorders>
            <w:shd w:val="clear" w:color="auto" w:fill="D9D9D9"/>
            <w:vAlign w:val="center"/>
          </w:tcPr>
          <w:p w14:paraId="34ABF87B"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Celecoxib</w:t>
            </w:r>
          </w:p>
        </w:tc>
        <w:tc>
          <w:tcPr>
            <w:tcW w:w="591" w:type="dxa"/>
            <w:tcBorders>
              <w:top w:val="single" w:sz="8" w:space="0" w:color="000000"/>
              <w:left w:val="nil"/>
              <w:bottom w:val="nil"/>
              <w:right w:val="nil"/>
            </w:tcBorders>
            <w:shd w:val="clear" w:color="auto" w:fill="D9D9D9"/>
            <w:vAlign w:val="center"/>
          </w:tcPr>
          <w:p w14:paraId="44685BA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Colorectal cancer</w:t>
            </w:r>
          </w:p>
        </w:tc>
        <w:tc>
          <w:tcPr>
            <w:tcW w:w="842" w:type="dxa"/>
            <w:tcBorders>
              <w:top w:val="single" w:sz="8" w:space="0" w:color="000000"/>
              <w:left w:val="nil"/>
              <w:bottom w:val="nil"/>
              <w:right w:val="nil"/>
            </w:tcBorders>
            <w:shd w:val="clear" w:color="auto" w:fill="D9D9D9"/>
            <w:vAlign w:val="center"/>
          </w:tcPr>
          <w:p w14:paraId="7290EEC1" w14:textId="4BCB219F" w:rsidR="006B66D5" w:rsidRDefault="001A1285" w:rsidP="000814B7">
            <w:pPr>
              <w:spacing w:line="480" w:lineRule="auto"/>
              <w:rPr>
                <w:rFonts w:ascii="游明朝" w:eastAsia="游明朝" w:hAnsi="游明朝" w:cs="游明朝"/>
              </w:rPr>
            </w:pPr>
            <w:r>
              <w:rPr>
                <w:rFonts w:ascii="游明朝" w:eastAsia="游明朝" w:hAnsi="游明朝" w:cs="游明朝"/>
              </w:rPr>
              <w:t>1250</w:t>
            </w:r>
            <w:r w:rsidR="00D135E7">
              <w:rPr>
                <w:rFonts w:ascii="游明朝" w:eastAsia="游明朝" w:hAnsi="游明朝" w:cs="游明朝"/>
              </w:rPr>
              <w:t xml:space="preserve"> </w:t>
            </w:r>
            <w:r>
              <w:rPr>
                <w:rFonts w:ascii="游明朝" w:eastAsia="游明朝" w:hAnsi="游明朝" w:cs="游明朝"/>
              </w:rPr>
              <w:t>mg/m2 or 1000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single" w:sz="8" w:space="0" w:color="000000"/>
              <w:left w:val="nil"/>
              <w:bottom w:val="nil"/>
              <w:right w:val="nil"/>
            </w:tcBorders>
            <w:shd w:val="clear" w:color="auto" w:fill="D9D9D9"/>
            <w:vAlign w:val="center"/>
          </w:tcPr>
          <w:p w14:paraId="5E6F7237" w14:textId="64BEA91B" w:rsidR="00D135E7" w:rsidRDefault="001A1285" w:rsidP="000814B7">
            <w:pPr>
              <w:spacing w:line="480" w:lineRule="auto"/>
              <w:rPr>
                <w:rFonts w:ascii="游明朝" w:eastAsia="游明朝" w:hAnsi="游明朝" w:cs="游明朝"/>
              </w:rPr>
            </w:pPr>
            <w:r>
              <w:rPr>
                <w:rFonts w:ascii="游明朝" w:eastAsia="游明朝" w:hAnsi="游明朝" w:cs="游明朝"/>
              </w:rPr>
              <w:t xml:space="preserve">3–6    </w:t>
            </w:r>
          </w:p>
          <w:p w14:paraId="3D246131" w14:textId="06B77517"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months</w:t>
            </w:r>
          </w:p>
        </w:tc>
        <w:tc>
          <w:tcPr>
            <w:tcW w:w="719" w:type="dxa"/>
            <w:tcBorders>
              <w:top w:val="single" w:sz="8" w:space="0" w:color="000000"/>
              <w:left w:val="nil"/>
              <w:bottom w:val="nil"/>
              <w:right w:val="nil"/>
            </w:tcBorders>
            <w:shd w:val="clear" w:color="auto" w:fill="D9D9D9"/>
            <w:vAlign w:val="center"/>
          </w:tcPr>
          <w:p w14:paraId="37B1710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51</w:t>
            </w:r>
          </w:p>
        </w:tc>
        <w:tc>
          <w:tcPr>
            <w:tcW w:w="445" w:type="dxa"/>
            <w:tcBorders>
              <w:top w:val="single" w:sz="8" w:space="0" w:color="000000"/>
              <w:left w:val="nil"/>
              <w:bottom w:val="nil"/>
              <w:right w:val="nil"/>
            </w:tcBorders>
            <w:shd w:val="clear" w:color="auto" w:fill="D9D9D9"/>
            <w:vAlign w:val="center"/>
          </w:tcPr>
          <w:p w14:paraId="2D4A571D"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50</w:t>
            </w:r>
          </w:p>
        </w:tc>
        <w:tc>
          <w:tcPr>
            <w:tcW w:w="719" w:type="dxa"/>
            <w:tcBorders>
              <w:top w:val="single" w:sz="8" w:space="0" w:color="000000"/>
              <w:left w:val="nil"/>
              <w:bottom w:val="nil"/>
              <w:right w:val="nil"/>
            </w:tcBorders>
            <w:shd w:val="clear" w:color="auto" w:fill="D9D9D9"/>
            <w:vAlign w:val="center"/>
          </w:tcPr>
          <w:p w14:paraId="17FCBC2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29</w:t>
            </w:r>
          </w:p>
        </w:tc>
        <w:tc>
          <w:tcPr>
            <w:tcW w:w="445" w:type="dxa"/>
            <w:tcBorders>
              <w:top w:val="single" w:sz="8" w:space="0" w:color="000000"/>
              <w:left w:val="nil"/>
              <w:bottom w:val="nil"/>
              <w:right w:val="nil"/>
            </w:tcBorders>
            <w:shd w:val="clear" w:color="auto" w:fill="D9D9D9"/>
            <w:vAlign w:val="center"/>
          </w:tcPr>
          <w:p w14:paraId="55CA8B4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52</w:t>
            </w:r>
          </w:p>
        </w:tc>
        <w:tc>
          <w:tcPr>
            <w:tcW w:w="719" w:type="dxa"/>
            <w:tcBorders>
              <w:top w:val="single" w:sz="8" w:space="0" w:color="000000"/>
              <w:left w:val="nil"/>
              <w:bottom w:val="nil"/>
              <w:right w:val="nil"/>
            </w:tcBorders>
            <w:shd w:val="clear" w:color="auto" w:fill="D9D9D9"/>
            <w:vAlign w:val="center"/>
          </w:tcPr>
          <w:p w14:paraId="564E8A6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13.7</w:t>
            </w:r>
          </w:p>
        </w:tc>
        <w:tc>
          <w:tcPr>
            <w:tcW w:w="445" w:type="dxa"/>
            <w:tcBorders>
              <w:top w:val="single" w:sz="8" w:space="0" w:color="000000"/>
              <w:left w:val="nil"/>
              <w:bottom w:val="nil"/>
              <w:right w:val="nil"/>
            </w:tcBorders>
            <w:shd w:val="clear" w:color="auto" w:fill="D9D9D9"/>
            <w:vAlign w:val="center"/>
          </w:tcPr>
          <w:p w14:paraId="1E202FD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40</w:t>
            </w:r>
          </w:p>
        </w:tc>
        <w:tc>
          <w:tcPr>
            <w:tcW w:w="719" w:type="dxa"/>
            <w:tcBorders>
              <w:top w:val="single" w:sz="8" w:space="0" w:color="000000"/>
              <w:left w:val="nil"/>
              <w:bottom w:val="nil"/>
              <w:right w:val="nil"/>
            </w:tcBorders>
            <w:shd w:val="clear" w:color="auto" w:fill="D9D9D9"/>
            <w:vAlign w:val="center"/>
          </w:tcPr>
          <w:p w14:paraId="53D81B34"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1.96</w:t>
            </w:r>
          </w:p>
        </w:tc>
        <w:tc>
          <w:tcPr>
            <w:tcW w:w="445" w:type="dxa"/>
            <w:tcBorders>
              <w:top w:val="single" w:sz="8" w:space="0" w:color="000000"/>
              <w:left w:val="nil"/>
              <w:bottom w:val="nil"/>
              <w:right w:val="nil"/>
            </w:tcBorders>
            <w:shd w:val="clear" w:color="auto" w:fill="D9D9D9"/>
            <w:vAlign w:val="center"/>
          </w:tcPr>
          <w:p w14:paraId="24987A66"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10</w:t>
            </w:r>
          </w:p>
        </w:tc>
      </w:tr>
      <w:tr w:rsidR="00BC5D82" w14:paraId="1A97450B" w14:textId="77777777" w:rsidTr="00D22F27">
        <w:trPr>
          <w:trHeight w:val="1150"/>
        </w:trPr>
        <w:tc>
          <w:tcPr>
            <w:tcW w:w="579" w:type="dxa"/>
            <w:tcBorders>
              <w:top w:val="nil"/>
              <w:left w:val="nil"/>
              <w:bottom w:val="nil"/>
              <w:right w:val="nil"/>
            </w:tcBorders>
            <w:shd w:val="clear" w:color="auto" w:fill="auto"/>
            <w:vAlign w:val="center"/>
          </w:tcPr>
          <w:p w14:paraId="74F849F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PMID: 21940785</w:t>
            </w:r>
          </w:p>
        </w:tc>
        <w:tc>
          <w:tcPr>
            <w:tcW w:w="408" w:type="dxa"/>
            <w:tcBorders>
              <w:top w:val="nil"/>
              <w:left w:val="nil"/>
              <w:bottom w:val="nil"/>
              <w:right w:val="nil"/>
            </w:tcBorders>
            <w:shd w:val="clear" w:color="auto" w:fill="auto"/>
            <w:vAlign w:val="center"/>
          </w:tcPr>
          <w:p w14:paraId="743A784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RCT</w:t>
            </w:r>
          </w:p>
        </w:tc>
        <w:tc>
          <w:tcPr>
            <w:tcW w:w="718" w:type="dxa"/>
            <w:tcBorders>
              <w:top w:val="nil"/>
              <w:left w:val="nil"/>
              <w:bottom w:val="nil"/>
              <w:right w:val="nil"/>
            </w:tcBorders>
            <w:shd w:val="clear" w:color="auto" w:fill="auto"/>
            <w:vAlign w:val="center"/>
          </w:tcPr>
          <w:p w14:paraId="0225E749"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Celecoxib</w:t>
            </w:r>
          </w:p>
        </w:tc>
        <w:tc>
          <w:tcPr>
            <w:tcW w:w="591" w:type="dxa"/>
            <w:tcBorders>
              <w:top w:val="nil"/>
              <w:left w:val="nil"/>
              <w:bottom w:val="nil"/>
              <w:right w:val="nil"/>
            </w:tcBorders>
            <w:shd w:val="clear" w:color="auto" w:fill="auto"/>
            <w:vAlign w:val="center"/>
          </w:tcPr>
          <w:p w14:paraId="03268FC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Colorectal cancer</w:t>
            </w:r>
          </w:p>
        </w:tc>
        <w:tc>
          <w:tcPr>
            <w:tcW w:w="842" w:type="dxa"/>
            <w:tcBorders>
              <w:top w:val="nil"/>
              <w:left w:val="nil"/>
              <w:bottom w:val="nil"/>
              <w:right w:val="nil"/>
            </w:tcBorders>
            <w:shd w:val="clear" w:color="auto" w:fill="auto"/>
            <w:vAlign w:val="center"/>
          </w:tcPr>
          <w:p w14:paraId="79655D04" w14:textId="2FA136E4" w:rsidR="006B66D5" w:rsidRDefault="001A1285" w:rsidP="000814B7">
            <w:pPr>
              <w:spacing w:line="480" w:lineRule="auto"/>
              <w:rPr>
                <w:rFonts w:ascii="游明朝" w:eastAsia="游明朝" w:hAnsi="游明朝" w:cs="游明朝"/>
              </w:rPr>
            </w:pPr>
            <w:r>
              <w:rPr>
                <w:rFonts w:ascii="游明朝" w:eastAsia="游明朝" w:hAnsi="游明朝" w:cs="游明朝"/>
              </w:rPr>
              <w:t>1250</w:t>
            </w:r>
            <w:r w:rsidR="00D135E7">
              <w:rPr>
                <w:rFonts w:ascii="游明朝" w:eastAsia="游明朝" w:hAnsi="游明朝" w:cs="游明朝"/>
              </w:rPr>
              <w:t xml:space="preserve"> </w:t>
            </w:r>
            <w:r>
              <w:rPr>
                <w:rFonts w:ascii="游明朝" w:eastAsia="游明朝" w:hAnsi="游明朝" w:cs="游明朝"/>
              </w:rPr>
              <w:t>mg/m2 or 1000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nil"/>
              <w:left w:val="nil"/>
              <w:bottom w:val="nil"/>
              <w:right w:val="nil"/>
            </w:tcBorders>
            <w:shd w:val="clear" w:color="auto" w:fill="auto"/>
            <w:vAlign w:val="center"/>
          </w:tcPr>
          <w:p w14:paraId="69530A02" w14:textId="016A700A" w:rsidR="00D135E7" w:rsidRDefault="001A1285" w:rsidP="000814B7">
            <w:pPr>
              <w:spacing w:line="480" w:lineRule="auto"/>
              <w:rPr>
                <w:rFonts w:ascii="游明朝" w:eastAsia="游明朝" w:hAnsi="游明朝" w:cs="游明朝"/>
              </w:rPr>
            </w:pPr>
            <w:r>
              <w:rPr>
                <w:rFonts w:ascii="游明朝" w:eastAsia="游明朝" w:hAnsi="游明朝" w:cs="游明朝"/>
              </w:rPr>
              <w:t xml:space="preserve">3–6 </w:t>
            </w:r>
          </w:p>
          <w:p w14:paraId="40AE4FFE" w14:textId="3036ABE4"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months</w:t>
            </w:r>
          </w:p>
        </w:tc>
        <w:tc>
          <w:tcPr>
            <w:tcW w:w="719" w:type="dxa"/>
            <w:tcBorders>
              <w:top w:val="nil"/>
              <w:left w:val="nil"/>
              <w:bottom w:val="nil"/>
              <w:right w:val="nil"/>
            </w:tcBorders>
            <w:shd w:val="clear" w:color="auto" w:fill="auto"/>
            <w:vAlign w:val="center"/>
          </w:tcPr>
          <w:p w14:paraId="7A3FAB0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68</w:t>
            </w:r>
          </w:p>
        </w:tc>
        <w:tc>
          <w:tcPr>
            <w:tcW w:w="445" w:type="dxa"/>
            <w:tcBorders>
              <w:top w:val="nil"/>
              <w:left w:val="nil"/>
              <w:bottom w:val="nil"/>
              <w:right w:val="nil"/>
            </w:tcBorders>
            <w:shd w:val="clear" w:color="auto" w:fill="auto"/>
            <w:vAlign w:val="center"/>
          </w:tcPr>
          <w:p w14:paraId="7791DB26"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71</w:t>
            </w:r>
          </w:p>
        </w:tc>
        <w:tc>
          <w:tcPr>
            <w:tcW w:w="719" w:type="dxa"/>
            <w:tcBorders>
              <w:top w:val="nil"/>
              <w:left w:val="nil"/>
              <w:bottom w:val="nil"/>
              <w:right w:val="nil"/>
            </w:tcBorders>
            <w:shd w:val="clear" w:color="auto" w:fill="auto"/>
            <w:vAlign w:val="center"/>
          </w:tcPr>
          <w:p w14:paraId="3191414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57.4</w:t>
            </w:r>
          </w:p>
        </w:tc>
        <w:tc>
          <w:tcPr>
            <w:tcW w:w="445" w:type="dxa"/>
            <w:tcBorders>
              <w:top w:val="nil"/>
              <w:left w:val="nil"/>
              <w:bottom w:val="nil"/>
              <w:right w:val="nil"/>
            </w:tcBorders>
            <w:shd w:val="clear" w:color="auto" w:fill="auto"/>
            <w:vAlign w:val="center"/>
          </w:tcPr>
          <w:p w14:paraId="2C833AF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74.6</w:t>
            </w:r>
          </w:p>
        </w:tc>
        <w:tc>
          <w:tcPr>
            <w:tcW w:w="719" w:type="dxa"/>
            <w:tcBorders>
              <w:top w:val="nil"/>
              <w:left w:val="nil"/>
              <w:bottom w:val="nil"/>
              <w:right w:val="nil"/>
            </w:tcBorders>
            <w:shd w:val="clear" w:color="auto" w:fill="auto"/>
            <w:vAlign w:val="center"/>
          </w:tcPr>
          <w:p w14:paraId="417998E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17.6</w:t>
            </w:r>
          </w:p>
        </w:tc>
        <w:tc>
          <w:tcPr>
            <w:tcW w:w="445" w:type="dxa"/>
            <w:tcBorders>
              <w:top w:val="nil"/>
              <w:left w:val="nil"/>
              <w:bottom w:val="nil"/>
              <w:right w:val="nil"/>
            </w:tcBorders>
            <w:shd w:val="clear" w:color="auto" w:fill="auto"/>
            <w:vAlign w:val="center"/>
          </w:tcPr>
          <w:p w14:paraId="70EABB5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38.1</w:t>
            </w:r>
          </w:p>
        </w:tc>
        <w:tc>
          <w:tcPr>
            <w:tcW w:w="719" w:type="dxa"/>
            <w:tcBorders>
              <w:top w:val="nil"/>
              <w:left w:val="nil"/>
              <w:bottom w:val="nil"/>
              <w:right w:val="nil"/>
            </w:tcBorders>
            <w:shd w:val="clear" w:color="auto" w:fill="auto"/>
            <w:vAlign w:val="center"/>
          </w:tcPr>
          <w:p w14:paraId="7821DD02"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2.9</w:t>
            </w:r>
          </w:p>
        </w:tc>
        <w:tc>
          <w:tcPr>
            <w:tcW w:w="445" w:type="dxa"/>
            <w:tcBorders>
              <w:top w:val="nil"/>
              <w:left w:val="nil"/>
              <w:bottom w:val="nil"/>
              <w:right w:val="nil"/>
            </w:tcBorders>
            <w:shd w:val="clear" w:color="auto" w:fill="auto"/>
            <w:vAlign w:val="center"/>
          </w:tcPr>
          <w:p w14:paraId="46287ED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8.5</w:t>
            </w:r>
          </w:p>
        </w:tc>
      </w:tr>
      <w:tr w:rsidR="00BC5D82" w14:paraId="5546294C" w14:textId="77777777" w:rsidTr="00D22F27">
        <w:trPr>
          <w:trHeight w:val="1150"/>
        </w:trPr>
        <w:tc>
          <w:tcPr>
            <w:tcW w:w="579" w:type="dxa"/>
            <w:tcBorders>
              <w:top w:val="nil"/>
              <w:left w:val="nil"/>
              <w:bottom w:val="nil"/>
              <w:right w:val="nil"/>
            </w:tcBorders>
            <w:shd w:val="clear" w:color="auto" w:fill="D9D9D9"/>
            <w:vAlign w:val="center"/>
          </w:tcPr>
          <w:p w14:paraId="3840744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PMID: 25557587</w:t>
            </w:r>
          </w:p>
        </w:tc>
        <w:tc>
          <w:tcPr>
            <w:tcW w:w="408" w:type="dxa"/>
            <w:tcBorders>
              <w:top w:val="nil"/>
              <w:left w:val="nil"/>
              <w:bottom w:val="nil"/>
              <w:right w:val="nil"/>
            </w:tcBorders>
            <w:shd w:val="clear" w:color="auto" w:fill="D9D9D9"/>
            <w:vAlign w:val="center"/>
          </w:tcPr>
          <w:p w14:paraId="1BBA04B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RCT</w:t>
            </w:r>
          </w:p>
        </w:tc>
        <w:tc>
          <w:tcPr>
            <w:tcW w:w="718" w:type="dxa"/>
            <w:tcBorders>
              <w:top w:val="nil"/>
              <w:left w:val="nil"/>
              <w:bottom w:val="nil"/>
              <w:right w:val="nil"/>
            </w:tcBorders>
            <w:shd w:val="clear" w:color="auto" w:fill="D9D9D9"/>
            <w:vAlign w:val="center"/>
          </w:tcPr>
          <w:p w14:paraId="4A52AA8E"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Pyridoxine</w:t>
            </w:r>
          </w:p>
        </w:tc>
        <w:tc>
          <w:tcPr>
            <w:tcW w:w="591" w:type="dxa"/>
            <w:tcBorders>
              <w:top w:val="nil"/>
              <w:left w:val="nil"/>
              <w:bottom w:val="nil"/>
              <w:right w:val="nil"/>
            </w:tcBorders>
            <w:shd w:val="clear" w:color="auto" w:fill="D9D9D9"/>
            <w:vAlign w:val="center"/>
          </w:tcPr>
          <w:p w14:paraId="6065E286"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GI tract</w:t>
            </w:r>
          </w:p>
        </w:tc>
        <w:tc>
          <w:tcPr>
            <w:tcW w:w="842" w:type="dxa"/>
            <w:tcBorders>
              <w:top w:val="nil"/>
              <w:left w:val="nil"/>
              <w:bottom w:val="nil"/>
              <w:right w:val="nil"/>
            </w:tcBorders>
            <w:shd w:val="clear" w:color="auto" w:fill="D9D9D9"/>
            <w:vAlign w:val="center"/>
          </w:tcPr>
          <w:p w14:paraId="3FB01FD2" w14:textId="6B58F371" w:rsidR="006B66D5" w:rsidRDefault="001A1285" w:rsidP="000814B7">
            <w:pPr>
              <w:spacing w:line="480" w:lineRule="auto"/>
              <w:rPr>
                <w:rFonts w:ascii="游明朝" w:eastAsia="游明朝" w:hAnsi="游明朝" w:cs="游明朝"/>
              </w:rPr>
            </w:pPr>
            <w:r>
              <w:rPr>
                <w:rFonts w:ascii="游明朝" w:eastAsia="游明朝" w:hAnsi="游明朝" w:cs="游明朝"/>
              </w:rPr>
              <w:t>973.5</w:t>
            </w:r>
            <w:r w:rsidR="00D135E7">
              <w:rPr>
                <w:rFonts w:ascii="游明朝" w:eastAsia="游明朝" w:hAnsi="游明朝" w:cs="游明朝"/>
              </w:rPr>
              <w:t xml:space="preserve"> </w:t>
            </w:r>
            <w:r>
              <w:rPr>
                <w:rFonts w:ascii="游明朝" w:eastAsia="游明朝" w:hAnsi="游明朝" w:cs="游明朝"/>
              </w:rPr>
              <w:t xml:space="preserve">mg/m2 </w:t>
            </w:r>
            <w:r w:rsidR="00D135E7">
              <w:rPr>
                <w:rFonts w:ascii="游明朝" w:eastAsia="游明朝" w:hAnsi="游明朝" w:cs="游明朝"/>
              </w:rPr>
              <w:t>–</w:t>
            </w:r>
            <w:r>
              <w:rPr>
                <w:rFonts w:ascii="游明朝" w:eastAsia="游明朝" w:hAnsi="游明朝" w:cs="游明朝"/>
              </w:rPr>
              <w:t xml:space="preserve"> 1250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nil"/>
              <w:left w:val="nil"/>
              <w:bottom w:val="nil"/>
              <w:right w:val="nil"/>
            </w:tcBorders>
            <w:shd w:val="clear" w:color="auto" w:fill="D9D9D9"/>
            <w:vAlign w:val="center"/>
          </w:tcPr>
          <w:p w14:paraId="62C19FC4" w14:textId="4E801EA7" w:rsidR="006B66D5" w:rsidRDefault="001A1285" w:rsidP="000814B7">
            <w:pPr>
              <w:spacing w:line="480" w:lineRule="auto"/>
              <w:rPr>
                <w:rFonts w:ascii="游明朝" w:eastAsia="游明朝" w:hAnsi="游明朝" w:cs="游明朝"/>
              </w:rPr>
            </w:pPr>
            <w:r>
              <w:rPr>
                <w:rFonts w:ascii="游明朝" w:eastAsia="游明朝" w:hAnsi="游明朝" w:cs="游明朝"/>
              </w:rPr>
              <w:t>1</w:t>
            </w:r>
            <w:r w:rsidR="00D135E7">
              <w:rPr>
                <w:rFonts w:ascii="游明朝" w:eastAsia="游明朝" w:hAnsi="游明朝" w:cs="游明朝"/>
              </w:rPr>
              <w:t xml:space="preserve"> to </w:t>
            </w:r>
            <w:r>
              <w:rPr>
                <w:rFonts w:ascii="游明朝" w:eastAsia="游明朝" w:hAnsi="游明朝" w:cs="游明朝"/>
              </w:rPr>
              <w:t>3 cycles</w:t>
            </w:r>
          </w:p>
        </w:tc>
        <w:tc>
          <w:tcPr>
            <w:tcW w:w="719" w:type="dxa"/>
            <w:tcBorders>
              <w:top w:val="nil"/>
              <w:left w:val="nil"/>
              <w:bottom w:val="nil"/>
              <w:right w:val="nil"/>
            </w:tcBorders>
            <w:shd w:val="clear" w:color="auto" w:fill="D9D9D9"/>
            <w:vAlign w:val="center"/>
          </w:tcPr>
          <w:p w14:paraId="391B124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180</w:t>
            </w:r>
          </w:p>
        </w:tc>
        <w:tc>
          <w:tcPr>
            <w:tcW w:w="445" w:type="dxa"/>
            <w:tcBorders>
              <w:top w:val="nil"/>
              <w:left w:val="nil"/>
              <w:bottom w:val="nil"/>
              <w:right w:val="nil"/>
            </w:tcBorders>
            <w:shd w:val="clear" w:color="auto" w:fill="D9D9D9"/>
            <w:vAlign w:val="center"/>
          </w:tcPr>
          <w:p w14:paraId="5E99BD42"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180</w:t>
            </w:r>
          </w:p>
        </w:tc>
        <w:tc>
          <w:tcPr>
            <w:tcW w:w="719" w:type="dxa"/>
            <w:tcBorders>
              <w:top w:val="nil"/>
              <w:left w:val="nil"/>
              <w:bottom w:val="nil"/>
              <w:right w:val="nil"/>
            </w:tcBorders>
            <w:shd w:val="clear" w:color="auto" w:fill="D9D9D9"/>
            <w:vAlign w:val="center"/>
          </w:tcPr>
          <w:p w14:paraId="4AFE6A0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76.1</w:t>
            </w:r>
          </w:p>
        </w:tc>
        <w:tc>
          <w:tcPr>
            <w:tcW w:w="445" w:type="dxa"/>
            <w:tcBorders>
              <w:top w:val="nil"/>
              <w:left w:val="nil"/>
              <w:bottom w:val="nil"/>
              <w:right w:val="nil"/>
            </w:tcBorders>
            <w:shd w:val="clear" w:color="auto" w:fill="D9D9D9"/>
            <w:vAlign w:val="center"/>
          </w:tcPr>
          <w:p w14:paraId="1D36CC0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64</w:t>
            </w:r>
          </w:p>
        </w:tc>
        <w:tc>
          <w:tcPr>
            <w:tcW w:w="719" w:type="dxa"/>
            <w:tcBorders>
              <w:top w:val="nil"/>
              <w:left w:val="nil"/>
              <w:bottom w:val="nil"/>
              <w:right w:val="nil"/>
            </w:tcBorders>
            <w:shd w:val="clear" w:color="auto" w:fill="D9D9D9"/>
            <w:vAlign w:val="center"/>
          </w:tcPr>
          <w:p w14:paraId="5A3E5D4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12</w:t>
            </w:r>
          </w:p>
        </w:tc>
        <w:tc>
          <w:tcPr>
            <w:tcW w:w="445" w:type="dxa"/>
            <w:tcBorders>
              <w:top w:val="nil"/>
              <w:left w:val="nil"/>
              <w:bottom w:val="nil"/>
              <w:right w:val="nil"/>
            </w:tcBorders>
            <w:shd w:val="clear" w:color="auto" w:fill="D9D9D9"/>
            <w:vAlign w:val="center"/>
          </w:tcPr>
          <w:p w14:paraId="258CFE6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15.4</w:t>
            </w:r>
          </w:p>
        </w:tc>
        <w:tc>
          <w:tcPr>
            <w:tcW w:w="719" w:type="dxa"/>
            <w:tcBorders>
              <w:top w:val="nil"/>
              <w:left w:val="nil"/>
              <w:bottom w:val="nil"/>
              <w:right w:val="nil"/>
            </w:tcBorders>
            <w:shd w:val="clear" w:color="auto" w:fill="D9D9D9"/>
            <w:vAlign w:val="center"/>
          </w:tcPr>
          <w:p w14:paraId="2D088332"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5.0</w:t>
            </w:r>
          </w:p>
        </w:tc>
        <w:tc>
          <w:tcPr>
            <w:tcW w:w="445" w:type="dxa"/>
            <w:tcBorders>
              <w:top w:val="nil"/>
              <w:left w:val="nil"/>
              <w:bottom w:val="nil"/>
              <w:right w:val="nil"/>
            </w:tcBorders>
            <w:shd w:val="clear" w:color="auto" w:fill="D9D9D9"/>
            <w:vAlign w:val="center"/>
          </w:tcPr>
          <w:p w14:paraId="3A9DDD78"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3.3</w:t>
            </w:r>
          </w:p>
        </w:tc>
      </w:tr>
      <w:tr w:rsidR="00BC5D82" w14:paraId="071FC07B" w14:textId="77777777" w:rsidTr="00D22F27">
        <w:trPr>
          <w:trHeight w:val="1000"/>
        </w:trPr>
        <w:tc>
          <w:tcPr>
            <w:tcW w:w="579" w:type="dxa"/>
            <w:tcBorders>
              <w:top w:val="nil"/>
              <w:left w:val="nil"/>
              <w:bottom w:val="nil"/>
              <w:right w:val="nil"/>
            </w:tcBorders>
            <w:shd w:val="clear" w:color="auto" w:fill="auto"/>
            <w:vAlign w:val="center"/>
          </w:tcPr>
          <w:p w14:paraId="7FAB273E"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PMID: </w:t>
            </w:r>
            <w:r>
              <w:rPr>
                <w:rFonts w:ascii="游明朝" w:eastAsia="游明朝" w:hAnsi="游明朝" w:cs="游明朝"/>
              </w:rPr>
              <w:lastRenderedPageBreak/>
              <w:t>32406009</w:t>
            </w:r>
          </w:p>
        </w:tc>
        <w:tc>
          <w:tcPr>
            <w:tcW w:w="408" w:type="dxa"/>
            <w:tcBorders>
              <w:top w:val="nil"/>
              <w:left w:val="nil"/>
              <w:bottom w:val="nil"/>
              <w:right w:val="nil"/>
            </w:tcBorders>
            <w:shd w:val="clear" w:color="auto" w:fill="auto"/>
            <w:vAlign w:val="center"/>
          </w:tcPr>
          <w:p w14:paraId="640D5F2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lastRenderedPageBreak/>
              <w:t>RCT</w:t>
            </w:r>
          </w:p>
        </w:tc>
        <w:tc>
          <w:tcPr>
            <w:tcW w:w="718" w:type="dxa"/>
            <w:tcBorders>
              <w:top w:val="nil"/>
              <w:left w:val="nil"/>
              <w:bottom w:val="nil"/>
              <w:right w:val="nil"/>
            </w:tcBorders>
            <w:shd w:val="clear" w:color="auto" w:fill="auto"/>
            <w:vAlign w:val="center"/>
          </w:tcPr>
          <w:p w14:paraId="7008F951" w14:textId="1C552566" w:rsidR="006B66D5" w:rsidRDefault="001A1285" w:rsidP="000814B7">
            <w:pPr>
              <w:spacing w:line="480" w:lineRule="auto"/>
              <w:rPr>
                <w:rFonts w:ascii="游明朝" w:eastAsia="游明朝" w:hAnsi="游明朝" w:cs="游明朝"/>
              </w:rPr>
            </w:pPr>
            <w:r>
              <w:rPr>
                <w:rFonts w:ascii="游明朝" w:eastAsia="游明朝" w:hAnsi="游明朝" w:cs="游明朝"/>
              </w:rPr>
              <w:t>TJ-28 vs</w:t>
            </w:r>
            <w:r w:rsidR="00D135E7">
              <w:rPr>
                <w:rFonts w:ascii="游明朝" w:eastAsia="游明朝" w:hAnsi="游明朝" w:cs="游明朝"/>
              </w:rPr>
              <w:t>.</w:t>
            </w:r>
            <w:r>
              <w:rPr>
                <w:rFonts w:ascii="游明朝" w:eastAsia="游明朝" w:hAnsi="游明朝" w:cs="游明朝"/>
              </w:rPr>
              <w:t xml:space="preserve"> </w:t>
            </w:r>
            <w:r>
              <w:rPr>
                <w:rFonts w:ascii="游明朝" w:eastAsia="游明朝" w:hAnsi="游明朝" w:cs="游明朝"/>
              </w:rPr>
              <w:lastRenderedPageBreak/>
              <w:t>Pyridoxine</w:t>
            </w:r>
          </w:p>
        </w:tc>
        <w:tc>
          <w:tcPr>
            <w:tcW w:w="591" w:type="dxa"/>
            <w:tcBorders>
              <w:top w:val="nil"/>
              <w:left w:val="nil"/>
              <w:bottom w:val="nil"/>
              <w:right w:val="nil"/>
            </w:tcBorders>
            <w:shd w:val="clear" w:color="auto" w:fill="auto"/>
            <w:vAlign w:val="center"/>
          </w:tcPr>
          <w:p w14:paraId="23518C9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lastRenderedPageBreak/>
              <w:t xml:space="preserve">Colorectal </w:t>
            </w:r>
            <w:r>
              <w:rPr>
                <w:rFonts w:ascii="游明朝" w:eastAsia="游明朝" w:hAnsi="游明朝" w:cs="游明朝"/>
              </w:rPr>
              <w:lastRenderedPageBreak/>
              <w:t>cancer</w:t>
            </w:r>
          </w:p>
        </w:tc>
        <w:tc>
          <w:tcPr>
            <w:tcW w:w="842" w:type="dxa"/>
            <w:tcBorders>
              <w:top w:val="nil"/>
              <w:left w:val="nil"/>
              <w:bottom w:val="nil"/>
              <w:right w:val="nil"/>
            </w:tcBorders>
            <w:shd w:val="clear" w:color="auto" w:fill="auto"/>
            <w:vAlign w:val="center"/>
          </w:tcPr>
          <w:p w14:paraId="0A8A5F23" w14:textId="54D9D1F6" w:rsidR="006B66D5" w:rsidRDefault="001A1285" w:rsidP="000814B7">
            <w:pPr>
              <w:spacing w:line="480" w:lineRule="auto"/>
              <w:rPr>
                <w:rFonts w:ascii="游明朝" w:eastAsia="游明朝" w:hAnsi="游明朝" w:cs="游明朝"/>
              </w:rPr>
            </w:pPr>
            <w:r>
              <w:rPr>
                <w:rFonts w:ascii="游明朝" w:eastAsia="游明朝" w:hAnsi="游明朝" w:cs="游明朝"/>
              </w:rPr>
              <w:lastRenderedPageBreak/>
              <w:t>1250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nil"/>
              <w:left w:val="nil"/>
              <w:bottom w:val="nil"/>
              <w:right w:val="nil"/>
            </w:tcBorders>
            <w:shd w:val="clear" w:color="auto" w:fill="auto"/>
            <w:vAlign w:val="center"/>
          </w:tcPr>
          <w:p w14:paraId="797067A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N.A.</w:t>
            </w:r>
          </w:p>
        </w:tc>
        <w:tc>
          <w:tcPr>
            <w:tcW w:w="719" w:type="dxa"/>
            <w:tcBorders>
              <w:top w:val="nil"/>
              <w:left w:val="nil"/>
              <w:bottom w:val="nil"/>
              <w:right w:val="nil"/>
            </w:tcBorders>
            <w:shd w:val="clear" w:color="auto" w:fill="auto"/>
            <w:vAlign w:val="center"/>
          </w:tcPr>
          <w:p w14:paraId="684461E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12</w:t>
            </w:r>
          </w:p>
        </w:tc>
        <w:tc>
          <w:tcPr>
            <w:tcW w:w="445" w:type="dxa"/>
            <w:tcBorders>
              <w:top w:val="nil"/>
              <w:left w:val="nil"/>
              <w:bottom w:val="nil"/>
              <w:right w:val="nil"/>
            </w:tcBorders>
            <w:shd w:val="clear" w:color="auto" w:fill="auto"/>
            <w:vAlign w:val="center"/>
          </w:tcPr>
          <w:p w14:paraId="226BDF3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10</w:t>
            </w:r>
          </w:p>
        </w:tc>
        <w:tc>
          <w:tcPr>
            <w:tcW w:w="719" w:type="dxa"/>
            <w:tcBorders>
              <w:top w:val="nil"/>
              <w:left w:val="nil"/>
              <w:bottom w:val="nil"/>
              <w:right w:val="nil"/>
            </w:tcBorders>
            <w:shd w:val="clear" w:color="auto" w:fill="auto"/>
            <w:vAlign w:val="center"/>
          </w:tcPr>
          <w:p w14:paraId="1F5EF8BB"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83.3</w:t>
            </w:r>
          </w:p>
        </w:tc>
        <w:tc>
          <w:tcPr>
            <w:tcW w:w="445" w:type="dxa"/>
            <w:tcBorders>
              <w:top w:val="nil"/>
              <w:left w:val="nil"/>
              <w:bottom w:val="nil"/>
              <w:right w:val="nil"/>
            </w:tcBorders>
            <w:shd w:val="clear" w:color="auto" w:fill="auto"/>
            <w:vAlign w:val="center"/>
          </w:tcPr>
          <w:p w14:paraId="1978D6C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70.0</w:t>
            </w:r>
          </w:p>
        </w:tc>
        <w:tc>
          <w:tcPr>
            <w:tcW w:w="719" w:type="dxa"/>
            <w:tcBorders>
              <w:top w:val="nil"/>
              <w:left w:val="nil"/>
              <w:bottom w:val="nil"/>
              <w:right w:val="nil"/>
            </w:tcBorders>
            <w:shd w:val="clear" w:color="auto" w:fill="auto"/>
            <w:vAlign w:val="center"/>
          </w:tcPr>
          <w:p w14:paraId="4BD5718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50</w:t>
            </w:r>
          </w:p>
        </w:tc>
        <w:tc>
          <w:tcPr>
            <w:tcW w:w="445" w:type="dxa"/>
            <w:tcBorders>
              <w:top w:val="nil"/>
              <w:left w:val="nil"/>
              <w:bottom w:val="nil"/>
              <w:right w:val="nil"/>
            </w:tcBorders>
            <w:shd w:val="clear" w:color="auto" w:fill="auto"/>
            <w:vAlign w:val="center"/>
          </w:tcPr>
          <w:p w14:paraId="5670457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40</w:t>
            </w:r>
          </w:p>
        </w:tc>
        <w:tc>
          <w:tcPr>
            <w:tcW w:w="719" w:type="dxa"/>
            <w:tcBorders>
              <w:top w:val="nil"/>
              <w:left w:val="nil"/>
              <w:bottom w:val="nil"/>
              <w:right w:val="nil"/>
            </w:tcBorders>
            <w:shd w:val="clear" w:color="auto" w:fill="auto"/>
            <w:vAlign w:val="center"/>
          </w:tcPr>
          <w:p w14:paraId="2C24E94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8.3</w:t>
            </w:r>
          </w:p>
        </w:tc>
        <w:tc>
          <w:tcPr>
            <w:tcW w:w="445" w:type="dxa"/>
            <w:tcBorders>
              <w:top w:val="nil"/>
              <w:left w:val="nil"/>
              <w:bottom w:val="nil"/>
              <w:right w:val="nil"/>
            </w:tcBorders>
            <w:shd w:val="clear" w:color="auto" w:fill="auto"/>
            <w:vAlign w:val="center"/>
          </w:tcPr>
          <w:p w14:paraId="1F1516FE"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20.0</w:t>
            </w:r>
          </w:p>
        </w:tc>
      </w:tr>
      <w:tr w:rsidR="00BC5D82" w14:paraId="1B641E95" w14:textId="77777777" w:rsidTr="00D22F27">
        <w:trPr>
          <w:trHeight w:val="1719"/>
        </w:trPr>
        <w:tc>
          <w:tcPr>
            <w:tcW w:w="579" w:type="dxa"/>
            <w:tcBorders>
              <w:top w:val="nil"/>
              <w:left w:val="nil"/>
              <w:bottom w:val="nil"/>
              <w:right w:val="nil"/>
            </w:tcBorders>
            <w:shd w:val="clear" w:color="auto" w:fill="D9D9D9"/>
            <w:vAlign w:val="center"/>
          </w:tcPr>
          <w:p w14:paraId="6827D69E"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PMID: 26715292</w:t>
            </w:r>
          </w:p>
        </w:tc>
        <w:tc>
          <w:tcPr>
            <w:tcW w:w="408" w:type="dxa"/>
            <w:tcBorders>
              <w:top w:val="nil"/>
              <w:left w:val="nil"/>
              <w:bottom w:val="nil"/>
              <w:right w:val="nil"/>
            </w:tcBorders>
            <w:shd w:val="clear" w:color="auto" w:fill="D9D9D9"/>
            <w:vAlign w:val="center"/>
          </w:tcPr>
          <w:p w14:paraId="5B61647B" w14:textId="2424C190" w:rsidR="006B66D5" w:rsidRDefault="00D135E7" w:rsidP="000814B7">
            <w:pPr>
              <w:spacing w:line="480" w:lineRule="auto"/>
              <w:rPr>
                <w:rFonts w:ascii="游明朝" w:eastAsia="游明朝" w:hAnsi="游明朝" w:cs="游明朝"/>
              </w:rPr>
            </w:pPr>
            <w:r>
              <w:rPr>
                <w:rFonts w:ascii="游明朝" w:eastAsia="游明朝" w:hAnsi="游明朝" w:cs="游明朝"/>
              </w:rPr>
              <w:t>Case-</w:t>
            </w:r>
            <w:r w:rsidR="001A1285">
              <w:rPr>
                <w:rFonts w:ascii="游明朝" w:eastAsia="游明朝" w:hAnsi="游明朝" w:cs="游明朝"/>
              </w:rPr>
              <w:t>control study</w:t>
            </w:r>
          </w:p>
        </w:tc>
        <w:tc>
          <w:tcPr>
            <w:tcW w:w="718" w:type="dxa"/>
            <w:tcBorders>
              <w:top w:val="nil"/>
              <w:left w:val="nil"/>
              <w:bottom w:val="nil"/>
              <w:right w:val="nil"/>
            </w:tcBorders>
            <w:shd w:val="clear" w:color="auto" w:fill="D9D9D9"/>
            <w:vAlign w:val="center"/>
          </w:tcPr>
          <w:p w14:paraId="4258B0E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Structured teaching program</w:t>
            </w:r>
          </w:p>
        </w:tc>
        <w:tc>
          <w:tcPr>
            <w:tcW w:w="591" w:type="dxa"/>
            <w:tcBorders>
              <w:top w:val="nil"/>
              <w:left w:val="nil"/>
              <w:bottom w:val="nil"/>
              <w:right w:val="nil"/>
            </w:tcBorders>
            <w:shd w:val="clear" w:color="auto" w:fill="D9D9D9"/>
            <w:vAlign w:val="center"/>
          </w:tcPr>
          <w:p w14:paraId="5F876F2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Colon cancer</w:t>
            </w:r>
          </w:p>
        </w:tc>
        <w:tc>
          <w:tcPr>
            <w:tcW w:w="842" w:type="dxa"/>
            <w:tcBorders>
              <w:top w:val="nil"/>
              <w:left w:val="nil"/>
              <w:bottom w:val="nil"/>
              <w:right w:val="nil"/>
            </w:tcBorders>
            <w:shd w:val="clear" w:color="auto" w:fill="D9D9D9"/>
            <w:vAlign w:val="center"/>
          </w:tcPr>
          <w:p w14:paraId="69C0E258" w14:textId="7A55C355" w:rsidR="006B66D5" w:rsidRDefault="001A1285" w:rsidP="000814B7">
            <w:pPr>
              <w:spacing w:line="480" w:lineRule="auto"/>
              <w:rPr>
                <w:rFonts w:ascii="游明朝" w:eastAsia="游明朝" w:hAnsi="游明朝" w:cs="游明朝"/>
              </w:rPr>
            </w:pPr>
            <w:r>
              <w:rPr>
                <w:rFonts w:ascii="游明朝" w:eastAsia="游明朝" w:hAnsi="游明朝" w:cs="游明朝"/>
              </w:rPr>
              <w:t>1250</w:t>
            </w:r>
            <w:r w:rsidR="00D135E7">
              <w:rPr>
                <w:rFonts w:ascii="游明朝" w:eastAsia="游明朝" w:hAnsi="游明朝" w:cs="游明朝"/>
              </w:rPr>
              <w:t xml:space="preserve"> </w:t>
            </w:r>
            <w:r>
              <w:rPr>
                <w:rFonts w:ascii="游明朝" w:eastAsia="游明朝" w:hAnsi="游明朝" w:cs="游明朝"/>
              </w:rPr>
              <w:t>mg/m2 or 1000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nil"/>
              <w:left w:val="nil"/>
              <w:bottom w:val="nil"/>
              <w:right w:val="nil"/>
            </w:tcBorders>
            <w:shd w:val="clear" w:color="auto" w:fill="D9D9D9"/>
            <w:vAlign w:val="center"/>
          </w:tcPr>
          <w:p w14:paraId="27B8315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N.A.</w:t>
            </w:r>
          </w:p>
        </w:tc>
        <w:tc>
          <w:tcPr>
            <w:tcW w:w="719" w:type="dxa"/>
            <w:tcBorders>
              <w:top w:val="nil"/>
              <w:left w:val="nil"/>
              <w:bottom w:val="nil"/>
              <w:right w:val="nil"/>
            </w:tcBorders>
            <w:shd w:val="clear" w:color="auto" w:fill="D9D9D9"/>
            <w:vAlign w:val="center"/>
          </w:tcPr>
          <w:p w14:paraId="604AD676"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20</w:t>
            </w:r>
          </w:p>
        </w:tc>
        <w:tc>
          <w:tcPr>
            <w:tcW w:w="445" w:type="dxa"/>
            <w:tcBorders>
              <w:top w:val="nil"/>
              <w:left w:val="nil"/>
              <w:bottom w:val="nil"/>
              <w:right w:val="nil"/>
            </w:tcBorders>
            <w:shd w:val="clear" w:color="auto" w:fill="D9D9D9"/>
            <w:vAlign w:val="center"/>
          </w:tcPr>
          <w:p w14:paraId="32125B9D"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20</w:t>
            </w:r>
          </w:p>
        </w:tc>
        <w:tc>
          <w:tcPr>
            <w:tcW w:w="719" w:type="dxa"/>
            <w:tcBorders>
              <w:top w:val="nil"/>
              <w:left w:val="nil"/>
              <w:bottom w:val="nil"/>
              <w:right w:val="nil"/>
            </w:tcBorders>
            <w:shd w:val="clear" w:color="auto" w:fill="D9D9D9"/>
            <w:vAlign w:val="center"/>
          </w:tcPr>
          <w:p w14:paraId="05515B59"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52.7</w:t>
            </w:r>
          </w:p>
        </w:tc>
        <w:tc>
          <w:tcPr>
            <w:tcW w:w="445" w:type="dxa"/>
            <w:tcBorders>
              <w:top w:val="nil"/>
              <w:left w:val="nil"/>
              <w:bottom w:val="nil"/>
              <w:right w:val="nil"/>
            </w:tcBorders>
            <w:shd w:val="clear" w:color="auto" w:fill="D9D9D9"/>
            <w:vAlign w:val="center"/>
          </w:tcPr>
          <w:p w14:paraId="1D2A197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50</w:t>
            </w:r>
          </w:p>
        </w:tc>
        <w:tc>
          <w:tcPr>
            <w:tcW w:w="719" w:type="dxa"/>
            <w:tcBorders>
              <w:top w:val="nil"/>
              <w:left w:val="nil"/>
              <w:bottom w:val="nil"/>
              <w:right w:val="nil"/>
            </w:tcBorders>
            <w:shd w:val="clear" w:color="auto" w:fill="D9D9D9"/>
            <w:vAlign w:val="center"/>
          </w:tcPr>
          <w:p w14:paraId="73206DB4"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20</w:t>
            </w:r>
          </w:p>
        </w:tc>
        <w:tc>
          <w:tcPr>
            <w:tcW w:w="445" w:type="dxa"/>
            <w:tcBorders>
              <w:top w:val="nil"/>
              <w:left w:val="nil"/>
              <w:bottom w:val="nil"/>
              <w:right w:val="nil"/>
            </w:tcBorders>
            <w:shd w:val="clear" w:color="auto" w:fill="D9D9D9"/>
            <w:vAlign w:val="center"/>
          </w:tcPr>
          <w:p w14:paraId="3E1D936B"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15.7</w:t>
            </w:r>
          </w:p>
        </w:tc>
        <w:tc>
          <w:tcPr>
            <w:tcW w:w="719" w:type="dxa"/>
            <w:tcBorders>
              <w:top w:val="nil"/>
              <w:left w:val="nil"/>
              <w:bottom w:val="nil"/>
              <w:right w:val="nil"/>
            </w:tcBorders>
            <w:shd w:val="clear" w:color="auto" w:fill="D9D9D9"/>
            <w:vAlign w:val="center"/>
          </w:tcPr>
          <w:p w14:paraId="0FAD419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5.2</w:t>
            </w:r>
          </w:p>
        </w:tc>
        <w:tc>
          <w:tcPr>
            <w:tcW w:w="445" w:type="dxa"/>
            <w:tcBorders>
              <w:top w:val="nil"/>
              <w:left w:val="nil"/>
              <w:bottom w:val="nil"/>
              <w:right w:val="nil"/>
            </w:tcBorders>
            <w:shd w:val="clear" w:color="auto" w:fill="D9D9D9"/>
            <w:vAlign w:val="center"/>
          </w:tcPr>
          <w:p w14:paraId="04BB2AC3"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10</w:t>
            </w:r>
          </w:p>
        </w:tc>
      </w:tr>
      <w:tr w:rsidR="00BC5D82" w14:paraId="414053B0" w14:textId="77777777" w:rsidTr="00D22F27">
        <w:trPr>
          <w:trHeight w:val="1435"/>
        </w:trPr>
        <w:tc>
          <w:tcPr>
            <w:tcW w:w="579" w:type="dxa"/>
            <w:tcBorders>
              <w:top w:val="nil"/>
              <w:left w:val="nil"/>
              <w:bottom w:val="single" w:sz="8" w:space="0" w:color="000000"/>
              <w:right w:val="nil"/>
            </w:tcBorders>
            <w:shd w:val="clear" w:color="auto" w:fill="auto"/>
            <w:vAlign w:val="center"/>
          </w:tcPr>
          <w:p w14:paraId="6AF60641"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PMID: 32717127</w:t>
            </w:r>
          </w:p>
        </w:tc>
        <w:tc>
          <w:tcPr>
            <w:tcW w:w="408" w:type="dxa"/>
            <w:tcBorders>
              <w:top w:val="nil"/>
              <w:left w:val="nil"/>
              <w:bottom w:val="single" w:sz="8" w:space="0" w:color="000000"/>
              <w:right w:val="nil"/>
            </w:tcBorders>
            <w:shd w:val="clear" w:color="auto" w:fill="auto"/>
            <w:vAlign w:val="center"/>
          </w:tcPr>
          <w:p w14:paraId="7B5ADA6E"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RCT</w:t>
            </w:r>
          </w:p>
        </w:tc>
        <w:tc>
          <w:tcPr>
            <w:tcW w:w="718" w:type="dxa"/>
            <w:tcBorders>
              <w:top w:val="nil"/>
              <w:left w:val="nil"/>
              <w:bottom w:val="single" w:sz="8" w:space="0" w:color="000000"/>
              <w:right w:val="nil"/>
            </w:tcBorders>
            <w:shd w:val="clear" w:color="auto" w:fill="auto"/>
            <w:vAlign w:val="center"/>
          </w:tcPr>
          <w:p w14:paraId="677AA0AD"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Structured Teaching Module</w:t>
            </w:r>
          </w:p>
        </w:tc>
        <w:tc>
          <w:tcPr>
            <w:tcW w:w="591" w:type="dxa"/>
            <w:tcBorders>
              <w:top w:val="nil"/>
              <w:left w:val="nil"/>
              <w:bottom w:val="single" w:sz="8" w:space="0" w:color="000000"/>
              <w:right w:val="nil"/>
            </w:tcBorders>
            <w:shd w:val="clear" w:color="auto" w:fill="auto"/>
            <w:vAlign w:val="center"/>
          </w:tcPr>
          <w:p w14:paraId="6672EA48"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Colorectal cancer</w:t>
            </w:r>
          </w:p>
        </w:tc>
        <w:tc>
          <w:tcPr>
            <w:tcW w:w="842" w:type="dxa"/>
            <w:tcBorders>
              <w:top w:val="nil"/>
              <w:left w:val="nil"/>
              <w:bottom w:val="single" w:sz="8" w:space="0" w:color="000000"/>
              <w:right w:val="nil"/>
            </w:tcBorders>
            <w:shd w:val="clear" w:color="auto" w:fill="auto"/>
            <w:vAlign w:val="center"/>
          </w:tcPr>
          <w:p w14:paraId="6192B966" w14:textId="590C403D" w:rsidR="006B66D5" w:rsidRDefault="001A1285" w:rsidP="000814B7">
            <w:pPr>
              <w:spacing w:line="480" w:lineRule="auto"/>
              <w:rPr>
                <w:rFonts w:ascii="游明朝" w:eastAsia="游明朝" w:hAnsi="游明朝" w:cs="游明朝"/>
              </w:rPr>
            </w:pPr>
            <w:r>
              <w:rPr>
                <w:rFonts w:ascii="游明朝" w:eastAsia="游明朝" w:hAnsi="游明朝" w:cs="游明朝"/>
              </w:rPr>
              <w:t>1000</w:t>
            </w:r>
            <w:r w:rsidR="00D135E7">
              <w:rPr>
                <w:rFonts w:ascii="游明朝" w:eastAsia="游明朝" w:hAnsi="游明朝" w:cs="游明朝"/>
              </w:rPr>
              <w:t xml:space="preserve"> </w:t>
            </w:r>
            <w:r>
              <w:rPr>
                <w:rFonts w:ascii="游明朝" w:eastAsia="游明朝" w:hAnsi="游明朝" w:cs="游明朝"/>
              </w:rPr>
              <w:t>mg/m2</w:t>
            </w:r>
          </w:p>
        </w:tc>
        <w:tc>
          <w:tcPr>
            <w:tcW w:w="710" w:type="dxa"/>
            <w:tcBorders>
              <w:top w:val="nil"/>
              <w:left w:val="nil"/>
              <w:bottom w:val="single" w:sz="8" w:space="0" w:color="000000"/>
              <w:right w:val="nil"/>
            </w:tcBorders>
            <w:shd w:val="clear" w:color="auto" w:fill="auto"/>
            <w:vAlign w:val="center"/>
          </w:tcPr>
          <w:p w14:paraId="54DF77D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4.5 months</w:t>
            </w:r>
          </w:p>
          <w:p w14:paraId="1C0446C6"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(median)</w:t>
            </w:r>
          </w:p>
        </w:tc>
        <w:tc>
          <w:tcPr>
            <w:tcW w:w="719" w:type="dxa"/>
            <w:tcBorders>
              <w:top w:val="nil"/>
              <w:left w:val="nil"/>
              <w:bottom w:val="single" w:sz="8" w:space="0" w:color="000000"/>
              <w:right w:val="nil"/>
            </w:tcBorders>
            <w:shd w:val="clear" w:color="auto" w:fill="auto"/>
            <w:vAlign w:val="center"/>
          </w:tcPr>
          <w:p w14:paraId="6B1BD618"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140</w:t>
            </w:r>
          </w:p>
        </w:tc>
        <w:tc>
          <w:tcPr>
            <w:tcW w:w="445" w:type="dxa"/>
            <w:tcBorders>
              <w:top w:val="nil"/>
              <w:left w:val="nil"/>
              <w:bottom w:val="single" w:sz="8" w:space="0" w:color="000000"/>
              <w:right w:val="nil"/>
            </w:tcBorders>
            <w:shd w:val="clear" w:color="auto" w:fill="auto"/>
            <w:vAlign w:val="center"/>
          </w:tcPr>
          <w:p w14:paraId="25F15174"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140</w:t>
            </w:r>
          </w:p>
        </w:tc>
        <w:tc>
          <w:tcPr>
            <w:tcW w:w="719" w:type="dxa"/>
            <w:tcBorders>
              <w:top w:val="nil"/>
              <w:left w:val="nil"/>
              <w:bottom w:val="single" w:sz="8" w:space="0" w:color="000000"/>
              <w:right w:val="nil"/>
            </w:tcBorders>
            <w:shd w:val="clear" w:color="auto" w:fill="auto"/>
            <w:vAlign w:val="center"/>
          </w:tcPr>
          <w:p w14:paraId="35CE96F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97.7</w:t>
            </w:r>
          </w:p>
        </w:tc>
        <w:tc>
          <w:tcPr>
            <w:tcW w:w="445" w:type="dxa"/>
            <w:tcBorders>
              <w:top w:val="nil"/>
              <w:left w:val="nil"/>
              <w:bottom w:val="single" w:sz="8" w:space="0" w:color="000000"/>
              <w:right w:val="nil"/>
            </w:tcBorders>
            <w:shd w:val="clear" w:color="auto" w:fill="auto"/>
            <w:vAlign w:val="center"/>
          </w:tcPr>
          <w:p w14:paraId="518395E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95.6</w:t>
            </w:r>
          </w:p>
        </w:tc>
        <w:tc>
          <w:tcPr>
            <w:tcW w:w="719" w:type="dxa"/>
            <w:tcBorders>
              <w:top w:val="nil"/>
              <w:left w:val="nil"/>
              <w:bottom w:val="single" w:sz="8" w:space="0" w:color="000000"/>
              <w:right w:val="nil"/>
            </w:tcBorders>
            <w:shd w:val="clear" w:color="auto" w:fill="auto"/>
            <w:vAlign w:val="center"/>
          </w:tcPr>
          <w:p w14:paraId="401A433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33.3</w:t>
            </w:r>
          </w:p>
        </w:tc>
        <w:tc>
          <w:tcPr>
            <w:tcW w:w="445" w:type="dxa"/>
            <w:tcBorders>
              <w:top w:val="nil"/>
              <w:left w:val="nil"/>
              <w:bottom w:val="single" w:sz="8" w:space="0" w:color="000000"/>
              <w:right w:val="nil"/>
            </w:tcBorders>
            <w:shd w:val="clear" w:color="auto" w:fill="auto"/>
            <w:vAlign w:val="center"/>
          </w:tcPr>
          <w:p w14:paraId="4A906FD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32.8</w:t>
            </w:r>
          </w:p>
        </w:tc>
        <w:tc>
          <w:tcPr>
            <w:tcW w:w="719" w:type="dxa"/>
            <w:tcBorders>
              <w:top w:val="nil"/>
              <w:left w:val="nil"/>
              <w:bottom w:val="single" w:sz="8" w:space="0" w:color="000000"/>
              <w:right w:val="nil"/>
            </w:tcBorders>
            <w:shd w:val="clear" w:color="auto" w:fill="auto"/>
            <w:vAlign w:val="center"/>
          </w:tcPr>
          <w:p w14:paraId="221F580F"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5.2</w:t>
            </w:r>
          </w:p>
        </w:tc>
        <w:tc>
          <w:tcPr>
            <w:tcW w:w="445" w:type="dxa"/>
            <w:tcBorders>
              <w:top w:val="nil"/>
              <w:left w:val="nil"/>
              <w:bottom w:val="single" w:sz="8" w:space="0" w:color="000000"/>
              <w:right w:val="nil"/>
            </w:tcBorders>
            <w:shd w:val="clear" w:color="auto" w:fill="auto"/>
            <w:vAlign w:val="center"/>
          </w:tcPr>
          <w:p w14:paraId="2781FFD5"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6.8</w:t>
            </w:r>
          </w:p>
        </w:tc>
      </w:tr>
    </w:tbl>
    <w:p w14:paraId="4F30F1B6" w14:textId="523D026F" w:rsidR="00D22F27" w:rsidRDefault="001A1285" w:rsidP="00D22F27">
      <w:pPr>
        <w:spacing w:line="480" w:lineRule="auto"/>
        <w:rPr>
          <w:rFonts w:ascii="游明朝" w:eastAsia="游明朝" w:hAnsi="游明朝" w:cs="游明朝"/>
        </w:rPr>
      </w:pPr>
      <w:r>
        <w:rPr>
          <w:rFonts w:ascii="游明朝" w:eastAsia="游明朝" w:hAnsi="游明朝" w:cs="游明朝"/>
        </w:rPr>
        <w:t>HFS, hand-foot syndrome</w:t>
      </w:r>
      <w:r w:rsidR="00383684">
        <w:rPr>
          <w:rFonts w:ascii="游明朝" w:eastAsia="游明朝" w:hAnsi="游明朝" w:cs="游明朝"/>
        </w:rPr>
        <w:t>; N.A., not available</w:t>
      </w:r>
    </w:p>
    <w:p w14:paraId="70C262CC" w14:textId="16D05BEF"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Based on this background, a </w:t>
      </w:r>
      <w:r w:rsidR="00D135E7" w:rsidRPr="00BA2B56">
        <w:t>multidisciplinary-collaborated cancer support team</w:t>
      </w:r>
      <w:r w:rsidR="00D135E7">
        <w:rPr>
          <w:rFonts w:ascii="游明朝" w:eastAsia="游明朝" w:hAnsi="游明朝" w:cs="游明朝"/>
        </w:rPr>
        <w:t xml:space="preserve"> </w:t>
      </w:r>
      <w:r>
        <w:rPr>
          <w:rFonts w:ascii="游明朝" w:eastAsia="游明朝" w:hAnsi="游明朝" w:cs="游明朝"/>
        </w:rPr>
        <w:t>consisting of physicians, pharmacists, nurses, and nutritionists examined the role of each occupation and treatment guideline and created a supportive care protocol for HFS. Th</w:t>
      </w:r>
      <w:r w:rsidR="00D135E7">
        <w:rPr>
          <w:rFonts w:ascii="游明朝" w:eastAsia="游明朝" w:hAnsi="游明朝" w:cs="游明朝"/>
        </w:rPr>
        <w:t>is study aimed</w:t>
      </w:r>
      <w:r>
        <w:rPr>
          <w:rFonts w:ascii="游明朝" w:eastAsia="游明朝" w:hAnsi="游明朝" w:cs="游明朝"/>
        </w:rPr>
        <w:t xml:space="preserve"> to prevent HFS and provide early therapeutic intervention to reduce or aggravate HFS, thereby </w:t>
      </w:r>
      <w:r>
        <w:rPr>
          <w:rFonts w:ascii="游明朝" w:eastAsia="游明朝" w:hAnsi="游明朝" w:cs="游明朝"/>
        </w:rPr>
        <w:lastRenderedPageBreak/>
        <w:t xml:space="preserve">improving the dose intensity of cancer chemotherapy and the </w:t>
      </w:r>
      <w:r w:rsidR="00D135E7">
        <w:rPr>
          <w:rFonts w:ascii="游明朝" w:eastAsia="游明朝" w:hAnsi="游明朝" w:cs="游明朝"/>
        </w:rPr>
        <w:t xml:space="preserve">patient’s </w:t>
      </w:r>
      <w:r>
        <w:rPr>
          <w:rFonts w:ascii="游明朝" w:eastAsia="游明朝" w:hAnsi="游明朝" w:cs="游明朝"/>
        </w:rPr>
        <w:t>QOL. In addition, we expect that clarification of the role of each occupation will improve the efficiency of work, enhance multidisciplinary team medical care, and improve skills.</w:t>
      </w:r>
    </w:p>
    <w:p w14:paraId="1AB16977" w14:textId="77777777" w:rsidR="006B66D5" w:rsidRDefault="006B66D5" w:rsidP="000814B7">
      <w:pPr>
        <w:spacing w:line="480" w:lineRule="auto"/>
      </w:pPr>
    </w:p>
    <w:p w14:paraId="2327B44D"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Role of each occupation</w:t>
      </w:r>
    </w:p>
    <w:p w14:paraId="453CBF0C" w14:textId="782E730A" w:rsidR="006B66D5" w:rsidRDefault="001A1285" w:rsidP="000814B7">
      <w:pPr>
        <w:spacing w:line="480" w:lineRule="auto"/>
        <w:ind w:firstLine="105"/>
        <w:rPr>
          <w:rFonts w:ascii="游明朝" w:eastAsia="游明朝" w:hAnsi="游明朝" w:cs="游明朝"/>
        </w:rPr>
      </w:pPr>
      <w:r>
        <w:rPr>
          <w:rFonts w:ascii="游明朝" w:eastAsia="游明朝" w:hAnsi="游明朝" w:cs="游明朝"/>
        </w:rPr>
        <w:t>Physicians evaluate HFS, determine whether to continue chemotherapy, prescribe drugs for HFS prevention and treatment, and request dermatology consultation. Nurses evaluate skin disorders in general and provide patient</w:t>
      </w:r>
      <w:r w:rsidR="00D135E7">
        <w:rPr>
          <w:rFonts w:ascii="游明朝" w:eastAsia="游明朝" w:hAnsi="游明朝" w:cs="游明朝"/>
        </w:rPr>
        <w:t>s</w:t>
      </w:r>
      <w:r>
        <w:rPr>
          <w:rFonts w:ascii="游明朝" w:eastAsia="游明朝" w:hAnsi="游明朝" w:cs="游明朝"/>
        </w:rPr>
        <w:t xml:space="preserve"> </w:t>
      </w:r>
      <w:r w:rsidR="00D135E7">
        <w:rPr>
          <w:rFonts w:ascii="游明朝" w:eastAsia="游明朝" w:hAnsi="游明朝" w:cs="游明朝"/>
        </w:rPr>
        <w:t xml:space="preserve">with </w:t>
      </w:r>
      <w:r>
        <w:rPr>
          <w:rFonts w:ascii="游明朝" w:eastAsia="游明朝" w:hAnsi="游明朝" w:cs="游明朝"/>
        </w:rPr>
        <w:t>self-care guidance. Pharmacists evaluate skin disorders, recommend suspension of chemotherapy owing to skin disorders, provide guidance to maintain self-adherence, and propose prescriptions*) for the prevention and management of skin disorders. As it has been suggested that skin disorders are related to nutritional status, nutritionists provide nutritional guidance.</w:t>
      </w:r>
    </w:p>
    <w:p w14:paraId="4679F75E" w14:textId="77777777" w:rsidR="006B66D5" w:rsidRDefault="006B66D5" w:rsidP="000814B7">
      <w:pPr>
        <w:spacing w:line="480" w:lineRule="auto"/>
      </w:pPr>
    </w:p>
    <w:p w14:paraId="501399FA" w14:textId="0F75431A"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If a pharmacist proposes a prescription, it </w:t>
      </w:r>
      <w:r w:rsidR="00D135E7">
        <w:rPr>
          <w:rFonts w:ascii="游明朝" w:eastAsia="游明朝" w:hAnsi="游明朝" w:cs="游明朝"/>
        </w:rPr>
        <w:t xml:space="preserve">should </w:t>
      </w:r>
      <w:r>
        <w:rPr>
          <w:rFonts w:ascii="游明朝" w:eastAsia="游明朝" w:hAnsi="游明朝" w:cs="游明朝"/>
        </w:rPr>
        <w:t xml:space="preserve">be within the scope stipulated in the hospital procedure manual, and the pharmacist who recommends the prescription </w:t>
      </w:r>
      <w:r w:rsidR="00D135E7">
        <w:rPr>
          <w:rFonts w:ascii="游明朝" w:eastAsia="游明朝" w:hAnsi="游明朝" w:cs="游明朝"/>
        </w:rPr>
        <w:t xml:space="preserve">should </w:t>
      </w:r>
      <w:r>
        <w:rPr>
          <w:rFonts w:ascii="游明朝" w:eastAsia="游明朝" w:hAnsi="游明朝" w:cs="游明朝"/>
        </w:rPr>
        <w:t xml:space="preserve">have more than half a year of outpatient pharmacist assignment experience and be appointed by a </w:t>
      </w:r>
      <w:r w:rsidR="00D135E7" w:rsidRPr="00D135E7">
        <w:rPr>
          <w:rFonts w:ascii="游明朝" w:eastAsia="游明朝" w:hAnsi="游明朝" w:cs="游明朝"/>
        </w:rPr>
        <w:t>Japanese Society of Pharmaceutical Health Care and Sciences</w:t>
      </w:r>
      <w:r>
        <w:rPr>
          <w:rFonts w:ascii="游明朝" w:eastAsia="游明朝" w:hAnsi="游明朝" w:cs="游明朝"/>
        </w:rPr>
        <w:t>-Certified Senior Oncology Pharmacist</w:t>
      </w:r>
      <w:r w:rsidR="00D135E7">
        <w:rPr>
          <w:rFonts w:ascii="游明朝" w:eastAsia="游明朝" w:hAnsi="游明朝" w:cs="游明朝"/>
        </w:rPr>
        <w:t>, which</w:t>
      </w:r>
      <w:r>
        <w:rPr>
          <w:rFonts w:ascii="游明朝" w:eastAsia="游明朝" w:hAnsi="游明朝" w:cs="游明朝"/>
        </w:rPr>
        <w:t xml:space="preserve"> enables prescription recommendations.</w:t>
      </w:r>
    </w:p>
    <w:p w14:paraId="1B06FAF1" w14:textId="77777777" w:rsidR="006B66D5" w:rsidRDefault="006B66D5" w:rsidP="000814B7">
      <w:pPr>
        <w:spacing w:line="480" w:lineRule="auto"/>
      </w:pPr>
    </w:p>
    <w:p w14:paraId="75D5B156"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HFS preventive measures and medical guidance</w:t>
      </w:r>
    </w:p>
    <w:p w14:paraId="22011C84" w14:textId="11AFD382" w:rsidR="006B66D5" w:rsidRDefault="001A1285" w:rsidP="000814B7">
      <w:pPr>
        <w:spacing w:line="480" w:lineRule="auto"/>
        <w:ind w:firstLine="105"/>
        <w:rPr>
          <w:rFonts w:ascii="游明朝" w:eastAsia="游明朝" w:hAnsi="游明朝" w:cs="游明朝"/>
        </w:rPr>
      </w:pPr>
      <w:r>
        <w:rPr>
          <w:rFonts w:ascii="游明朝" w:eastAsia="游明朝" w:hAnsi="游明朝" w:cs="游明朝"/>
        </w:rPr>
        <w:t xml:space="preserve">Before starting chemotherapy, the physicians prescribed the supportive care drugs specified in Table 4. </w:t>
      </w:r>
      <w:r w:rsidR="00D135E7">
        <w:rPr>
          <w:rFonts w:ascii="游明朝" w:eastAsia="游明朝" w:hAnsi="游明朝" w:cs="游明朝"/>
        </w:rPr>
        <w:t xml:space="preserve">Next, pharmacists </w:t>
      </w:r>
      <w:r>
        <w:rPr>
          <w:rFonts w:ascii="游明朝" w:eastAsia="游明朝" w:hAnsi="游明朝" w:cs="游明朝"/>
        </w:rPr>
        <w:t>explain</w:t>
      </w:r>
      <w:r w:rsidR="00BD4CC6">
        <w:rPr>
          <w:rFonts w:ascii="游明朝" w:eastAsia="游明朝" w:hAnsi="游明朝" w:cs="游明朝"/>
        </w:rPr>
        <w:t>ed</w:t>
      </w:r>
      <w:r>
        <w:rPr>
          <w:rFonts w:ascii="游明朝" w:eastAsia="游明朝" w:hAnsi="游明朝" w:cs="游明朝"/>
        </w:rPr>
        <w:t xml:space="preserve"> the dosage and administration of chemotherapeutic agents, efficacy, side effects, and application of topical preparations. </w:t>
      </w:r>
      <w:r w:rsidR="00D135E7">
        <w:rPr>
          <w:rFonts w:ascii="游明朝" w:eastAsia="游明朝" w:hAnsi="游明朝" w:cs="游明朝"/>
        </w:rPr>
        <w:t>In addition, n</w:t>
      </w:r>
      <w:r>
        <w:rPr>
          <w:rFonts w:ascii="游明朝" w:eastAsia="游明朝" w:hAnsi="游明朝" w:cs="游明朝"/>
        </w:rPr>
        <w:t>urses provide</w:t>
      </w:r>
      <w:r w:rsidR="00BD4CC6">
        <w:rPr>
          <w:rFonts w:ascii="游明朝" w:eastAsia="游明朝" w:hAnsi="游明朝" w:cs="游明朝"/>
        </w:rPr>
        <w:t>d</w:t>
      </w:r>
      <w:r>
        <w:rPr>
          <w:rFonts w:ascii="游明朝" w:eastAsia="游明朝" w:hAnsi="游明朝" w:cs="游明朝"/>
        </w:rPr>
        <w:t xml:space="preserve"> instructions on how to cleanse (wash face, bathe/shower), moisturize, and protect (washing, choosing clothes, </w:t>
      </w:r>
      <w:r w:rsidR="00D135E7">
        <w:rPr>
          <w:rFonts w:ascii="游明朝" w:eastAsia="游明朝" w:hAnsi="游明朝" w:cs="游明朝"/>
        </w:rPr>
        <w:t>ultraviolet</w:t>
      </w:r>
      <w:r>
        <w:rPr>
          <w:rFonts w:ascii="游明朝" w:eastAsia="游明朝" w:hAnsi="游明朝" w:cs="游明朝"/>
        </w:rPr>
        <w:t xml:space="preserve"> protection, applying makeup/shaving).</w:t>
      </w:r>
    </w:p>
    <w:p w14:paraId="1FAFB990" w14:textId="77777777" w:rsidR="006B66D5" w:rsidRDefault="006B66D5" w:rsidP="000814B7">
      <w:pPr>
        <w:spacing w:line="480" w:lineRule="auto"/>
      </w:pPr>
    </w:p>
    <w:p w14:paraId="336E9956" w14:textId="29E8FF2A"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 xml:space="preserve">Completion of side effect self-report form by </w:t>
      </w:r>
      <w:r w:rsidR="00D135E7">
        <w:rPr>
          <w:rFonts w:ascii="游明朝" w:eastAsia="游明朝" w:hAnsi="游明朝" w:cs="游明朝"/>
        </w:rPr>
        <w:t xml:space="preserve">the </w:t>
      </w:r>
      <w:r>
        <w:rPr>
          <w:rFonts w:ascii="游明朝" w:eastAsia="游明朝" w:hAnsi="游明朝" w:cs="游明朝"/>
        </w:rPr>
        <w:t>patient</w:t>
      </w:r>
    </w:p>
    <w:p w14:paraId="34FD51C8" w14:textId="59728F02"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The patient fills in when side effects appear from the date of initiation of the anticancer drug treatment. The completed self-report form will be handed to the medical staff during the outpatient visit and shared with the team.</w:t>
      </w:r>
    </w:p>
    <w:p w14:paraId="753741D1" w14:textId="77777777" w:rsidR="006B66D5" w:rsidRDefault="006B66D5" w:rsidP="000814B7">
      <w:pPr>
        <w:spacing w:line="480" w:lineRule="auto"/>
      </w:pPr>
    </w:p>
    <w:p w14:paraId="63E4D8CC"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Table 2. Self-report of adverse events 1</w:t>
      </w:r>
    </w:p>
    <w:tbl>
      <w:tblPr>
        <w:tblW w:w="0" w:type="auto"/>
        <w:tblCellMar>
          <w:left w:w="0" w:type="dxa"/>
          <w:right w:w="0" w:type="dxa"/>
        </w:tblCellMar>
        <w:tblLook w:val="0000" w:firstRow="0" w:lastRow="0" w:firstColumn="0" w:lastColumn="0" w:noHBand="0" w:noVBand="0"/>
      </w:tblPr>
      <w:tblGrid>
        <w:gridCol w:w="1136"/>
        <w:gridCol w:w="4163"/>
        <w:gridCol w:w="532"/>
        <w:gridCol w:w="287"/>
        <w:gridCol w:w="287"/>
        <w:gridCol w:w="287"/>
        <w:gridCol w:w="287"/>
        <w:gridCol w:w="287"/>
        <w:gridCol w:w="287"/>
        <w:gridCol w:w="287"/>
      </w:tblGrid>
      <w:tr w:rsidR="00BC5D82" w14:paraId="79CA473C" w14:textId="77777777">
        <w:trPr>
          <w:trHeight w:val="368"/>
        </w:trPr>
        <w:tc>
          <w:tcPr>
            <w:tcW w:w="7840" w:type="dxa"/>
            <w:gridSpan w:val="10"/>
            <w:tcBorders>
              <w:top w:val="single" w:sz="8" w:space="0" w:color="FFFFFF"/>
              <w:left w:val="single" w:sz="8" w:space="0" w:color="FFFFFF"/>
              <w:bottom w:val="single" w:sz="8" w:space="0" w:color="FFFFFF"/>
              <w:right w:val="single" w:sz="8" w:space="0" w:color="FFFFFF"/>
            </w:tcBorders>
            <w:shd w:val="clear" w:color="auto" w:fill="E9EBF5"/>
            <w:vAlign w:val="center"/>
          </w:tcPr>
          <w:p w14:paraId="5D5DFD46"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Side effect self-report 1</w:t>
            </w:r>
          </w:p>
        </w:tc>
      </w:tr>
      <w:tr w:rsidR="00BC5D82" w14:paraId="23236BF5" w14:textId="77777777">
        <w:trPr>
          <w:trHeight w:val="368"/>
        </w:trPr>
        <w:tc>
          <w:tcPr>
            <w:tcW w:w="7840" w:type="dxa"/>
            <w:gridSpan w:val="10"/>
            <w:tcBorders>
              <w:top w:val="single" w:sz="8" w:space="0" w:color="FFFFFF"/>
              <w:left w:val="single" w:sz="8" w:space="0" w:color="FFFFFF"/>
              <w:bottom w:val="single" w:sz="8" w:space="0" w:color="FFFFFF"/>
              <w:right w:val="single" w:sz="8" w:space="0" w:color="FFFFFF"/>
            </w:tcBorders>
            <w:shd w:val="clear" w:color="auto" w:fill="E9EBF5"/>
          </w:tcPr>
          <w:p w14:paraId="601BBCB6"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Name                                                                                                                                              Date</w:t>
            </w:r>
          </w:p>
        </w:tc>
      </w:tr>
      <w:tr w:rsidR="00BC5D82" w14:paraId="16A04F94" w14:textId="77777777">
        <w:trPr>
          <w:trHeight w:val="368"/>
        </w:trPr>
        <w:tc>
          <w:tcPr>
            <w:tcW w:w="5299" w:type="dxa"/>
            <w:gridSpan w:val="2"/>
            <w:tcBorders>
              <w:top w:val="single" w:sz="8" w:space="0" w:color="FFFFFF"/>
              <w:left w:val="single" w:sz="8" w:space="0" w:color="FFFFFF"/>
              <w:bottom w:val="single" w:sz="8" w:space="0" w:color="FFFFFF"/>
              <w:right w:val="single" w:sz="8" w:space="0" w:color="FFFFFF"/>
            </w:tcBorders>
            <w:shd w:val="clear" w:color="auto" w:fill="E9EBF5"/>
          </w:tcPr>
          <w:p w14:paraId="20F167AE" w14:textId="77777777" w:rsidR="006B66D5" w:rsidRDefault="001A1285" w:rsidP="000814B7">
            <w:pPr>
              <w:widowControl/>
              <w:spacing w:line="480" w:lineRule="auto"/>
              <w:jc w:val="center"/>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823313C"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Grade</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924BF63"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1CF04B9"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DF4D2D1"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448A32D"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1A8BA81"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107D9CE"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c>
          <w:tcPr>
            <w:tcW w:w="287"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53B7FBD"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w:t>
            </w:r>
          </w:p>
        </w:tc>
      </w:tr>
      <w:tr w:rsidR="00BC5D82" w14:paraId="4972622B" w14:textId="77777777">
        <w:trPr>
          <w:trHeight w:val="381"/>
        </w:trPr>
        <w:tc>
          <w:tcPr>
            <w:tcW w:w="1136"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1F19930B"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lastRenderedPageBreak/>
              <w:t>Stomatitis</w:t>
            </w: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32AE244" w14:textId="1AE53238"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I have stomatitis</w:t>
            </w:r>
            <w:r w:rsidR="00D135E7">
              <w:rPr>
                <w:rFonts w:ascii="Arial" w:eastAsia="Arial" w:hAnsi="Arial" w:cs="Arial"/>
                <w:color w:val="000000"/>
                <w:sz w:val="18"/>
              </w:rPr>
              <w:t>; however,</w:t>
            </w:r>
            <w:r>
              <w:rPr>
                <w:rFonts w:ascii="Arial" w:eastAsia="Arial" w:hAnsi="Arial" w:cs="Arial"/>
                <w:color w:val="000000"/>
                <w:sz w:val="18"/>
              </w:rPr>
              <w:t xml:space="preserve"> it does not hurt.</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F37194E"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1</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FD28D9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B8DD16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AA78BE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8AEDFD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7CDA9B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7F4F2A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B0DBF5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13525F4B"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442CE53C"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96311EE" w14:textId="65C456CC"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Stomatitis hurts a little</w:t>
            </w:r>
            <w:r w:rsidR="00D135E7">
              <w:rPr>
                <w:rFonts w:ascii="Arial" w:eastAsia="Arial" w:hAnsi="Arial" w:cs="Arial"/>
                <w:color w:val="000000"/>
                <w:sz w:val="18"/>
              </w:rPr>
              <w:t>; however,</w:t>
            </w:r>
            <w:r>
              <w:rPr>
                <w:rFonts w:ascii="Arial" w:eastAsia="Arial" w:hAnsi="Arial" w:cs="Arial"/>
                <w:color w:val="000000"/>
                <w:sz w:val="18"/>
              </w:rPr>
              <w:t xml:space="preserve"> I can eat more than half.</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8B396DA"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2</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CAEF64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F2B97E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670428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BB5104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C3F635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6D1F23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F4709D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061580F1"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5A1E8B66"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0D6A903"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I can hardly eat because of stomatitis.</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61EB394"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3</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2DC064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DEA105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78189B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F8CED2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C71AE9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043485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03A427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7CE412C3" w14:textId="77777777">
        <w:trPr>
          <w:trHeight w:val="381"/>
        </w:trPr>
        <w:tc>
          <w:tcPr>
            <w:tcW w:w="1136"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020054A1"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Hand foot syndrome</w:t>
            </w: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1BB4501"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Red and swollen, but no pain.</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853311F"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1</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A90697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12B206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E87A46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4BBD7A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54D8E7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B5E5E4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E54238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77D5D4C9"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54B0B481"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A09A7D6" w14:textId="3842C2C0"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There is pain</w:t>
            </w:r>
            <w:r w:rsidR="00D135E7">
              <w:rPr>
                <w:rFonts w:ascii="Arial" w:eastAsia="Arial" w:hAnsi="Arial" w:cs="Arial"/>
                <w:color w:val="000000"/>
                <w:sz w:val="18"/>
              </w:rPr>
              <w:t xml:space="preserve">; however, </w:t>
            </w:r>
            <w:r>
              <w:rPr>
                <w:rFonts w:ascii="Arial" w:eastAsia="Arial" w:hAnsi="Arial" w:cs="Arial"/>
                <w:color w:val="000000"/>
                <w:sz w:val="18"/>
              </w:rPr>
              <w:t>it does not interfere with daily life.</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F787097"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2</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A84455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F66125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9DB9D9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939132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DA0979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4E415D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D274D8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1F9BB325"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61510B51"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D2C1CA1"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It is painful and interferes with daily life.</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053568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3</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82A832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1F7604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A34E16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9B7F7F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1AFDC5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2A52FA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621F40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7E8DC61B" w14:textId="77777777">
        <w:trPr>
          <w:trHeight w:val="388"/>
        </w:trPr>
        <w:tc>
          <w:tcPr>
            <w:tcW w:w="1136"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33345CEC"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Pigmentation</w:t>
            </w: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ADD9256" w14:textId="74361624"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There is pigmentation in limited</w:t>
            </w:r>
            <w:r w:rsidR="00D135E7">
              <w:rPr>
                <w:rFonts w:ascii="Arial" w:eastAsia="Arial" w:hAnsi="Arial" w:cs="Arial"/>
                <w:color w:val="000000"/>
                <w:sz w:val="18"/>
              </w:rPr>
              <w:t xml:space="preserve">, </w:t>
            </w:r>
            <w:r>
              <w:rPr>
                <w:rFonts w:ascii="Arial" w:eastAsia="Arial" w:hAnsi="Arial" w:cs="Arial"/>
                <w:color w:val="000000"/>
                <w:sz w:val="18"/>
              </w:rPr>
              <w:t>such as fingertips.</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143EDD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1</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6075F7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3E536D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B757FD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5B63B9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B19CE1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803992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D17365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4DB7072E"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1FF5F3B8"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993A1B3"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There is systemic pigmentation.</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FAF3148"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2</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F028E8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022456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DCE60E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167825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B00EF7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DEFA59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DB040E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5EFC64AA" w14:textId="77777777">
        <w:trPr>
          <w:trHeight w:val="541"/>
        </w:trPr>
        <w:tc>
          <w:tcPr>
            <w:tcW w:w="1136"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019B5611"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Peripheral neuropathy</w:t>
            </w: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F41824C" w14:textId="59FC4D7A"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There is some numbness</w:t>
            </w:r>
            <w:r w:rsidR="00332BE6">
              <w:rPr>
                <w:rFonts w:ascii="Arial" w:eastAsia="Arial" w:hAnsi="Arial" w:cs="Arial"/>
                <w:color w:val="000000"/>
                <w:sz w:val="18"/>
              </w:rPr>
              <w:t>; however,</w:t>
            </w:r>
            <w:r>
              <w:rPr>
                <w:rFonts w:ascii="Arial" w:eastAsia="Arial" w:hAnsi="Arial" w:cs="Arial"/>
                <w:color w:val="000000"/>
                <w:sz w:val="18"/>
              </w:rPr>
              <w:t xml:space="preserve"> it does not affect the operation.</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F30795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1</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1AB30A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F7760A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1C3873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5260FF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03FFE5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20CB6C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CCDD1F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0E953DEC" w14:textId="77777777">
        <w:trPr>
          <w:trHeight w:val="572"/>
        </w:trPr>
        <w:tc>
          <w:tcPr>
            <w:tcW w:w="1136" w:type="dxa"/>
            <w:vMerge/>
            <w:tcBorders>
              <w:top w:val="nil"/>
              <w:left w:val="single" w:sz="8" w:space="0" w:color="FFFFFF"/>
              <w:bottom w:val="single" w:sz="8" w:space="0" w:color="FFFFFF"/>
              <w:right w:val="single" w:sz="8" w:space="0" w:color="FFFFFF"/>
            </w:tcBorders>
            <w:shd w:val="clear" w:color="auto" w:fill="E9EBF5"/>
          </w:tcPr>
          <w:p w14:paraId="13AEC499"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2B8D835" w14:textId="3F351876"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It is difficult to act due to numbness</w:t>
            </w:r>
            <w:r w:rsidR="00332BE6">
              <w:rPr>
                <w:rFonts w:ascii="Arial" w:eastAsia="Arial" w:hAnsi="Arial" w:cs="Arial"/>
                <w:color w:val="000000"/>
                <w:sz w:val="18"/>
              </w:rPr>
              <w:t>; however,</w:t>
            </w:r>
            <w:r>
              <w:rPr>
                <w:rFonts w:ascii="Arial" w:eastAsia="Arial" w:hAnsi="Arial" w:cs="Arial"/>
                <w:color w:val="000000"/>
                <w:sz w:val="18"/>
              </w:rPr>
              <w:t xml:space="preserve"> it does not interfere with daily life.</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84B2CB0"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2</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6FE480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41F457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EB97E6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D327BB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4C1474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5D8CF0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98C188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4B4EE031" w14:textId="77777777">
        <w:trPr>
          <w:trHeight w:val="368"/>
        </w:trPr>
        <w:tc>
          <w:tcPr>
            <w:tcW w:w="1136" w:type="dxa"/>
            <w:vMerge/>
            <w:tcBorders>
              <w:top w:val="nil"/>
              <w:left w:val="single" w:sz="8" w:space="0" w:color="FFFFFF"/>
              <w:bottom w:val="single" w:sz="8" w:space="0" w:color="FFFFFF"/>
              <w:right w:val="single" w:sz="8" w:space="0" w:color="FFFFFF"/>
            </w:tcBorders>
            <w:shd w:val="clear" w:color="auto" w:fill="E9EBF5"/>
          </w:tcPr>
          <w:p w14:paraId="0E75429B"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388ECCE"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Numbness interferes with daily life.</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6F17306"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3</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7D6A55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092C81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A13C68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3B3A8F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E6604F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AD94DA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D85A67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5804C68B" w14:textId="77777777">
        <w:trPr>
          <w:trHeight w:val="388"/>
        </w:trPr>
        <w:tc>
          <w:tcPr>
            <w:tcW w:w="1136" w:type="dxa"/>
            <w:vMerge/>
            <w:tcBorders>
              <w:top w:val="nil"/>
              <w:left w:val="single" w:sz="8" w:space="0" w:color="FFFFFF"/>
              <w:bottom w:val="single" w:sz="8" w:space="0" w:color="FFFFFF"/>
              <w:right w:val="single" w:sz="8" w:space="0" w:color="FFFFFF"/>
            </w:tcBorders>
            <w:shd w:val="clear" w:color="auto" w:fill="E9EBF5"/>
          </w:tcPr>
          <w:p w14:paraId="2BFB98E9"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E25E5B4"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I have no sensation.</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EEA1A09"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4</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5F5979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9C68C2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0FA678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162F0A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BB6F02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42754C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3EBCC2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0FB18106" w14:textId="77777777">
        <w:trPr>
          <w:trHeight w:val="644"/>
        </w:trPr>
        <w:tc>
          <w:tcPr>
            <w:tcW w:w="1136"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4A41A76D"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lastRenderedPageBreak/>
              <w:t>Peripheral sensory impairment</w:t>
            </w: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53C0CDC6"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 xml:space="preserve">I react instantly to hypersensitivity when I </w:t>
            </w:r>
            <w:proofErr w:type="gramStart"/>
            <w:r>
              <w:rPr>
                <w:rFonts w:ascii="Arial" w:eastAsia="Arial" w:hAnsi="Arial" w:cs="Arial"/>
                <w:color w:val="000000"/>
                <w:sz w:val="18"/>
              </w:rPr>
              <w:t>come in contact with</w:t>
            </w:r>
            <w:proofErr w:type="gramEnd"/>
            <w:r>
              <w:rPr>
                <w:rFonts w:ascii="Arial" w:eastAsia="Arial" w:hAnsi="Arial" w:cs="Arial"/>
                <w:color w:val="000000"/>
                <w:sz w:val="18"/>
              </w:rPr>
              <w:t xml:space="preserve"> cold things.</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6A30238"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1</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698D74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40880D8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E7B86C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3EE438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06A0831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6D1809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3E3EF10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2E111DE8" w14:textId="77777777">
        <w:trPr>
          <w:trHeight w:val="664"/>
        </w:trPr>
        <w:tc>
          <w:tcPr>
            <w:tcW w:w="1136" w:type="dxa"/>
            <w:vMerge/>
            <w:tcBorders>
              <w:top w:val="nil"/>
              <w:left w:val="single" w:sz="8" w:space="0" w:color="FFFFFF"/>
              <w:bottom w:val="single" w:sz="8" w:space="0" w:color="FFFFFF"/>
              <w:right w:val="single" w:sz="8" w:space="0" w:color="FFFFFF"/>
            </w:tcBorders>
            <w:shd w:val="clear" w:color="auto" w:fill="E9EBF5"/>
          </w:tcPr>
          <w:p w14:paraId="27AF70BD"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084C6EC" w14:textId="72F84A38"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Contact with cold objects sustains a hypersensitive reaction but is painless.</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50D0116B"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2</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9390CD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CAF4FB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C9188E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63ED28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531F443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18883D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1D35A53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2CDAA245" w14:textId="77777777">
        <w:trPr>
          <w:trHeight w:val="572"/>
        </w:trPr>
        <w:tc>
          <w:tcPr>
            <w:tcW w:w="1136" w:type="dxa"/>
            <w:vMerge/>
            <w:tcBorders>
              <w:top w:val="nil"/>
              <w:left w:val="single" w:sz="8" w:space="0" w:color="FFFFFF"/>
              <w:bottom w:val="single" w:sz="8" w:space="0" w:color="FFFFFF"/>
              <w:right w:val="single" w:sz="8" w:space="0" w:color="FFFFFF"/>
            </w:tcBorders>
            <w:shd w:val="clear" w:color="auto" w:fill="E9EBF5"/>
          </w:tcPr>
          <w:p w14:paraId="61B513B6" w14:textId="77777777" w:rsidR="006B66D5" w:rsidRDefault="006B66D5" w:rsidP="000814B7">
            <w:pPr>
              <w:spacing w:line="480" w:lineRule="auto"/>
            </w:pPr>
          </w:p>
        </w:tc>
        <w:tc>
          <w:tcPr>
            <w:tcW w:w="4163"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AC2236D"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18"/>
              </w:rPr>
              <w:t>Contact with cold objects causes persistent hypersensitivity and pain.</w:t>
            </w:r>
          </w:p>
        </w:tc>
        <w:tc>
          <w:tcPr>
            <w:tcW w:w="5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4D60589"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18"/>
              </w:rPr>
              <w:t>3</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219F12D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EA2932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DF513B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E0242B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7C78F8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6DDAD8E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c>
          <w:tcPr>
            <w:tcW w:w="287" w:type="dxa"/>
            <w:tcBorders>
              <w:top w:val="single" w:sz="8" w:space="0" w:color="FFFFFF"/>
              <w:left w:val="single" w:sz="8" w:space="0" w:color="FFFFFF"/>
              <w:bottom w:val="single" w:sz="8" w:space="0" w:color="FFFFFF"/>
              <w:right w:val="single" w:sz="8" w:space="0" w:color="FFFFFF"/>
            </w:tcBorders>
            <w:shd w:val="clear" w:color="auto" w:fill="E9EBF5"/>
          </w:tcPr>
          <w:p w14:paraId="7FC111F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 xml:space="preserve">　</w:t>
            </w:r>
          </w:p>
        </w:tc>
      </w:tr>
      <w:tr w:rsidR="00BC5D82" w14:paraId="62AEBB93" w14:textId="77777777">
        <w:trPr>
          <w:trHeight w:val="270"/>
        </w:trPr>
        <w:tc>
          <w:tcPr>
            <w:tcW w:w="7840" w:type="dxa"/>
            <w:gridSpan w:val="10"/>
            <w:tcBorders>
              <w:top w:val="single" w:sz="8" w:space="0" w:color="FFFFFF"/>
              <w:left w:val="single" w:sz="8" w:space="0" w:color="FFFFFF"/>
              <w:bottom w:val="single" w:sz="8" w:space="0" w:color="FFFFFF"/>
              <w:right w:val="single" w:sz="8" w:space="0" w:color="FFFFFF"/>
            </w:tcBorders>
            <w:shd w:val="clear" w:color="auto" w:fill="E9EBF5"/>
          </w:tcPr>
          <w:p w14:paraId="5A9008C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18"/>
              </w:rPr>
              <w:t>＜</w:t>
            </w:r>
            <w:r>
              <w:rPr>
                <w:rFonts w:ascii="Arial" w:eastAsia="Arial" w:hAnsi="Arial" w:cs="Arial"/>
                <w:color w:val="000000"/>
                <w:sz w:val="18"/>
              </w:rPr>
              <w:t>Please enclose the affected area.</w:t>
            </w:r>
            <w:r>
              <w:rPr>
                <w:rFonts w:ascii="ＭＳ Ｐゴシック" w:eastAsia="ＭＳ Ｐゴシック" w:hAnsi="ＭＳ Ｐゴシック" w:cs="ＭＳ Ｐゴシック"/>
                <w:color w:val="000000"/>
                <w:sz w:val="18"/>
              </w:rPr>
              <w:t>＞</w:t>
            </w:r>
          </w:p>
        </w:tc>
      </w:tr>
    </w:tbl>
    <w:p w14:paraId="645ED017" w14:textId="77777777" w:rsidR="006B66D5" w:rsidRDefault="006B66D5" w:rsidP="000814B7">
      <w:pPr>
        <w:spacing w:line="480" w:lineRule="auto"/>
      </w:pPr>
    </w:p>
    <w:p w14:paraId="2461EC75" w14:textId="77777777" w:rsidR="006B66D5" w:rsidRDefault="001A1285" w:rsidP="000814B7">
      <w:pPr>
        <w:spacing w:line="480" w:lineRule="auto"/>
        <w:rPr>
          <w:rFonts w:ascii="游明朝" w:eastAsia="游明朝" w:hAnsi="游明朝" w:cs="游明朝"/>
        </w:rPr>
      </w:pPr>
      <w:r>
        <w:rPr>
          <w:rFonts w:ascii="游明朝" w:eastAsia="游明朝" w:hAnsi="游明朝" w:cs="游明朝"/>
          <w:noProof/>
        </w:rPr>
        <w:drawing>
          <wp:inline distT="0" distB="0" distL="0" distR="0" wp14:anchorId="65DD2B68" wp14:editId="70D72698">
            <wp:extent cx="2615565" cy="2374900"/>
            <wp:effectExtent l="0" t="0" r="0" b="6350"/>
            <wp:docPr id="1" name="図 4">
              <a:extLst xmlns:a="http://schemas.openxmlformats.org/drawingml/2006/main">
                <a:ext uri="{FF2B5EF4-FFF2-40B4-BE49-F238E27FC236}">
                  <a16:creationId xmlns:a16="http://schemas.microsoft.com/office/drawing/2014/main" id="{09E25CE8-CFE2-4EDF-AB9B-FF10F49D4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4">
                      <a:extLst>
                        <a:ext uri="{FF2B5EF4-FFF2-40B4-BE49-F238E27FC236}">
                          <a16:creationId xmlns:a16="http://schemas.microsoft.com/office/drawing/2014/main" id="{09E25CE8-CFE2-4EDF-AB9B-FF10F49D4B50}"/>
                        </a:ext>
                      </a:extLst>
                    </pic:cNvPr>
                    <pic:cNvPicPr>
                      <a:picLocks noChangeAspect="1"/>
                    </pic:cNvPicPr>
                  </pic:nvPicPr>
                  <pic:blipFill>
                    <a:blip r:embed="rId7"/>
                    <a:srcRect l="40734" t="37660" r="31450" b="28571"/>
                    <a:stretch>
                      <a:fillRect/>
                    </a:stretch>
                  </pic:blipFill>
                  <pic:spPr>
                    <a:xfrm>
                      <a:off x="0" y="0"/>
                      <a:ext cx="2632374" cy="2390162"/>
                    </a:xfrm>
                    <a:prstGeom prst="rect">
                      <a:avLst/>
                    </a:prstGeom>
                  </pic:spPr>
                </pic:pic>
              </a:graphicData>
            </a:graphic>
          </wp:inline>
        </w:drawing>
      </w:r>
      <w:r>
        <w:rPr>
          <w:rFonts w:ascii="游明朝" w:eastAsia="游明朝" w:hAnsi="游明朝" w:cs="游明朝"/>
          <w:noProof/>
        </w:rPr>
        <w:drawing>
          <wp:inline distT="0" distB="0" distL="0" distR="0" wp14:anchorId="08F0920E" wp14:editId="101FC7E1">
            <wp:extent cx="2705195" cy="2889250"/>
            <wp:effectExtent l="0" t="0" r="0" b="6350"/>
            <wp:docPr id="2" name="図 2">
              <a:extLst xmlns:a="http://schemas.openxmlformats.org/drawingml/2006/main">
                <a:ext uri="{FF2B5EF4-FFF2-40B4-BE49-F238E27FC236}">
                  <a16:creationId xmlns:a16="http://schemas.microsoft.com/office/drawing/2014/main" id="{1A4810E3-D816-4E40-82A9-91A6EEC0A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a:extLst>
                        <a:ext uri="{FF2B5EF4-FFF2-40B4-BE49-F238E27FC236}">
                          <a16:creationId xmlns:a16="http://schemas.microsoft.com/office/drawing/2014/main" id="{1A4810E3-D816-4E40-82A9-91A6EEC0A6FB}"/>
                        </a:ext>
                      </a:extLst>
                    </pic:cNvPr>
                    <pic:cNvPicPr>
                      <a:picLocks noChangeAspect="1"/>
                    </pic:cNvPicPr>
                  </pic:nvPicPr>
                  <pic:blipFill>
                    <a:blip r:embed="rId8"/>
                    <a:srcRect l="33684" t="29633" r="42319" b="25176"/>
                    <a:stretch>
                      <a:fillRect/>
                    </a:stretch>
                  </pic:blipFill>
                  <pic:spPr>
                    <a:xfrm>
                      <a:off x="0" y="0"/>
                      <a:ext cx="2705195" cy="2889250"/>
                    </a:xfrm>
                    <a:prstGeom prst="rect">
                      <a:avLst/>
                    </a:prstGeom>
                  </pic:spPr>
                </pic:pic>
              </a:graphicData>
            </a:graphic>
          </wp:inline>
        </w:drawing>
      </w:r>
    </w:p>
    <w:p w14:paraId="5BB8FFC5" w14:textId="77777777" w:rsidR="006B66D5" w:rsidRDefault="006B66D5" w:rsidP="000814B7">
      <w:pPr>
        <w:spacing w:line="480" w:lineRule="auto"/>
      </w:pPr>
    </w:p>
    <w:p w14:paraId="63391C67"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Table 3. Self-report of adverse events 2</w:t>
      </w:r>
    </w:p>
    <w:tbl>
      <w:tblPr>
        <w:tblW w:w="0" w:type="auto"/>
        <w:tblCellMar>
          <w:left w:w="0" w:type="dxa"/>
          <w:right w:w="0" w:type="dxa"/>
        </w:tblCellMar>
        <w:tblLook w:val="0000" w:firstRow="0" w:lastRow="0" w:firstColumn="0" w:lastColumn="0" w:noHBand="0" w:noVBand="0"/>
      </w:tblPr>
      <w:tblGrid>
        <w:gridCol w:w="917"/>
        <w:gridCol w:w="3959"/>
        <w:gridCol w:w="632"/>
        <w:gridCol w:w="296"/>
        <w:gridCol w:w="296"/>
        <w:gridCol w:w="296"/>
        <w:gridCol w:w="296"/>
        <w:gridCol w:w="296"/>
        <w:gridCol w:w="296"/>
        <w:gridCol w:w="296"/>
      </w:tblGrid>
      <w:tr w:rsidR="00BC5D82" w14:paraId="2167C098" w14:textId="77777777">
        <w:trPr>
          <w:trHeight w:val="360"/>
        </w:trPr>
        <w:tc>
          <w:tcPr>
            <w:tcW w:w="7580" w:type="dxa"/>
            <w:gridSpan w:val="10"/>
            <w:tcBorders>
              <w:top w:val="single" w:sz="8" w:space="0" w:color="FFFFFF"/>
              <w:left w:val="single" w:sz="8" w:space="0" w:color="FFFFFF"/>
              <w:bottom w:val="single" w:sz="8" w:space="0" w:color="FFFFFF"/>
              <w:right w:val="single" w:sz="8" w:space="0" w:color="FFFFFF"/>
            </w:tcBorders>
            <w:shd w:val="clear" w:color="auto" w:fill="E9EBF5"/>
            <w:vAlign w:val="center"/>
          </w:tcPr>
          <w:p w14:paraId="21039494"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Side effect self-report 2</w:t>
            </w:r>
          </w:p>
        </w:tc>
      </w:tr>
      <w:tr w:rsidR="00BC5D82" w14:paraId="4EDB0AA5" w14:textId="77777777">
        <w:trPr>
          <w:trHeight w:val="360"/>
        </w:trPr>
        <w:tc>
          <w:tcPr>
            <w:tcW w:w="7580" w:type="dxa"/>
            <w:gridSpan w:val="10"/>
            <w:tcBorders>
              <w:top w:val="single" w:sz="8" w:space="0" w:color="FFFFFF"/>
              <w:left w:val="single" w:sz="8" w:space="0" w:color="FFFFFF"/>
              <w:bottom w:val="single" w:sz="8" w:space="0" w:color="FFFFFF"/>
              <w:right w:val="single" w:sz="8" w:space="0" w:color="FFFFFF"/>
            </w:tcBorders>
            <w:shd w:val="clear" w:color="auto" w:fill="E9EBF5"/>
          </w:tcPr>
          <w:p w14:paraId="24543DFE"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2"/>
              </w:rPr>
              <w:lastRenderedPageBreak/>
              <w:t>Name                                                                                                                                              Date</w:t>
            </w:r>
          </w:p>
        </w:tc>
      </w:tr>
      <w:tr w:rsidR="00BC5D82" w14:paraId="6E361EC7" w14:textId="77777777">
        <w:trPr>
          <w:trHeight w:val="360"/>
        </w:trPr>
        <w:tc>
          <w:tcPr>
            <w:tcW w:w="4876" w:type="dxa"/>
            <w:gridSpan w:val="2"/>
            <w:tcBorders>
              <w:top w:val="single" w:sz="8" w:space="0" w:color="FFFFFF"/>
              <w:left w:val="single" w:sz="8" w:space="0" w:color="FFFFFF"/>
              <w:bottom w:val="single" w:sz="8" w:space="0" w:color="FFFFFF"/>
              <w:right w:val="single" w:sz="8" w:space="0" w:color="FFFFFF"/>
            </w:tcBorders>
            <w:shd w:val="clear" w:color="auto" w:fill="E9EBF5"/>
          </w:tcPr>
          <w:p w14:paraId="44343FD2" w14:textId="77777777" w:rsidR="006B66D5" w:rsidRDefault="001A1285" w:rsidP="000814B7">
            <w:pPr>
              <w:widowControl/>
              <w:spacing w:line="480" w:lineRule="auto"/>
              <w:jc w:val="center"/>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3813A00"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Grade</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F9ADC41"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630083AD"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5C86A6D"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4A7A4A0"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E635D78"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505D28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c>
          <w:tcPr>
            <w:tcW w:w="296"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B69A045"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w:t>
            </w:r>
          </w:p>
        </w:tc>
      </w:tr>
      <w:tr w:rsidR="00BC5D82" w14:paraId="3D0F1F79" w14:textId="77777777">
        <w:trPr>
          <w:trHeight w:val="360"/>
        </w:trPr>
        <w:tc>
          <w:tcPr>
            <w:tcW w:w="917"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2D479C79"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0"/>
              </w:rPr>
              <w:t>Nausea</w:t>
            </w: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F4AA241"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Tolerable</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5D3F585A"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1</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22D4C2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ECEB39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ACC1EF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3CBC5D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B727F9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29652B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BF04EE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19EA7E80" w14:textId="77777777">
        <w:trPr>
          <w:trHeight w:val="360"/>
        </w:trPr>
        <w:tc>
          <w:tcPr>
            <w:tcW w:w="917" w:type="dxa"/>
            <w:vMerge/>
            <w:tcBorders>
              <w:top w:val="nil"/>
              <w:left w:val="single" w:sz="8" w:space="0" w:color="FFFFFF"/>
              <w:bottom w:val="nil"/>
              <w:right w:val="single" w:sz="8" w:space="0" w:color="FFFFFF"/>
            </w:tcBorders>
            <w:shd w:val="clear" w:color="auto" w:fill="E9EBF5"/>
          </w:tcPr>
          <w:p w14:paraId="083749F7"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C1D3683"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If I use anti-nausea drugs, I can manage to eat.</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7C118C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2</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5DF83C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AD0013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8CBD8E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F4DC12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4F8EDA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CC3229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513212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03143E53" w14:textId="77777777">
        <w:trPr>
          <w:trHeight w:val="360"/>
        </w:trPr>
        <w:tc>
          <w:tcPr>
            <w:tcW w:w="917" w:type="dxa"/>
            <w:vMerge/>
            <w:tcBorders>
              <w:top w:val="nil"/>
              <w:left w:val="single" w:sz="8" w:space="0" w:color="FFFFFF"/>
              <w:bottom w:val="single" w:sz="8" w:space="0" w:color="FFFFFF"/>
              <w:right w:val="single" w:sz="8" w:space="0" w:color="FFFFFF"/>
            </w:tcBorders>
            <w:shd w:val="clear" w:color="auto" w:fill="E9EBF5"/>
          </w:tcPr>
          <w:p w14:paraId="5403BEFA"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EC26BCA"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can hardly eat because of nausea.</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3ADFE98"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3</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50D01B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F084E2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CAB2BA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DB748D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B72346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751142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C7F19F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7FC5E782" w14:textId="77777777">
        <w:trPr>
          <w:trHeight w:val="360"/>
        </w:trPr>
        <w:tc>
          <w:tcPr>
            <w:tcW w:w="917"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3AA7B9F7"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0"/>
              </w:rPr>
              <w:t>Anorexia</w:t>
            </w: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F95FAF8"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have a slight loss of appetite.</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7C9DC74"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1</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61B183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87DF50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32D62E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F3850F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E8823F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7D9D3E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AA38F8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506E66CC" w14:textId="77777777">
        <w:trPr>
          <w:trHeight w:val="360"/>
        </w:trPr>
        <w:tc>
          <w:tcPr>
            <w:tcW w:w="917" w:type="dxa"/>
            <w:vMerge/>
            <w:tcBorders>
              <w:top w:val="nil"/>
              <w:left w:val="single" w:sz="8" w:space="0" w:color="FFFFFF"/>
              <w:bottom w:val="nil"/>
              <w:right w:val="single" w:sz="8" w:space="0" w:color="FFFFFF"/>
            </w:tcBorders>
            <w:shd w:val="clear" w:color="auto" w:fill="E9EBF5"/>
          </w:tcPr>
          <w:p w14:paraId="664F72A4"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0EDE6B5"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 xml:space="preserve"> I can eat somehow.</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11B85B2A"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2</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88E109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D1EF20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738D95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AF647F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534213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BEAAA9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49E855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11FA22BE" w14:textId="77777777">
        <w:trPr>
          <w:trHeight w:val="360"/>
        </w:trPr>
        <w:tc>
          <w:tcPr>
            <w:tcW w:w="917" w:type="dxa"/>
            <w:vMerge/>
            <w:tcBorders>
              <w:top w:val="nil"/>
              <w:left w:val="single" w:sz="8" w:space="0" w:color="FFFFFF"/>
              <w:bottom w:val="single" w:sz="8" w:space="0" w:color="FFFFFF"/>
              <w:right w:val="single" w:sz="8" w:space="0" w:color="FFFFFF"/>
            </w:tcBorders>
            <w:shd w:val="clear" w:color="auto" w:fill="E9EBF5"/>
          </w:tcPr>
          <w:p w14:paraId="366A742E"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2CF7DAE9"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can hardly eat.</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B95DA16"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3</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EDC55B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5D1DBA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EE52F5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95554D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9A3FC0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309004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B5D365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3C1805E9" w14:textId="77777777">
        <w:trPr>
          <w:trHeight w:val="360"/>
        </w:trPr>
        <w:tc>
          <w:tcPr>
            <w:tcW w:w="917"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44137E8C"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0"/>
              </w:rPr>
              <w:t>Malaise</w:t>
            </w: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AEA9FE8" w14:textId="3A444101"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am a little tired</w:t>
            </w:r>
            <w:r w:rsidR="00332BE6">
              <w:rPr>
                <w:rFonts w:ascii="Arial" w:eastAsia="Arial" w:hAnsi="Arial" w:cs="Arial"/>
                <w:color w:val="000000"/>
                <w:sz w:val="20"/>
              </w:rPr>
              <w:t xml:space="preserve">; </w:t>
            </w:r>
            <w:r w:rsidR="00332BE6">
              <w:rPr>
                <w:rFonts w:ascii="Arial" w:eastAsia="Arial" w:hAnsi="Arial" w:cs="Arial"/>
                <w:color w:val="000000"/>
                <w:sz w:val="18"/>
              </w:rPr>
              <w:t>however,</w:t>
            </w:r>
            <w:r>
              <w:rPr>
                <w:rFonts w:ascii="Arial" w:eastAsia="Arial" w:hAnsi="Arial" w:cs="Arial"/>
                <w:color w:val="000000"/>
                <w:sz w:val="20"/>
              </w:rPr>
              <w:t xml:space="preserve"> it does not interfere with my daily life.</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56055DBF"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1</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6EA59C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782142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44B401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5E63666"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BC1DFE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7B7ED6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61B304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222A35AB" w14:textId="77777777">
        <w:trPr>
          <w:trHeight w:val="360"/>
        </w:trPr>
        <w:tc>
          <w:tcPr>
            <w:tcW w:w="917" w:type="dxa"/>
            <w:vMerge/>
            <w:tcBorders>
              <w:top w:val="nil"/>
              <w:left w:val="single" w:sz="8" w:space="0" w:color="FFFFFF"/>
              <w:bottom w:val="nil"/>
              <w:right w:val="single" w:sz="8" w:space="0" w:color="FFFFFF"/>
            </w:tcBorders>
            <w:shd w:val="clear" w:color="auto" w:fill="E9EBF5"/>
          </w:tcPr>
          <w:p w14:paraId="00A787A0"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60ABFA5"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often lie down.</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5566F176"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2</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94A1CF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B4665E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6BF586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5AE73C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09D754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3A8537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B9805F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068F3B7E" w14:textId="77777777">
        <w:trPr>
          <w:trHeight w:val="360"/>
        </w:trPr>
        <w:tc>
          <w:tcPr>
            <w:tcW w:w="917" w:type="dxa"/>
            <w:vMerge/>
            <w:tcBorders>
              <w:top w:val="nil"/>
              <w:left w:val="single" w:sz="8" w:space="0" w:color="FFFFFF"/>
              <w:bottom w:val="nil"/>
              <w:right w:val="single" w:sz="8" w:space="0" w:color="FFFFFF"/>
            </w:tcBorders>
            <w:shd w:val="clear" w:color="auto" w:fill="E9EBF5"/>
          </w:tcPr>
          <w:p w14:paraId="48599F89"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14A3060"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 lie down more often than I am awake.</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62E920B"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3</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3A5683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B9B027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4BB0AF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56A171B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A9533B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8EE5F2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BC458C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1EC41CF6" w14:textId="77777777">
        <w:trPr>
          <w:trHeight w:val="360"/>
        </w:trPr>
        <w:tc>
          <w:tcPr>
            <w:tcW w:w="917" w:type="dxa"/>
            <w:vMerge/>
            <w:tcBorders>
              <w:top w:val="nil"/>
              <w:left w:val="single" w:sz="8" w:space="0" w:color="FFFFFF"/>
              <w:bottom w:val="single" w:sz="8" w:space="0" w:color="FFFFFF"/>
              <w:right w:val="single" w:sz="8" w:space="0" w:color="FFFFFF"/>
            </w:tcBorders>
            <w:shd w:val="clear" w:color="auto" w:fill="E9EBF5"/>
          </w:tcPr>
          <w:p w14:paraId="3FE9F8C9"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DFA10B6" w14:textId="77777777"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Bedridden all day long.</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4D5FD9DA"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4</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13561D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7F6CF7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282E7B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3005A9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FA0C134"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520BA03"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38CE1E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5A8B5BE9" w14:textId="77777777">
        <w:trPr>
          <w:trHeight w:val="600"/>
        </w:trPr>
        <w:tc>
          <w:tcPr>
            <w:tcW w:w="917" w:type="dxa"/>
            <w:vMerge w:val="restart"/>
            <w:tcBorders>
              <w:top w:val="single" w:sz="8" w:space="0" w:color="FFFFFF"/>
              <w:left w:val="single" w:sz="8" w:space="0" w:color="FFFFFF"/>
              <w:bottom w:val="single" w:sz="8" w:space="0" w:color="FFFFFF"/>
              <w:right w:val="single" w:sz="8" w:space="0" w:color="FFFFFF"/>
            </w:tcBorders>
            <w:shd w:val="clear" w:color="auto" w:fill="E9EBF5"/>
            <w:vAlign w:val="center"/>
          </w:tcPr>
          <w:p w14:paraId="6497D75E"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0"/>
              </w:rPr>
              <w:t xml:space="preserve">Diarrhea </w:t>
            </w: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02E0E5C" w14:textId="677E842D"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 xml:space="preserve">Increased defecation frequency less than </w:t>
            </w:r>
            <w:r w:rsidR="00332BE6">
              <w:rPr>
                <w:rFonts w:ascii="Arial" w:eastAsia="Arial" w:hAnsi="Arial" w:cs="Arial"/>
                <w:color w:val="000000"/>
                <w:sz w:val="20"/>
              </w:rPr>
              <w:t xml:space="preserve">four </w:t>
            </w:r>
            <w:r>
              <w:rPr>
                <w:rFonts w:ascii="Arial" w:eastAsia="Arial" w:hAnsi="Arial" w:cs="Arial"/>
                <w:color w:val="000000"/>
                <w:sz w:val="20"/>
              </w:rPr>
              <w:t>times a day compared to usual.</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1E9B7C2"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1</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E3B939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E9A33D1"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3CC2AD9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38A83C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3EF124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59E3B7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25B1040"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059B7BFF" w14:textId="77777777">
        <w:trPr>
          <w:trHeight w:val="600"/>
        </w:trPr>
        <w:tc>
          <w:tcPr>
            <w:tcW w:w="917" w:type="dxa"/>
            <w:vMerge/>
            <w:tcBorders>
              <w:top w:val="nil"/>
              <w:left w:val="single" w:sz="8" w:space="0" w:color="FFFFFF"/>
              <w:bottom w:val="nil"/>
              <w:right w:val="single" w:sz="8" w:space="0" w:color="FFFFFF"/>
            </w:tcBorders>
            <w:shd w:val="clear" w:color="auto" w:fill="E9EBF5"/>
          </w:tcPr>
          <w:p w14:paraId="2F51F2BB"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5D9B7C9" w14:textId="7BA190C1"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Increased defecation frequency 4</w:t>
            </w:r>
            <w:r w:rsidR="00332BE6">
              <w:rPr>
                <w:rFonts w:ascii="Arial" w:eastAsia="Arial" w:hAnsi="Arial" w:cs="Arial"/>
                <w:color w:val="000000"/>
                <w:sz w:val="20"/>
              </w:rPr>
              <w:t>–</w:t>
            </w:r>
            <w:r>
              <w:rPr>
                <w:rFonts w:ascii="Arial" w:eastAsia="Arial" w:hAnsi="Arial" w:cs="Arial"/>
                <w:color w:val="000000"/>
                <w:sz w:val="20"/>
              </w:rPr>
              <w:t>6 times a day compared to usual.</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3C6CA1A4"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2</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E81E1B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7BD6B8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8D39E92"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977102A"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7B4263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52C3CFF"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0D2CAAA7"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727BD137" w14:textId="77777777">
        <w:trPr>
          <w:trHeight w:val="583"/>
        </w:trPr>
        <w:tc>
          <w:tcPr>
            <w:tcW w:w="917" w:type="dxa"/>
            <w:vMerge/>
            <w:tcBorders>
              <w:top w:val="nil"/>
              <w:left w:val="single" w:sz="8" w:space="0" w:color="FFFFFF"/>
              <w:bottom w:val="single" w:sz="8" w:space="0" w:color="FFFFFF"/>
              <w:right w:val="single" w:sz="8" w:space="0" w:color="FFFFFF"/>
            </w:tcBorders>
            <w:shd w:val="clear" w:color="auto" w:fill="E9EBF5"/>
          </w:tcPr>
          <w:p w14:paraId="38F0A95F" w14:textId="77777777" w:rsidR="006B66D5" w:rsidRDefault="006B66D5" w:rsidP="000814B7">
            <w:pPr>
              <w:spacing w:line="480" w:lineRule="auto"/>
            </w:pPr>
          </w:p>
        </w:tc>
        <w:tc>
          <w:tcPr>
            <w:tcW w:w="3959"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039E8326" w14:textId="003B373A" w:rsidR="006B66D5" w:rsidRDefault="001A1285" w:rsidP="000814B7">
            <w:pPr>
              <w:widowControl/>
              <w:spacing w:line="480" w:lineRule="auto"/>
              <w:jc w:val="left"/>
              <w:rPr>
                <w:rFonts w:ascii="Arial" w:eastAsia="Arial" w:hAnsi="Arial" w:cs="Arial"/>
                <w:sz w:val="36"/>
              </w:rPr>
            </w:pPr>
            <w:r>
              <w:rPr>
                <w:rFonts w:ascii="Arial" w:eastAsia="Arial" w:hAnsi="Arial" w:cs="Arial"/>
                <w:color w:val="000000"/>
                <w:sz w:val="20"/>
              </w:rPr>
              <w:t xml:space="preserve">Increased defecation frequency more than </w:t>
            </w:r>
            <w:r w:rsidR="00332BE6">
              <w:rPr>
                <w:rFonts w:ascii="Arial" w:eastAsia="Arial" w:hAnsi="Arial" w:cs="Arial"/>
                <w:color w:val="000000"/>
                <w:sz w:val="20"/>
              </w:rPr>
              <w:t xml:space="preserve">seven </w:t>
            </w:r>
            <w:r>
              <w:rPr>
                <w:rFonts w:ascii="Arial" w:eastAsia="Arial" w:hAnsi="Arial" w:cs="Arial"/>
                <w:color w:val="000000"/>
                <w:sz w:val="20"/>
              </w:rPr>
              <w:t>times a day compared to usual.</w:t>
            </w:r>
          </w:p>
        </w:tc>
        <w:tc>
          <w:tcPr>
            <w:tcW w:w="632" w:type="dxa"/>
            <w:tcBorders>
              <w:top w:val="single" w:sz="8" w:space="0" w:color="FFFFFF"/>
              <w:left w:val="single" w:sz="8" w:space="0" w:color="FFFFFF"/>
              <w:bottom w:val="single" w:sz="8" w:space="0" w:color="FFFFFF"/>
              <w:right w:val="single" w:sz="8" w:space="0" w:color="FFFFFF"/>
            </w:tcBorders>
            <w:shd w:val="clear" w:color="auto" w:fill="E9EBF5"/>
            <w:vAlign w:val="center"/>
          </w:tcPr>
          <w:p w14:paraId="7319EFEA" w14:textId="77777777" w:rsidR="006B66D5" w:rsidRDefault="001A1285" w:rsidP="000814B7">
            <w:pPr>
              <w:widowControl/>
              <w:spacing w:line="480" w:lineRule="auto"/>
              <w:jc w:val="center"/>
              <w:rPr>
                <w:rFonts w:ascii="Arial" w:eastAsia="Arial" w:hAnsi="Arial" w:cs="Arial"/>
                <w:sz w:val="36"/>
              </w:rPr>
            </w:pPr>
            <w:r>
              <w:rPr>
                <w:rFonts w:ascii="Arial" w:eastAsia="Arial" w:hAnsi="Arial" w:cs="Arial"/>
                <w:color w:val="000000"/>
                <w:sz w:val="22"/>
              </w:rPr>
              <w:t>3</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4515DD2B"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72D28985"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1F2976C"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2A7D77D"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1C02944E"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2A002929"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c>
          <w:tcPr>
            <w:tcW w:w="296" w:type="dxa"/>
            <w:tcBorders>
              <w:top w:val="single" w:sz="8" w:space="0" w:color="FFFFFF"/>
              <w:left w:val="single" w:sz="8" w:space="0" w:color="FFFFFF"/>
              <w:bottom w:val="single" w:sz="8" w:space="0" w:color="FFFFFF"/>
              <w:right w:val="single" w:sz="8" w:space="0" w:color="FFFFFF"/>
            </w:tcBorders>
            <w:shd w:val="clear" w:color="auto" w:fill="E9EBF5"/>
          </w:tcPr>
          <w:p w14:paraId="6337E5E8" w14:textId="77777777" w:rsidR="006B66D5" w:rsidRDefault="001A1285" w:rsidP="000814B7">
            <w:pPr>
              <w:widowControl/>
              <w:spacing w:line="480" w:lineRule="auto"/>
              <w:jc w:val="left"/>
              <w:rPr>
                <w:rFonts w:ascii="Arial" w:eastAsia="Arial" w:hAnsi="Arial" w:cs="Arial"/>
                <w:sz w:val="36"/>
              </w:rPr>
            </w:pPr>
            <w:r>
              <w:rPr>
                <w:rFonts w:ascii="ＭＳ Ｐゴシック" w:eastAsia="ＭＳ Ｐゴシック" w:hAnsi="ＭＳ Ｐゴシック" w:cs="ＭＳ Ｐゴシック"/>
                <w:color w:val="000000"/>
                <w:sz w:val="22"/>
              </w:rPr>
              <w:t xml:space="preserve">　</w:t>
            </w:r>
          </w:p>
        </w:tc>
      </w:tr>
      <w:tr w:rsidR="00BC5D82" w14:paraId="4C4E9DAA" w14:textId="77777777">
        <w:tc>
          <w:tcPr>
            <w:tcW w:w="7580" w:type="dxa"/>
            <w:gridSpan w:val="10"/>
            <w:tcBorders>
              <w:top w:val="single" w:sz="8" w:space="0" w:color="FFFFFF"/>
              <w:left w:val="single" w:sz="8" w:space="0" w:color="FFFFFF"/>
              <w:bottom w:val="single" w:sz="8" w:space="0" w:color="FFFFFF"/>
              <w:right w:val="single" w:sz="8" w:space="0" w:color="FFFFFF"/>
            </w:tcBorders>
            <w:shd w:val="clear" w:color="auto" w:fill="E9EBF5"/>
          </w:tcPr>
          <w:p w14:paraId="13162651" w14:textId="77777777" w:rsidR="006B66D5" w:rsidRDefault="001A1285" w:rsidP="000814B7">
            <w:pPr>
              <w:widowControl/>
              <w:spacing w:line="480" w:lineRule="auto"/>
              <w:jc w:val="center"/>
              <w:rPr>
                <w:rFonts w:ascii="Arial" w:eastAsia="Arial" w:hAnsi="Arial" w:cs="Arial"/>
                <w:color w:val="000000"/>
                <w:sz w:val="22"/>
              </w:rPr>
            </w:pPr>
            <w:r>
              <w:rPr>
                <w:rFonts w:ascii="Arial" w:eastAsia="Arial" w:hAnsi="Arial" w:cs="Arial"/>
                <w:color w:val="000000"/>
                <w:sz w:val="22"/>
              </w:rPr>
              <w:t>If you have any other symptoms of concern, please write them down.</w:t>
            </w:r>
          </w:p>
          <w:p w14:paraId="53C8A44D" w14:textId="77777777" w:rsidR="006B66D5" w:rsidRDefault="006B66D5" w:rsidP="000814B7">
            <w:pPr>
              <w:widowControl/>
              <w:spacing w:line="480" w:lineRule="auto"/>
              <w:jc w:val="center"/>
              <w:rPr>
                <w:rFonts w:ascii="Arial" w:eastAsia="Arial" w:hAnsi="Arial" w:cs="Arial"/>
                <w:color w:val="000000"/>
                <w:sz w:val="22"/>
              </w:rPr>
            </w:pPr>
          </w:p>
          <w:p w14:paraId="535404A0" w14:textId="77777777" w:rsidR="006B66D5" w:rsidRDefault="006B66D5" w:rsidP="000814B7">
            <w:pPr>
              <w:widowControl/>
              <w:spacing w:line="480" w:lineRule="auto"/>
              <w:jc w:val="center"/>
              <w:rPr>
                <w:rFonts w:ascii="Arial" w:eastAsia="Arial" w:hAnsi="Arial" w:cs="Arial"/>
                <w:color w:val="000000"/>
                <w:sz w:val="22"/>
              </w:rPr>
            </w:pPr>
          </w:p>
          <w:p w14:paraId="5942421E" w14:textId="77777777" w:rsidR="006B66D5" w:rsidRDefault="006B66D5" w:rsidP="000814B7">
            <w:pPr>
              <w:widowControl/>
              <w:spacing w:line="480" w:lineRule="auto"/>
              <w:jc w:val="center"/>
              <w:rPr>
                <w:rFonts w:ascii="Arial" w:eastAsia="Arial" w:hAnsi="Arial" w:cs="Arial"/>
                <w:color w:val="000000"/>
                <w:sz w:val="22"/>
              </w:rPr>
            </w:pPr>
          </w:p>
          <w:p w14:paraId="5DEF6A7D" w14:textId="77777777" w:rsidR="006B66D5" w:rsidRDefault="006B66D5" w:rsidP="000814B7">
            <w:pPr>
              <w:widowControl/>
              <w:spacing w:line="480" w:lineRule="auto"/>
              <w:jc w:val="center"/>
              <w:rPr>
                <w:rFonts w:ascii="Arial" w:eastAsia="Arial" w:hAnsi="Arial" w:cs="Arial"/>
                <w:color w:val="000000"/>
                <w:sz w:val="22"/>
              </w:rPr>
            </w:pPr>
          </w:p>
          <w:p w14:paraId="44D52556" w14:textId="77777777" w:rsidR="006B66D5" w:rsidRDefault="006B66D5" w:rsidP="000814B7">
            <w:pPr>
              <w:widowControl/>
              <w:spacing w:line="480" w:lineRule="auto"/>
              <w:jc w:val="center"/>
              <w:rPr>
                <w:rFonts w:ascii="Arial" w:eastAsia="Arial" w:hAnsi="Arial" w:cs="Arial"/>
                <w:color w:val="000000"/>
                <w:sz w:val="22"/>
              </w:rPr>
            </w:pPr>
          </w:p>
          <w:p w14:paraId="40062B9C" w14:textId="77777777" w:rsidR="006B66D5" w:rsidRDefault="006B66D5" w:rsidP="000814B7">
            <w:pPr>
              <w:widowControl/>
              <w:spacing w:line="480" w:lineRule="auto"/>
              <w:jc w:val="center"/>
              <w:rPr>
                <w:rFonts w:ascii="Arial" w:eastAsia="Arial" w:hAnsi="Arial" w:cs="Arial"/>
                <w:color w:val="000000"/>
                <w:sz w:val="22"/>
              </w:rPr>
            </w:pPr>
          </w:p>
          <w:p w14:paraId="47C3D191" w14:textId="77777777" w:rsidR="006B66D5" w:rsidRDefault="006B66D5" w:rsidP="000814B7">
            <w:pPr>
              <w:widowControl/>
              <w:spacing w:line="480" w:lineRule="auto"/>
              <w:jc w:val="center"/>
              <w:rPr>
                <w:rFonts w:ascii="Arial" w:eastAsia="Arial" w:hAnsi="Arial" w:cs="Arial"/>
                <w:color w:val="000000"/>
                <w:sz w:val="22"/>
              </w:rPr>
            </w:pPr>
          </w:p>
          <w:p w14:paraId="3E4B95F8" w14:textId="77777777" w:rsidR="006B66D5" w:rsidRDefault="006B66D5" w:rsidP="000814B7">
            <w:pPr>
              <w:widowControl/>
              <w:spacing w:line="480" w:lineRule="auto"/>
              <w:jc w:val="center"/>
              <w:rPr>
                <w:rFonts w:ascii="Arial" w:eastAsia="Arial" w:hAnsi="Arial" w:cs="Arial"/>
                <w:color w:val="000000"/>
                <w:sz w:val="22"/>
              </w:rPr>
            </w:pPr>
          </w:p>
          <w:p w14:paraId="74C53351" w14:textId="77777777" w:rsidR="006B66D5" w:rsidRDefault="006B66D5" w:rsidP="000814B7">
            <w:pPr>
              <w:widowControl/>
              <w:spacing w:line="480" w:lineRule="auto"/>
              <w:jc w:val="center"/>
              <w:rPr>
                <w:rFonts w:ascii="Arial" w:eastAsia="Arial" w:hAnsi="Arial" w:cs="Arial"/>
                <w:sz w:val="36"/>
              </w:rPr>
            </w:pPr>
          </w:p>
        </w:tc>
      </w:tr>
    </w:tbl>
    <w:p w14:paraId="7F036AAE" w14:textId="77777777" w:rsidR="006B66D5" w:rsidRDefault="006B66D5" w:rsidP="000814B7">
      <w:pPr>
        <w:spacing w:line="480" w:lineRule="auto"/>
      </w:pPr>
    </w:p>
    <w:p w14:paraId="412092F1"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Evaluation of HFS</w:t>
      </w:r>
    </w:p>
    <w:p w14:paraId="19B1F99A"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Physician evaluation is performed according to CTCAE v5.0.</w:t>
      </w:r>
    </w:p>
    <w:p w14:paraId="5BC13873" w14:textId="3541F80A"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Pharmacists interviewed the patient before the physicians’ examination, evaluated the grade </w:t>
      </w:r>
      <w:r>
        <w:rPr>
          <w:rFonts w:ascii="游明朝" w:eastAsia="游明朝" w:hAnsi="游明朝" w:cs="游明朝"/>
        </w:rPr>
        <w:lastRenderedPageBreak/>
        <w:t xml:space="preserve">of the skin disorder based on the interview and the side effect self-report table, and recommended the necessary medicine. In addition, we determined the necessity of chemotherapy suspension according to the grade of the skin disorder and entered the above information in the electronic medical record. </w:t>
      </w:r>
      <w:r w:rsidR="00BD4CC6">
        <w:rPr>
          <w:rFonts w:ascii="游明朝" w:eastAsia="游明朝" w:hAnsi="游明朝" w:cs="游明朝"/>
        </w:rPr>
        <w:t>Notably, i</w:t>
      </w:r>
      <w:r>
        <w:rPr>
          <w:rFonts w:ascii="游明朝" w:eastAsia="游明朝" w:hAnsi="游明朝" w:cs="游明朝"/>
        </w:rPr>
        <w:t>f it is determined during the interview that the method of use of the drug is different from the guidance content or if a new skin disorder countermeasure drug is added, guidance will be provided again. After the pharmacist’s interview, the physicians examined the patient, evaluated the grade of the skin disorder, and confirmed, completed, and ordered supportive care medicine according to recommendations by pharmacists. If prescription modification is necessary for the recommendation of pharmacists, physicians modify the prescription</w:t>
      </w:r>
      <w:r w:rsidR="00DB2582">
        <w:rPr>
          <w:rFonts w:ascii="游明朝" w:eastAsia="游明朝" w:hAnsi="游明朝" w:cs="游明朝"/>
        </w:rPr>
        <w:t xml:space="preserve">—a comprehensive </w:t>
      </w:r>
      <w:r>
        <w:rPr>
          <w:rFonts w:ascii="游明朝" w:eastAsia="游明朝" w:hAnsi="游明朝" w:cs="游明朝"/>
        </w:rPr>
        <w:t>evaluation of therapeutic and side effects to determine whether chemotherapy should be continued</w:t>
      </w:r>
      <w:r w:rsidR="00DB2582">
        <w:rPr>
          <w:rFonts w:ascii="游明朝" w:eastAsia="游明朝" w:hAnsi="游明朝" w:cs="游明朝"/>
        </w:rPr>
        <w:t>.</w:t>
      </w:r>
      <w:r>
        <w:rPr>
          <w:rFonts w:ascii="游明朝" w:eastAsia="游明朝" w:hAnsi="游明朝" w:cs="游明朝"/>
        </w:rPr>
        <w:t xml:space="preserve"> The nurses assessed the patients’ self-care abilities before the physicians’ visit. </w:t>
      </w:r>
      <w:r w:rsidR="00DB2582">
        <w:rPr>
          <w:rFonts w:ascii="游明朝" w:eastAsia="游明朝" w:hAnsi="游明朝" w:cs="游明朝"/>
        </w:rPr>
        <w:t>Suppose it is determined during the interview that the self-care method differs from the instructions. In that case</w:t>
      </w:r>
      <w:r>
        <w:rPr>
          <w:rFonts w:ascii="游明朝" w:eastAsia="游明朝" w:hAnsi="游明朝" w:cs="游明朝"/>
        </w:rPr>
        <w:t>, re-instructions will be given on the cleaning, moisturizing, protection, and topical agent application methods, and the instructions will be recorded in the electronic medical record. If the grade evaluation of skin disorders differs by occupation, it is not necessary to match; however, the factors should be clarified. If the therapeutic drug is modified after the physician’s examination by physicians or pharmacists if requested.</w:t>
      </w:r>
    </w:p>
    <w:p w14:paraId="1E9F73C3" w14:textId="77777777" w:rsidR="006B66D5" w:rsidRDefault="006B66D5" w:rsidP="000814B7">
      <w:pPr>
        <w:spacing w:line="480" w:lineRule="auto"/>
      </w:pPr>
    </w:p>
    <w:p w14:paraId="6628CD77"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Criteria for withdrawal of chemotherapy</w:t>
      </w:r>
    </w:p>
    <w:p w14:paraId="465F2EF6" w14:textId="2F8106F0"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If the </w:t>
      </w:r>
      <w:r w:rsidR="00D135E7">
        <w:rPr>
          <w:rFonts w:ascii="游明朝" w:eastAsia="游明朝" w:hAnsi="游明朝" w:cs="游明朝"/>
        </w:rPr>
        <w:t xml:space="preserve">patient’s </w:t>
      </w:r>
      <w:r>
        <w:rPr>
          <w:rFonts w:ascii="游明朝" w:eastAsia="游明朝" w:hAnsi="游明朝" w:cs="游明朝"/>
        </w:rPr>
        <w:t>skin disorder progresses to grade 2, the pharmacists will suggest chemotherapy withdrawal to the physicians. During the examination, physicians comprehensively evaluated the effects and side effects and determined the treatment policy.</w:t>
      </w:r>
    </w:p>
    <w:p w14:paraId="4C998050" w14:textId="77777777" w:rsidR="006B66D5" w:rsidRDefault="006B66D5" w:rsidP="000814B7">
      <w:pPr>
        <w:spacing w:line="480" w:lineRule="auto"/>
      </w:pPr>
    </w:p>
    <w:p w14:paraId="37DC5AF3" w14:textId="7777777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Supportive care medicine</w:t>
      </w:r>
    </w:p>
    <w:p w14:paraId="1B99E69C" w14:textId="71994822" w:rsidR="006B66D5" w:rsidRDefault="001A1285" w:rsidP="000814B7">
      <w:pPr>
        <w:spacing w:line="480" w:lineRule="auto"/>
        <w:rPr>
          <w:rFonts w:ascii="游明朝" w:eastAsia="游明朝" w:hAnsi="游明朝" w:cs="游明朝"/>
        </w:rPr>
      </w:pPr>
      <w:r>
        <w:rPr>
          <w:rFonts w:ascii="游明朝" w:eastAsia="游明朝" w:hAnsi="游明朝" w:cs="游明朝"/>
        </w:rPr>
        <w:t xml:space="preserve"> In principle, the medicine should be selected from </w:t>
      </w:r>
      <w:r w:rsidR="00D135E7">
        <w:rPr>
          <w:rFonts w:ascii="游明朝" w:eastAsia="游明朝" w:hAnsi="游明朝" w:cs="游明朝"/>
        </w:rPr>
        <w:t>T</w:t>
      </w:r>
      <w:r>
        <w:rPr>
          <w:rFonts w:ascii="游明朝" w:eastAsia="游明朝" w:hAnsi="游明朝" w:cs="游明朝"/>
        </w:rPr>
        <w:t>able 4</w:t>
      </w:r>
      <w:r w:rsidR="00DB2582">
        <w:rPr>
          <w:rFonts w:ascii="游明朝" w:eastAsia="游明朝" w:hAnsi="游明朝" w:cs="游明朝"/>
        </w:rPr>
        <w:t xml:space="preserve">; however, </w:t>
      </w:r>
      <w:r>
        <w:rPr>
          <w:rFonts w:ascii="游明朝" w:eastAsia="游明朝" w:hAnsi="游明朝" w:cs="游明朝"/>
        </w:rPr>
        <w:t xml:space="preserve">the change in dosage form should be approved according to the </w:t>
      </w:r>
      <w:r w:rsidR="00DB2582">
        <w:rPr>
          <w:rFonts w:ascii="游明朝" w:eastAsia="游明朝" w:hAnsi="游明朝" w:cs="游明朝"/>
        </w:rPr>
        <w:t>patient’s wishes or the medical staff’s judgment</w:t>
      </w:r>
      <w:r>
        <w:rPr>
          <w:rFonts w:ascii="游明朝" w:eastAsia="游明朝" w:hAnsi="游明朝" w:cs="游明朝"/>
        </w:rPr>
        <w:t>. If it is determined that medications other than those listed below are necessary, consult physicians separately.</w:t>
      </w:r>
    </w:p>
    <w:p w14:paraId="7A30A956" w14:textId="77777777" w:rsidR="006B66D5" w:rsidRDefault="006B66D5" w:rsidP="000814B7">
      <w:pPr>
        <w:spacing w:line="480" w:lineRule="auto"/>
      </w:pPr>
    </w:p>
    <w:p w14:paraId="37DD5110" w14:textId="77777777" w:rsidR="006B66D5" w:rsidRDefault="001A1285" w:rsidP="000814B7">
      <w:pPr>
        <w:spacing w:line="480" w:lineRule="auto"/>
        <w:rPr>
          <w:rFonts w:ascii="游明朝" w:eastAsia="游明朝" w:hAnsi="游明朝" w:cs="游明朝"/>
        </w:rPr>
      </w:pPr>
      <w:r>
        <w:rPr>
          <w:rFonts w:ascii="游明朝" w:eastAsia="游明朝" w:hAnsi="游明朝" w:cs="游明朝"/>
        </w:rPr>
        <w:t>Table 4. Prescription recommendation for HFS</w:t>
      </w:r>
    </w:p>
    <w:tbl>
      <w:tblPr>
        <w:tblW w:w="0" w:type="auto"/>
        <w:tblCellMar>
          <w:left w:w="0" w:type="dxa"/>
          <w:right w:w="0" w:type="dxa"/>
        </w:tblCellMar>
        <w:tblLook w:val="0000" w:firstRow="0" w:lastRow="0" w:firstColumn="0" w:lastColumn="0" w:noHBand="0" w:noVBand="0"/>
      </w:tblPr>
      <w:tblGrid>
        <w:gridCol w:w="1549"/>
        <w:gridCol w:w="1758"/>
        <w:gridCol w:w="1395"/>
        <w:gridCol w:w="1430"/>
        <w:gridCol w:w="1792"/>
      </w:tblGrid>
      <w:tr w:rsidR="00BC5D82" w14:paraId="41A492F4" w14:textId="77777777">
        <w:trPr>
          <w:trHeight w:val="730"/>
        </w:trPr>
        <w:tc>
          <w:tcPr>
            <w:tcW w:w="1549" w:type="dxa"/>
            <w:tcBorders>
              <w:top w:val="single" w:sz="8" w:space="0" w:color="000000"/>
              <w:left w:val="single" w:sz="8" w:space="0" w:color="000000"/>
              <w:bottom w:val="single" w:sz="8" w:space="0" w:color="000000"/>
              <w:right w:val="single" w:sz="8" w:space="0" w:color="000000"/>
            </w:tcBorders>
            <w:shd w:val="clear" w:color="auto" w:fill="DAE3F3"/>
          </w:tcPr>
          <w:p w14:paraId="407BA05D" w14:textId="77777777" w:rsidR="006B66D5" w:rsidRDefault="001A1285" w:rsidP="000814B7">
            <w:pPr>
              <w:widowControl/>
              <w:spacing w:line="480" w:lineRule="auto"/>
              <w:rPr>
                <w:rFonts w:ascii="Arial" w:eastAsia="Arial" w:hAnsi="Arial" w:cs="Arial"/>
              </w:rPr>
            </w:pPr>
            <w:r>
              <w:rPr>
                <w:rFonts w:ascii="Arial" w:eastAsia="Arial" w:hAnsi="Arial" w:cs="Arial"/>
              </w:rPr>
              <w:t>Severity</w:t>
            </w:r>
          </w:p>
        </w:tc>
        <w:tc>
          <w:tcPr>
            <w:tcW w:w="1664" w:type="dxa"/>
            <w:tcBorders>
              <w:top w:val="single" w:sz="8" w:space="0" w:color="000000"/>
              <w:left w:val="single" w:sz="8" w:space="0" w:color="000000"/>
              <w:bottom w:val="single" w:sz="8" w:space="0" w:color="000000"/>
              <w:right w:val="single" w:sz="8" w:space="0" w:color="000000"/>
            </w:tcBorders>
            <w:shd w:val="clear" w:color="auto" w:fill="DAE3F3"/>
          </w:tcPr>
          <w:p w14:paraId="61C3E98C" w14:textId="77777777" w:rsidR="006B66D5" w:rsidRDefault="001A1285" w:rsidP="000814B7">
            <w:pPr>
              <w:widowControl/>
              <w:spacing w:line="480" w:lineRule="auto"/>
              <w:jc w:val="center"/>
              <w:rPr>
                <w:rFonts w:ascii="Arial" w:eastAsia="Arial" w:hAnsi="Arial" w:cs="Arial"/>
              </w:rPr>
            </w:pPr>
            <w:r>
              <w:rPr>
                <w:rFonts w:ascii="Arial" w:eastAsia="Arial" w:hAnsi="Arial" w:cs="Arial"/>
              </w:rPr>
              <w:t>Prevention</w:t>
            </w:r>
          </w:p>
        </w:tc>
        <w:tc>
          <w:tcPr>
            <w:tcW w:w="1395" w:type="dxa"/>
            <w:tcBorders>
              <w:top w:val="single" w:sz="8" w:space="0" w:color="000000"/>
              <w:left w:val="single" w:sz="8" w:space="0" w:color="000000"/>
              <w:bottom w:val="single" w:sz="8" w:space="0" w:color="000000"/>
              <w:right w:val="single" w:sz="8" w:space="0" w:color="000000"/>
            </w:tcBorders>
            <w:shd w:val="clear" w:color="auto" w:fill="DAE3F3"/>
          </w:tcPr>
          <w:p w14:paraId="33E390ED" w14:textId="77777777" w:rsidR="006B66D5" w:rsidRDefault="001A1285" w:rsidP="000814B7">
            <w:pPr>
              <w:widowControl/>
              <w:spacing w:line="480" w:lineRule="auto"/>
              <w:jc w:val="center"/>
              <w:rPr>
                <w:rFonts w:ascii="Arial" w:eastAsia="Arial" w:hAnsi="Arial" w:cs="Arial"/>
              </w:rPr>
            </w:pPr>
            <w:r>
              <w:rPr>
                <w:rFonts w:ascii="Arial" w:eastAsia="Arial" w:hAnsi="Arial" w:cs="Arial"/>
                <w:color w:val="000000"/>
              </w:rPr>
              <w:t>Grade 1</w:t>
            </w:r>
          </w:p>
        </w:tc>
        <w:tc>
          <w:tcPr>
            <w:tcW w:w="1430" w:type="dxa"/>
            <w:tcBorders>
              <w:top w:val="single" w:sz="8" w:space="0" w:color="000000"/>
              <w:left w:val="single" w:sz="8" w:space="0" w:color="000000"/>
              <w:bottom w:val="single" w:sz="8" w:space="0" w:color="000000"/>
              <w:right w:val="single" w:sz="8" w:space="0" w:color="000000"/>
            </w:tcBorders>
            <w:shd w:val="clear" w:color="auto" w:fill="DAE3F3"/>
          </w:tcPr>
          <w:p w14:paraId="3C3BB19C" w14:textId="77777777" w:rsidR="006B66D5" w:rsidRDefault="001A1285" w:rsidP="000814B7">
            <w:pPr>
              <w:widowControl/>
              <w:spacing w:line="480" w:lineRule="auto"/>
              <w:jc w:val="center"/>
              <w:rPr>
                <w:rFonts w:ascii="Arial" w:eastAsia="Arial" w:hAnsi="Arial" w:cs="Arial"/>
              </w:rPr>
            </w:pPr>
            <w:r>
              <w:rPr>
                <w:rFonts w:ascii="Arial" w:eastAsia="Arial" w:hAnsi="Arial" w:cs="Arial"/>
                <w:color w:val="000000"/>
              </w:rPr>
              <w:t>Grade 2</w:t>
            </w:r>
          </w:p>
        </w:tc>
        <w:tc>
          <w:tcPr>
            <w:tcW w:w="1792" w:type="dxa"/>
            <w:tcBorders>
              <w:top w:val="single" w:sz="8" w:space="0" w:color="000000"/>
              <w:left w:val="single" w:sz="8" w:space="0" w:color="000000"/>
              <w:bottom w:val="single" w:sz="8" w:space="0" w:color="000000"/>
              <w:right w:val="single" w:sz="8" w:space="0" w:color="000000"/>
            </w:tcBorders>
            <w:shd w:val="clear" w:color="auto" w:fill="DAE3F3"/>
          </w:tcPr>
          <w:p w14:paraId="59197B85" w14:textId="77777777" w:rsidR="006B66D5" w:rsidRDefault="001A1285" w:rsidP="000814B7">
            <w:pPr>
              <w:widowControl/>
              <w:spacing w:line="480" w:lineRule="auto"/>
              <w:jc w:val="center"/>
              <w:rPr>
                <w:rFonts w:ascii="Arial" w:eastAsia="Arial" w:hAnsi="Arial" w:cs="Arial"/>
              </w:rPr>
            </w:pPr>
            <w:r>
              <w:rPr>
                <w:rFonts w:ascii="Arial" w:eastAsia="Arial" w:hAnsi="Arial" w:cs="Arial"/>
                <w:color w:val="000000"/>
              </w:rPr>
              <w:t>Grade 3</w:t>
            </w:r>
          </w:p>
        </w:tc>
      </w:tr>
      <w:tr w:rsidR="00BC5D82" w14:paraId="24C245BE" w14:textId="77777777">
        <w:trPr>
          <w:trHeight w:val="4347"/>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61A67B39" w14:textId="77777777" w:rsidR="006B66D5" w:rsidRDefault="001A1285" w:rsidP="000814B7">
            <w:pPr>
              <w:widowControl/>
              <w:spacing w:line="480" w:lineRule="auto"/>
              <w:jc w:val="left"/>
              <w:rPr>
                <w:rFonts w:ascii="Arial" w:eastAsia="Arial" w:hAnsi="Arial" w:cs="Arial"/>
              </w:rPr>
            </w:pPr>
            <w:r>
              <w:rPr>
                <w:rFonts w:ascii="Arial" w:eastAsia="Arial" w:hAnsi="Arial" w:cs="Arial"/>
              </w:rPr>
              <w:lastRenderedPageBreak/>
              <w:t>External agent</w:t>
            </w:r>
          </w:p>
        </w:tc>
        <w:tc>
          <w:tcPr>
            <w:tcW w:w="1664" w:type="dxa"/>
            <w:tcBorders>
              <w:top w:val="single" w:sz="8" w:space="0" w:color="000000"/>
              <w:left w:val="single" w:sz="8" w:space="0" w:color="000000"/>
              <w:bottom w:val="single" w:sz="8" w:space="0" w:color="000000"/>
              <w:right w:val="single" w:sz="8" w:space="0" w:color="000000"/>
            </w:tcBorders>
            <w:shd w:val="clear" w:color="auto" w:fill="auto"/>
          </w:tcPr>
          <w:p w14:paraId="4AD218B7" w14:textId="77777777" w:rsidR="006B66D5" w:rsidRDefault="001A1285" w:rsidP="000814B7">
            <w:pPr>
              <w:pStyle w:val="a4"/>
              <w:widowControl/>
              <w:numPr>
                <w:ilvl w:val="0"/>
                <w:numId w:val="2"/>
              </w:numPr>
              <w:spacing w:line="480" w:lineRule="auto"/>
              <w:jc w:val="left"/>
              <w:rPr>
                <w:rFonts w:ascii="Arial" w:eastAsia="Arial" w:hAnsi="Arial" w:cs="Arial"/>
              </w:rPr>
            </w:pPr>
            <w:r>
              <w:rPr>
                <w:rFonts w:ascii="Arial" w:eastAsia="Arial" w:hAnsi="Arial" w:cs="Arial"/>
                <w:color w:val="000000"/>
              </w:rPr>
              <w:t>Heparinoid</w:t>
            </w:r>
          </w:p>
          <w:p w14:paraId="356158E8" w14:textId="690C94B9" w:rsidR="00383684" w:rsidRPr="00383684" w:rsidRDefault="00383684" w:rsidP="00383684">
            <w:pPr>
              <w:pStyle w:val="a4"/>
              <w:widowControl/>
              <w:numPr>
                <w:ilvl w:val="0"/>
                <w:numId w:val="2"/>
              </w:numPr>
              <w:spacing w:line="480" w:lineRule="auto"/>
              <w:jc w:val="left"/>
              <w:rPr>
                <w:rFonts w:ascii="Arial" w:hAnsi="Arial" w:cs="Arial"/>
              </w:rPr>
            </w:pPr>
            <w:r>
              <w:rPr>
                <w:rFonts w:ascii="Arial" w:hAnsi="Arial" w:cs="Arial"/>
              </w:rPr>
              <w:t>T</w:t>
            </w:r>
            <w:r w:rsidRPr="00383684">
              <w:rPr>
                <w:rFonts w:ascii="Arial" w:hAnsi="Arial" w:cs="Arial"/>
              </w:rPr>
              <w:t xml:space="preserve">opical </w:t>
            </w:r>
          </w:p>
          <w:p w14:paraId="37A2CC41" w14:textId="0A78B10E" w:rsidR="006B66D5" w:rsidRDefault="00383684" w:rsidP="000814B7">
            <w:pPr>
              <w:pStyle w:val="a4"/>
              <w:widowControl/>
              <w:spacing w:line="480" w:lineRule="auto"/>
              <w:ind w:left="360"/>
              <w:jc w:val="left"/>
              <w:rPr>
                <w:rFonts w:ascii="Arial" w:eastAsia="Arial" w:hAnsi="Arial" w:cs="Arial"/>
              </w:rPr>
            </w:pPr>
            <w:r>
              <w:rPr>
                <w:rFonts w:ascii="Arial" w:hAnsi="Arial" w:cs="Arial"/>
              </w:rPr>
              <w:t>h</w:t>
            </w:r>
            <w:r w:rsidRPr="00383684">
              <w:rPr>
                <w:rFonts w:ascii="Arial" w:hAnsi="Arial" w:cs="Arial"/>
              </w:rPr>
              <w:t>ydrocortisone</w:t>
            </w:r>
            <w:r>
              <w:rPr>
                <w:rFonts w:ascii="Arial" w:hAnsi="Arial" w:cs="Arial"/>
              </w:rPr>
              <w:t xml:space="preserve"> (m</w:t>
            </w:r>
            <w:r w:rsidRPr="00383684">
              <w:rPr>
                <w:rFonts w:ascii="Arial" w:hAnsi="Arial" w:cs="Arial"/>
              </w:rPr>
              <w:t xml:space="preserve">edium class </w:t>
            </w:r>
            <w:proofErr w:type="gramStart"/>
            <w:r w:rsidRPr="00383684">
              <w:rPr>
                <w:rFonts w:ascii="Arial" w:hAnsi="Arial" w:cs="Arial"/>
              </w:rPr>
              <w:t>steroid</w:t>
            </w:r>
            <w:r>
              <w:rPr>
                <w:rFonts w:ascii="Arial" w:hAnsi="Arial" w:cs="Arial"/>
              </w:rPr>
              <w:t>)*</w:t>
            </w:r>
            <w:proofErr w:type="gramEnd"/>
            <w:r>
              <w:rPr>
                <w:rFonts w:ascii="Arial" w:hAnsi="Arial" w:cs="Arial"/>
              </w:rPr>
              <w:t xml:space="preserve">) </w:t>
            </w:r>
          </w:p>
        </w:tc>
        <w:tc>
          <w:tcPr>
            <w:tcW w:w="1395" w:type="dxa"/>
            <w:tcBorders>
              <w:top w:val="single" w:sz="8" w:space="0" w:color="000000"/>
              <w:left w:val="single" w:sz="8" w:space="0" w:color="000000"/>
              <w:bottom w:val="single" w:sz="8" w:space="0" w:color="000000"/>
              <w:right w:val="single" w:sz="8" w:space="0" w:color="000000"/>
            </w:tcBorders>
            <w:shd w:val="clear" w:color="auto" w:fill="auto"/>
          </w:tcPr>
          <w:p w14:paraId="7B829B79" w14:textId="77777777" w:rsidR="006B66D5" w:rsidRDefault="001A1285" w:rsidP="000814B7">
            <w:pPr>
              <w:pStyle w:val="a4"/>
              <w:widowControl/>
              <w:numPr>
                <w:ilvl w:val="0"/>
                <w:numId w:val="2"/>
              </w:numPr>
              <w:spacing w:line="480" w:lineRule="auto"/>
              <w:jc w:val="left"/>
              <w:rPr>
                <w:rFonts w:ascii="Arial" w:eastAsia="Arial" w:hAnsi="Arial" w:cs="Arial"/>
              </w:rPr>
            </w:pPr>
            <w:r>
              <w:rPr>
                <w:rFonts w:ascii="Arial" w:eastAsia="Arial" w:hAnsi="Arial" w:cs="Arial"/>
                <w:color w:val="000000"/>
              </w:rPr>
              <w:t>Medium class steroid</w:t>
            </w:r>
          </w:p>
        </w:tc>
        <w:tc>
          <w:tcPr>
            <w:tcW w:w="1430" w:type="dxa"/>
            <w:tcBorders>
              <w:top w:val="single" w:sz="8" w:space="0" w:color="000000"/>
              <w:left w:val="single" w:sz="8" w:space="0" w:color="000000"/>
              <w:bottom w:val="single" w:sz="8" w:space="0" w:color="000000"/>
              <w:right w:val="single" w:sz="8" w:space="0" w:color="000000"/>
            </w:tcBorders>
            <w:shd w:val="clear" w:color="auto" w:fill="auto"/>
          </w:tcPr>
          <w:p w14:paraId="5C936432" w14:textId="70D8F564" w:rsidR="006B66D5" w:rsidRDefault="001A1285" w:rsidP="000814B7">
            <w:pPr>
              <w:pStyle w:val="a4"/>
              <w:widowControl/>
              <w:numPr>
                <w:ilvl w:val="0"/>
                <w:numId w:val="2"/>
              </w:numPr>
              <w:spacing w:line="480" w:lineRule="auto"/>
              <w:jc w:val="left"/>
              <w:rPr>
                <w:rFonts w:ascii="Arial" w:eastAsia="Arial" w:hAnsi="Arial" w:cs="Arial"/>
              </w:rPr>
            </w:pPr>
            <w:r>
              <w:rPr>
                <w:rFonts w:ascii="Arial" w:eastAsia="Arial" w:hAnsi="Arial" w:cs="Arial"/>
                <w:color w:val="000000"/>
              </w:rPr>
              <w:t>Very strong class steroid*</w:t>
            </w:r>
            <w:r w:rsidR="00383684">
              <w:rPr>
                <w:rFonts w:ascii="Arial" w:eastAsia="Arial" w:hAnsi="Arial" w:cs="Arial"/>
                <w:color w:val="000000"/>
              </w:rPr>
              <w:t>*</w:t>
            </w:r>
            <w:r>
              <w:rPr>
                <w:rFonts w:ascii="Arial" w:eastAsia="Arial" w:hAnsi="Arial" w:cs="Arial"/>
                <w:color w:val="000000"/>
              </w:rPr>
              <w:t>)</w:t>
            </w:r>
          </w:p>
        </w:tc>
        <w:tc>
          <w:tcPr>
            <w:tcW w:w="1792" w:type="dxa"/>
            <w:tcBorders>
              <w:top w:val="single" w:sz="8" w:space="0" w:color="000000"/>
              <w:left w:val="single" w:sz="8" w:space="0" w:color="000000"/>
              <w:bottom w:val="single" w:sz="8" w:space="0" w:color="000000"/>
              <w:right w:val="single" w:sz="8" w:space="0" w:color="000000"/>
            </w:tcBorders>
            <w:shd w:val="clear" w:color="auto" w:fill="auto"/>
          </w:tcPr>
          <w:p w14:paraId="1D77BA18" w14:textId="77777777" w:rsidR="006B66D5" w:rsidRDefault="001A1285" w:rsidP="000814B7">
            <w:pPr>
              <w:pStyle w:val="a4"/>
              <w:widowControl/>
              <w:numPr>
                <w:ilvl w:val="0"/>
                <w:numId w:val="2"/>
              </w:numPr>
              <w:spacing w:line="480" w:lineRule="auto"/>
              <w:jc w:val="left"/>
              <w:rPr>
                <w:rFonts w:ascii="Arial" w:eastAsia="Arial" w:hAnsi="Arial" w:cs="Arial"/>
              </w:rPr>
            </w:pPr>
            <w:r>
              <w:rPr>
                <w:rFonts w:ascii="Arial" w:eastAsia="Arial" w:hAnsi="Arial" w:cs="Arial"/>
                <w:color w:val="000000"/>
              </w:rPr>
              <w:t>Strongest class steroid</w:t>
            </w:r>
          </w:p>
          <w:p w14:paraId="152ADBBA" w14:textId="77777777" w:rsidR="006B66D5" w:rsidRDefault="006B66D5" w:rsidP="000814B7">
            <w:pPr>
              <w:pStyle w:val="a4"/>
              <w:widowControl/>
              <w:spacing w:line="480" w:lineRule="auto"/>
              <w:ind w:left="360"/>
              <w:jc w:val="left"/>
              <w:rPr>
                <w:rFonts w:ascii="Arial" w:eastAsia="Arial" w:hAnsi="Arial" w:cs="Arial"/>
              </w:rPr>
            </w:pPr>
          </w:p>
          <w:p w14:paraId="283C1A1B" w14:textId="77777777" w:rsidR="006B66D5" w:rsidRDefault="001A1285" w:rsidP="000814B7">
            <w:pPr>
              <w:pStyle w:val="a4"/>
              <w:widowControl/>
              <w:numPr>
                <w:ilvl w:val="0"/>
                <w:numId w:val="2"/>
              </w:numPr>
              <w:spacing w:line="480" w:lineRule="auto"/>
              <w:jc w:val="left"/>
              <w:rPr>
                <w:rFonts w:ascii="Arial" w:eastAsia="Arial" w:hAnsi="Arial" w:cs="Arial"/>
              </w:rPr>
            </w:pPr>
            <w:proofErr w:type="spellStart"/>
            <w:r>
              <w:rPr>
                <w:rFonts w:ascii="Arial" w:eastAsia="Arial" w:hAnsi="Arial" w:cs="Arial"/>
                <w:color w:val="000000"/>
              </w:rPr>
              <w:t>Nadifloxacin</w:t>
            </w:r>
            <w:proofErr w:type="spellEnd"/>
            <w:r>
              <w:rPr>
                <w:rFonts w:ascii="Arial" w:eastAsia="Arial" w:hAnsi="Arial" w:cs="Arial"/>
                <w:color w:val="000000"/>
              </w:rPr>
              <w:t xml:space="preserve"> If with infection</w:t>
            </w:r>
          </w:p>
        </w:tc>
      </w:tr>
      <w:tr w:rsidR="00BC5D82" w14:paraId="12E3129F" w14:textId="77777777">
        <w:trPr>
          <w:trHeight w:val="759"/>
        </w:trPr>
        <w:tc>
          <w:tcPr>
            <w:tcW w:w="1549" w:type="dxa"/>
            <w:tcBorders>
              <w:top w:val="single" w:sz="8" w:space="0" w:color="000000"/>
              <w:left w:val="single" w:sz="8" w:space="0" w:color="000000"/>
              <w:bottom w:val="single" w:sz="8" w:space="0" w:color="000000"/>
              <w:right w:val="single" w:sz="8" w:space="0" w:color="000000"/>
            </w:tcBorders>
            <w:shd w:val="clear" w:color="auto" w:fill="auto"/>
          </w:tcPr>
          <w:p w14:paraId="4BFA4BE3" w14:textId="77777777" w:rsidR="006B66D5" w:rsidRDefault="001A1285" w:rsidP="000814B7">
            <w:pPr>
              <w:widowControl/>
              <w:spacing w:line="480" w:lineRule="auto"/>
              <w:jc w:val="left"/>
              <w:rPr>
                <w:rFonts w:ascii="Arial" w:eastAsia="Arial" w:hAnsi="Arial" w:cs="Arial"/>
              </w:rPr>
            </w:pPr>
            <w:r>
              <w:rPr>
                <w:rFonts w:ascii="Arial" w:eastAsia="Arial" w:hAnsi="Arial" w:cs="Arial"/>
                <w:color w:val="000000"/>
              </w:rPr>
              <w:t>Consultation with a dermatologist</w:t>
            </w:r>
          </w:p>
        </w:tc>
        <w:tc>
          <w:tcPr>
            <w:tcW w:w="1664" w:type="dxa"/>
            <w:tcBorders>
              <w:top w:val="single" w:sz="8" w:space="0" w:color="000000"/>
              <w:left w:val="single" w:sz="8" w:space="0" w:color="000000"/>
              <w:bottom w:val="single" w:sz="8" w:space="0" w:color="000000"/>
              <w:right w:val="single" w:sz="8" w:space="0" w:color="000000"/>
            </w:tcBorders>
            <w:shd w:val="clear" w:color="auto" w:fill="auto"/>
          </w:tcPr>
          <w:p w14:paraId="5C3E1057" w14:textId="77777777" w:rsidR="006B66D5" w:rsidRDefault="006B66D5" w:rsidP="000814B7">
            <w:pPr>
              <w:widowControl/>
              <w:spacing w:line="480" w:lineRule="auto"/>
              <w:jc w:val="left"/>
              <w:rPr>
                <w:rFonts w:ascii="Arial" w:eastAsia="Arial" w:hAnsi="Arial" w:cs="Arial"/>
              </w:rPr>
            </w:pPr>
          </w:p>
        </w:tc>
        <w:tc>
          <w:tcPr>
            <w:tcW w:w="1395" w:type="dxa"/>
            <w:tcBorders>
              <w:top w:val="single" w:sz="8" w:space="0" w:color="000000"/>
              <w:left w:val="single" w:sz="8" w:space="0" w:color="000000"/>
              <w:bottom w:val="single" w:sz="8" w:space="0" w:color="000000"/>
              <w:right w:val="single" w:sz="8" w:space="0" w:color="000000"/>
            </w:tcBorders>
            <w:shd w:val="clear" w:color="auto" w:fill="auto"/>
          </w:tcPr>
          <w:p w14:paraId="5405C161" w14:textId="77777777" w:rsidR="006B66D5" w:rsidRDefault="006B66D5" w:rsidP="000814B7">
            <w:pPr>
              <w:widowControl/>
              <w:spacing w:line="480" w:lineRule="auto"/>
              <w:jc w:val="left"/>
              <w:rPr>
                <w:rFonts w:ascii="Times New Roman" w:eastAsia="Times New Roman" w:hAnsi="Times New Roman" w:cs="Times New Roman"/>
              </w:rPr>
            </w:pPr>
          </w:p>
        </w:tc>
        <w:tc>
          <w:tcPr>
            <w:tcW w:w="1430" w:type="dxa"/>
            <w:tcBorders>
              <w:top w:val="single" w:sz="8" w:space="0" w:color="000000"/>
              <w:left w:val="single" w:sz="8" w:space="0" w:color="000000"/>
              <w:bottom w:val="single" w:sz="8" w:space="0" w:color="000000"/>
              <w:right w:val="single" w:sz="8" w:space="0" w:color="000000"/>
            </w:tcBorders>
            <w:shd w:val="clear" w:color="auto" w:fill="auto"/>
          </w:tcPr>
          <w:p w14:paraId="7BD89607" w14:textId="77777777" w:rsidR="006B66D5" w:rsidRDefault="006B66D5" w:rsidP="000814B7">
            <w:pPr>
              <w:widowControl/>
              <w:spacing w:line="480" w:lineRule="auto"/>
              <w:jc w:val="left"/>
              <w:rPr>
                <w:rFonts w:ascii="Times New Roman" w:eastAsia="Times New Roman" w:hAnsi="Times New Roman" w:cs="Times New Roman"/>
              </w:rPr>
            </w:pPr>
          </w:p>
        </w:tc>
        <w:tc>
          <w:tcPr>
            <w:tcW w:w="1792" w:type="dxa"/>
            <w:tcBorders>
              <w:top w:val="single" w:sz="8" w:space="0" w:color="000000"/>
              <w:left w:val="single" w:sz="8" w:space="0" w:color="000000"/>
              <w:bottom w:val="single" w:sz="8" w:space="0" w:color="000000"/>
              <w:right w:val="single" w:sz="8" w:space="0" w:color="000000"/>
            </w:tcBorders>
            <w:shd w:val="clear" w:color="auto" w:fill="auto"/>
          </w:tcPr>
          <w:p w14:paraId="3F008B0C" w14:textId="77777777" w:rsidR="006B66D5" w:rsidRDefault="001A1285" w:rsidP="000814B7">
            <w:pPr>
              <w:widowControl/>
              <w:spacing w:line="480" w:lineRule="auto"/>
              <w:jc w:val="left"/>
              <w:rPr>
                <w:rFonts w:ascii="Arial" w:eastAsia="Arial" w:hAnsi="Arial" w:cs="Arial"/>
              </w:rPr>
            </w:pPr>
            <w:r>
              <w:rPr>
                <w:rFonts w:ascii="游明朝" w:eastAsia="游明朝" w:hAnsi="游明朝" w:cs="游明朝"/>
              </w:rPr>
              <w:t>consideration</w:t>
            </w:r>
          </w:p>
        </w:tc>
      </w:tr>
    </w:tbl>
    <w:p w14:paraId="02986514" w14:textId="4CC81CE4" w:rsidR="00383684" w:rsidRDefault="00383684">
      <w:pPr>
        <w:spacing w:line="480" w:lineRule="auto"/>
        <w:rPr>
          <w:rFonts w:ascii="游明朝" w:eastAsia="游明朝" w:hAnsi="游明朝" w:cs="游明朝"/>
        </w:rPr>
      </w:pPr>
      <w:r>
        <w:rPr>
          <w:rFonts w:ascii="游明朝" w:eastAsia="游明朝" w:hAnsi="游明朝" w:cs="游明朝" w:hint="eastAsia"/>
        </w:rPr>
        <w:t>*</w:t>
      </w:r>
      <w:r>
        <w:rPr>
          <w:rFonts w:ascii="游明朝" w:eastAsia="游明朝" w:hAnsi="游明朝" w:cs="游明朝"/>
        </w:rPr>
        <w:t xml:space="preserve">) </w:t>
      </w:r>
      <w:proofErr w:type="gramStart"/>
      <w:r w:rsidRPr="00383684">
        <w:rPr>
          <w:rFonts w:ascii="游明朝" w:eastAsia="游明朝" w:hAnsi="游明朝" w:cs="游明朝"/>
        </w:rPr>
        <w:t>If  obtained</w:t>
      </w:r>
      <w:proofErr w:type="gramEnd"/>
      <w:r w:rsidRPr="00383684">
        <w:rPr>
          <w:rFonts w:ascii="游明朝" w:eastAsia="游明朝" w:hAnsi="游明朝" w:cs="游明朝"/>
        </w:rPr>
        <w:t xml:space="preserve"> an informed consent to participate in T-CRACC study</w:t>
      </w:r>
      <w:r>
        <w:rPr>
          <w:rFonts w:ascii="游明朝" w:eastAsia="游明朝" w:hAnsi="游明朝" w:cs="游明朝"/>
        </w:rPr>
        <w:t xml:space="preserve"> [20].</w:t>
      </w:r>
    </w:p>
    <w:p w14:paraId="2C4E0746" w14:textId="484FCBFA" w:rsidR="006B66D5" w:rsidRDefault="001A1285" w:rsidP="000814B7">
      <w:pPr>
        <w:spacing w:line="480" w:lineRule="auto"/>
        <w:rPr>
          <w:rFonts w:ascii="游明朝" w:eastAsia="游明朝" w:hAnsi="游明朝" w:cs="游明朝"/>
        </w:rPr>
      </w:pPr>
      <w:r>
        <w:rPr>
          <w:rFonts w:ascii="游明朝" w:eastAsia="游明朝" w:hAnsi="游明朝" w:cs="游明朝"/>
        </w:rPr>
        <w:t>*</w:t>
      </w:r>
      <w:r w:rsidR="00383684">
        <w:rPr>
          <w:rFonts w:ascii="游明朝" w:eastAsia="游明朝" w:hAnsi="游明朝" w:cs="游明朝"/>
        </w:rPr>
        <w:t>*</w:t>
      </w:r>
      <w:r>
        <w:rPr>
          <w:rFonts w:ascii="游明朝" w:eastAsia="游明朝" w:hAnsi="游明朝" w:cs="游明朝"/>
        </w:rPr>
        <w:t xml:space="preserve">) Regarding the class of topical steroids, even if symptoms are grade 2, </w:t>
      </w:r>
      <w:r w:rsidR="008C3C0B">
        <w:rPr>
          <w:rFonts w:ascii="游明朝" w:eastAsia="游明朝" w:hAnsi="游明朝" w:cs="游明朝"/>
        </w:rPr>
        <w:t>using</w:t>
      </w:r>
      <w:r>
        <w:rPr>
          <w:rFonts w:ascii="游明朝" w:eastAsia="游明朝" w:hAnsi="游明朝" w:cs="游明朝"/>
        </w:rPr>
        <w:t xml:space="preserve"> the strongest class should be considered depending on the site and symptoms.</w:t>
      </w:r>
    </w:p>
    <w:p w14:paraId="53E52797" w14:textId="7B2EA42E" w:rsidR="008C3C0B" w:rsidRDefault="001A1285" w:rsidP="000814B7">
      <w:pPr>
        <w:spacing w:line="480" w:lineRule="auto"/>
        <w:rPr>
          <w:rFonts w:ascii="游明朝" w:eastAsia="游明朝" w:hAnsi="游明朝" w:cs="游明朝"/>
        </w:rPr>
      </w:pPr>
      <w:r>
        <w:rPr>
          <w:rFonts w:ascii="游明朝" w:eastAsia="游明朝" w:hAnsi="游明朝" w:cs="游明朝"/>
        </w:rPr>
        <w:t>HFS, hand-foot syndrome</w:t>
      </w:r>
    </w:p>
    <w:p w14:paraId="4879D408" w14:textId="79744752" w:rsidR="006B66D5" w:rsidRDefault="006B66D5" w:rsidP="00C0145B">
      <w:pPr>
        <w:spacing w:line="480" w:lineRule="auto"/>
      </w:pPr>
    </w:p>
    <w:p w14:paraId="7CE10EB2" w14:textId="318BC669" w:rsidR="00C0145B" w:rsidRDefault="00C0145B" w:rsidP="00C0145B">
      <w:pPr>
        <w:spacing w:line="480" w:lineRule="auto"/>
      </w:pPr>
    </w:p>
    <w:p w14:paraId="5A478050" w14:textId="3E147443" w:rsidR="00C0145B" w:rsidRDefault="00C0145B" w:rsidP="00C0145B">
      <w:pPr>
        <w:spacing w:line="480" w:lineRule="auto"/>
      </w:pPr>
    </w:p>
    <w:p w14:paraId="31BD021C" w14:textId="79025468" w:rsidR="00C0145B" w:rsidRDefault="00C0145B" w:rsidP="00C0145B">
      <w:pPr>
        <w:spacing w:line="480" w:lineRule="auto"/>
      </w:pPr>
    </w:p>
    <w:p w14:paraId="696D03BA" w14:textId="323CE9CC" w:rsidR="00C0145B" w:rsidRDefault="00C0145B" w:rsidP="00C0145B">
      <w:pPr>
        <w:spacing w:line="480" w:lineRule="auto"/>
      </w:pPr>
    </w:p>
    <w:p w14:paraId="5AED66D3" w14:textId="77777777" w:rsidR="00C0145B" w:rsidRDefault="00C0145B" w:rsidP="000814B7">
      <w:pPr>
        <w:spacing w:line="480" w:lineRule="auto"/>
      </w:pPr>
    </w:p>
    <w:p w14:paraId="04C81B50" w14:textId="6332C9B7" w:rsidR="006B66D5" w:rsidRDefault="001A1285" w:rsidP="000814B7">
      <w:pPr>
        <w:pStyle w:val="a4"/>
        <w:numPr>
          <w:ilvl w:val="0"/>
          <w:numId w:val="2"/>
        </w:numPr>
        <w:spacing w:line="480" w:lineRule="auto"/>
        <w:rPr>
          <w:rFonts w:ascii="游明朝" w:eastAsia="游明朝" w:hAnsi="游明朝" w:cs="游明朝"/>
        </w:rPr>
      </w:pPr>
      <w:r>
        <w:rPr>
          <w:rFonts w:ascii="游明朝" w:eastAsia="游明朝" w:hAnsi="游明朝" w:cs="游明朝"/>
        </w:rPr>
        <w:t>Reference</w:t>
      </w:r>
    </w:p>
    <w:p w14:paraId="0BCC8ED4" w14:textId="02629013" w:rsidR="006B66D5" w:rsidRDefault="001A1285" w:rsidP="000814B7">
      <w:pPr>
        <w:pStyle w:val="a4"/>
        <w:spacing w:line="480" w:lineRule="auto"/>
        <w:ind w:left="360" w:hanging="360"/>
      </w:pPr>
      <w:r>
        <w:rPr>
          <w:rFonts w:ascii="游明朝" w:eastAsia="游明朝" w:hAnsi="游明朝" w:cs="游明朝"/>
        </w:rPr>
        <w:t xml:space="preserve">1. Nagore E, </w:t>
      </w:r>
      <w:proofErr w:type="spellStart"/>
      <w:r>
        <w:rPr>
          <w:rFonts w:ascii="游明朝" w:eastAsia="游明朝" w:hAnsi="游明朝" w:cs="游明朝"/>
        </w:rPr>
        <w:t>Insa</w:t>
      </w:r>
      <w:proofErr w:type="spellEnd"/>
      <w:r>
        <w:rPr>
          <w:rFonts w:ascii="游明朝" w:eastAsia="游明朝" w:hAnsi="游明朝" w:cs="游明朝"/>
        </w:rPr>
        <w:t xml:space="preserve"> A, </w:t>
      </w:r>
      <w:proofErr w:type="spellStart"/>
      <w:r>
        <w:rPr>
          <w:rFonts w:ascii="游明朝" w:eastAsia="游明朝" w:hAnsi="游明朝" w:cs="游明朝"/>
        </w:rPr>
        <w:t>Sanmartín</w:t>
      </w:r>
      <w:proofErr w:type="spellEnd"/>
      <w:r>
        <w:rPr>
          <w:rFonts w:ascii="游明朝" w:eastAsia="游明朝" w:hAnsi="游明朝" w:cs="游明朝"/>
        </w:rPr>
        <w:t xml:space="preserve"> O. Antineoplastic therapy-induced palmar plantar </w:t>
      </w:r>
      <w:proofErr w:type="spellStart"/>
      <w:r>
        <w:rPr>
          <w:rFonts w:ascii="游明朝" w:eastAsia="游明朝" w:hAnsi="游明朝" w:cs="游明朝"/>
        </w:rPr>
        <w:t>erythrodysesthesia</w:t>
      </w:r>
      <w:proofErr w:type="spellEnd"/>
      <w:r>
        <w:rPr>
          <w:rFonts w:ascii="游明朝" w:eastAsia="游明朝" w:hAnsi="游明朝" w:cs="游明朝"/>
        </w:rPr>
        <w:t xml:space="preserve"> (</w:t>
      </w:r>
      <w:r w:rsidR="00D135E7">
        <w:rPr>
          <w:rFonts w:ascii="游明朝" w:eastAsia="游明朝" w:hAnsi="游明朝" w:cs="游明朝"/>
        </w:rPr>
        <w:t>‘hand</w:t>
      </w:r>
      <w:r>
        <w:rPr>
          <w:rFonts w:ascii="游明朝" w:eastAsia="游明朝" w:hAnsi="游明朝" w:cs="游明朝"/>
        </w:rPr>
        <w:t>-</w:t>
      </w:r>
      <w:r w:rsidR="00D135E7">
        <w:rPr>
          <w:rFonts w:ascii="游明朝" w:eastAsia="游明朝" w:hAnsi="游明朝" w:cs="游明朝"/>
        </w:rPr>
        <w:t>foot’</w:t>
      </w:r>
      <w:r>
        <w:rPr>
          <w:rFonts w:ascii="游明朝" w:eastAsia="游明朝" w:hAnsi="游明朝" w:cs="游明朝"/>
        </w:rPr>
        <w:t xml:space="preserve">) syndrome. Incidence, </w:t>
      </w:r>
      <w:proofErr w:type="gramStart"/>
      <w:r>
        <w:rPr>
          <w:rFonts w:ascii="游明朝" w:eastAsia="游明朝" w:hAnsi="游明朝" w:cs="游明朝"/>
        </w:rPr>
        <w:t>recognition</w:t>
      </w:r>
      <w:proofErr w:type="gramEnd"/>
      <w:r>
        <w:rPr>
          <w:rFonts w:ascii="游明朝" w:eastAsia="游明朝" w:hAnsi="游明朝" w:cs="游明朝"/>
        </w:rPr>
        <w:t xml:space="preserve"> and management. Am J Clin Dermatol. </w:t>
      </w:r>
      <w:proofErr w:type="gramStart"/>
      <w:r>
        <w:rPr>
          <w:rFonts w:ascii="游明朝" w:eastAsia="游明朝" w:hAnsi="游明朝" w:cs="游明朝"/>
        </w:rPr>
        <w:t>2000;1:225</w:t>
      </w:r>
      <w:proofErr w:type="gramEnd"/>
      <w:r>
        <w:rPr>
          <w:rFonts w:ascii="游明朝" w:eastAsia="游明朝" w:hAnsi="游明朝" w:cs="游明朝"/>
        </w:rPr>
        <w:t>-34.</w:t>
      </w:r>
    </w:p>
    <w:p w14:paraId="4190086C" w14:textId="51D4CB91" w:rsidR="006B66D5" w:rsidRDefault="001A1285" w:rsidP="000814B7">
      <w:pPr>
        <w:pStyle w:val="a4"/>
        <w:spacing w:line="480" w:lineRule="auto"/>
        <w:ind w:left="360" w:hanging="360"/>
      </w:pPr>
      <w:r>
        <w:rPr>
          <w:rFonts w:ascii="游明朝" w:eastAsia="游明朝" w:hAnsi="游明朝" w:cs="游明朝"/>
        </w:rPr>
        <w:t xml:space="preserve">2. </w:t>
      </w:r>
      <w:proofErr w:type="spellStart"/>
      <w:r>
        <w:rPr>
          <w:rFonts w:ascii="游明朝" w:eastAsia="游明朝" w:hAnsi="游明朝" w:cs="游明朝"/>
        </w:rPr>
        <w:t>Grothey</w:t>
      </w:r>
      <w:proofErr w:type="spellEnd"/>
      <w:r>
        <w:rPr>
          <w:rFonts w:ascii="游明朝" w:eastAsia="游明朝" w:hAnsi="游明朝" w:cs="游明朝"/>
        </w:rPr>
        <w:t xml:space="preserve"> A, Van </w:t>
      </w:r>
      <w:proofErr w:type="spellStart"/>
      <w:r>
        <w:rPr>
          <w:rFonts w:ascii="游明朝" w:eastAsia="游明朝" w:hAnsi="游明朝" w:cs="游明朝"/>
        </w:rPr>
        <w:t>Cutsem</w:t>
      </w:r>
      <w:proofErr w:type="spellEnd"/>
      <w:r>
        <w:rPr>
          <w:rFonts w:ascii="游明朝" w:eastAsia="游明朝" w:hAnsi="游明朝" w:cs="游明朝"/>
        </w:rPr>
        <w:t xml:space="preserve"> E, </w:t>
      </w:r>
      <w:proofErr w:type="spellStart"/>
      <w:r>
        <w:rPr>
          <w:rFonts w:ascii="游明朝" w:eastAsia="游明朝" w:hAnsi="游明朝" w:cs="游明朝"/>
        </w:rPr>
        <w:t>Sobrero</w:t>
      </w:r>
      <w:proofErr w:type="spellEnd"/>
      <w:r>
        <w:rPr>
          <w:rFonts w:ascii="游明朝" w:eastAsia="游明朝" w:hAnsi="游明朝" w:cs="游明朝"/>
        </w:rPr>
        <w:t xml:space="preserve"> A, Siena S, Falcone A, </w:t>
      </w:r>
      <w:proofErr w:type="spellStart"/>
      <w:r>
        <w:rPr>
          <w:rFonts w:ascii="游明朝" w:eastAsia="游明朝" w:hAnsi="游明朝" w:cs="游明朝"/>
        </w:rPr>
        <w:t>Ychou</w:t>
      </w:r>
      <w:proofErr w:type="spellEnd"/>
      <w:r>
        <w:rPr>
          <w:rFonts w:ascii="游明朝" w:eastAsia="游明朝" w:hAnsi="游明朝" w:cs="游明朝"/>
        </w:rPr>
        <w:t xml:space="preserve"> M, et al. Regorafenib monotherapy for previously treated metastatic colorectal cancer (CORRECT): an international, </w:t>
      </w:r>
      <w:proofErr w:type="spellStart"/>
      <w:r>
        <w:rPr>
          <w:rFonts w:ascii="游明朝" w:eastAsia="游明朝" w:hAnsi="游明朝" w:cs="游明朝"/>
        </w:rPr>
        <w:t>multicentre</w:t>
      </w:r>
      <w:proofErr w:type="spellEnd"/>
      <w:r>
        <w:rPr>
          <w:rFonts w:ascii="游明朝" w:eastAsia="游明朝" w:hAnsi="游明朝" w:cs="游明朝"/>
        </w:rPr>
        <w:t xml:space="preserve">, </w:t>
      </w:r>
      <w:proofErr w:type="spellStart"/>
      <w:r>
        <w:rPr>
          <w:rFonts w:ascii="游明朝" w:eastAsia="游明朝" w:hAnsi="游明朝" w:cs="游明朝"/>
        </w:rPr>
        <w:t>randomised</w:t>
      </w:r>
      <w:proofErr w:type="spellEnd"/>
      <w:r>
        <w:rPr>
          <w:rFonts w:ascii="游明朝" w:eastAsia="游明朝" w:hAnsi="游明朝" w:cs="游明朝"/>
        </w:rPr>
        <w:t xml:space="preserve">, placebo-controlled, phase 3 trial. Lancet. </w:t>
      </w:r>
      <w:proofErr w:type="gramStart"/>
      <w:r>
        <w:rPr>
          <w:rFonts w:ascii="游明朝" w:eastAsia="游明朝" w:hAnsi="游明朝" w:cs="游明朝"/>
        </w:rPr>
        <w:t>2013;381:303</w:t>
      </w:r>
      <w:proofErr w:type="gramEnd"/>
      <w:r>
        <w:rPr>
          <w:rFonts w:ascii="游明朝" w:eastAsia="游明朝" w:hAnsi="游明朝" w:cs="游明朝"/>
        </w:rPr>
        <w:t>-12.</w:t>
      </w:r>
    </w:p>
    <w:p w14:paraId="4D9FF3EC" w14:textId="14F2F41E" w:rsidR="006B66D5" w:rsidRDefault="001A1285" w:rsidP="000814B7">
      <w:pPr>
        <w:pStyle w:val="a4"/>
        <w:spacing w:line="480" w:lineRule="auto"/>
        <w:ind w:left="360" w:hanging="360"/>
      </w:pPr>
      <w:r>
        <w:rPr>
          <w:rFonts w:ascii="游明朝" w:eastAsia="游明朝" w:hAnsi="游明朝" w:cs="游明朝"/>
        </w:rPr>
        <w:t xml:space="preserve">3. Nardone B, Hensley JR, Kulik L, West DP, Mulcahy M, </w:t>
      </w:r>
      <w:proofErr w:type="spellStart"/>
      <w:r>
        <w:rPr>
          <w:rFonts w:ascii="游明朝" w:eastAsia="游明朝" w:hAnsi="游明朝" w:cs="游明朝"/>
        </w:rPr>
        <w:t>Rademaker</w:t>
      </w:r>
      <w:proofErr w:type="spellEnd"/>
      <w:r>
        <w:rPr>
          <w:rFonts w:ascii="游明朝" w:eastAsia="游明朝" w:hAnsi="游明朝" w:cs="游明朝"/>
        </w:rPr>
        <w:t xml:space="preserve"> A, et al. The effect of hand-foot skin reaction associated with the </w:t>
      </w:r>
      <w:proofErr w:type="spellStart"/>
      <w:r>
        <w:rPr>
          <w:rFonts w:ascii="游明朝" w:eastAsia="游明朝" w:hAnsi="游明朝" w:cs="游明朝"/>
        </w:rPr>
        <w:t>multikinase</w:t>
      </w:r>
      <w:proofErr w:type="spellEnd"/>
      <w:r>
        <w:rPr>
          <w:rFonts w:ascii="游明朝" w:eastAsia="游明朝" w:hAnsi="游明朝" w:cs="游明朝"/>
        </w:rPr>
        <w:t xml:space="preserve"> inhibitors sorafenib and sunitinib on health-related quality of life. J Drugs Dermatol. 2012;</w:t>
      </w:r>
      <w:proofErr w:type="gramStart"/>
      <w:r>
        <w:rPr>
          <w:rFonts w:ascii="游明朝" w:eastAsia="游明朝" w:hAnsi="游明朝" w:cs="游明朝"/>
        </w:rPr>
        <w:t>11:e</w:t>
      </w:r>
      <w:proofErr w:type="gramEnd"/>
      <w:r>
        <w:rPr>
          <w:rFonts w:ascii="游明朝" w:eastAsia="游明朝" w:hAnsi="游明朝" w:cs="游明朝"/>
        </w:rPr>
        <w:t>61–5.</w:t>
      </w:r>
    </w:p>
    <w:p w14:paraId="0C5D72AA" w14:textId="193F6B9D" w:rsidR="006B66D5" w:rsidRDefault="001A1285" w:rsidP="000814B7">
      <w:pPr>
        <w:pStyle w:val="a4"/>
        <w:spacing w:line="480" w:lineRule="auto"/>
        <w:ind w:left="360" w:hanging="360"/>
      </w:pPr>
      <w:r>
        <w:rPr>
          <w:rFonts w:ascii="游明朝" w:eastAsia="游明朝" w:hAnsi="游明朝" w:cs="游明朝"/>
        </w:rPr>
        <w:t xml:space="preserve">4. NCCN Guidelines® for Colon Cancer, version 2.2021. </w:t>
      </w:r>
      <w:hyperlink r:id="rId9" w:history="1">
        <w:r>
          <w:rPr>
            <w:rStyle w:val="a5"/>
            <w:rFonts w:ascii="游明朝" w:eastAsia="游明朝" w:hAnsi="游明朝" w:cs="游明朝"/>
          </w:rPr>
          <w:t>https://www.nccn.org/patients/guidelines/content/PDF/colon-patient.pdf</w:t>
        </w:r>
      </w:hyperlink>
      <w:r>
        <w:rPr>
          <w:rFonts w:ascii="游明朝" w:eastAsia="游明朝" w:hAnsi="游明朝" w:cs="游明朝"/>
        </w:rPr>
        <w:t>. Accessed January 10, 2023.</w:t>
      </w:r>
    </w:p>
    <w:p w14:paraId="780493A2" w14:textId="13A31B1C" w:rsidR="006B66D5" w:rsidRDefault="001A1285" w:rsidP="000814B7">
      <w:pPr>
        <w:pStyle w:val="a4"/>
        <w:spacing w:line="480" w:lineRule="auto"/>
        <w:ind w:left="360" w:hanging="360"/>
      </w:pPr>
      <w:r>
        <w:rPr>
          <w:rFonts w:ascii="游明朝" w:eastAsia="游明朝" w:hAnsi="游明朝" w:cs="游明朝"/>
        </w:rPr>
        <w:t xml:space="preserve">5. </w:t>
      </w:r>
      <w:proofErr w:type="spellStart"/>
      <w:r>
        <w:rPr>
          <w:rFonts w:ascii="游明朝" w:eastAsia="游明朝" w:hAnsi="游明朝" w:cs="游明朝"/>
        </w:rPr>
        <w:t>Grothey</w:t>
      </w:r>
      <w:proofErr w:type="spellEnd"/>
      <w:r>
        <w:rPr>
          <w:rFonts w:ascii="游明朝" w:eastAsia="游明朝" w:hAnsi="游明朝" w:cs="游明朝"/>
        </w:rPr>
        <w:t xml:space="preserve"> A, </w:t>
      </w:r>
      <w:proofErr w:type="spellStart"/>
      <w:r>
        <w:rPr>
          <w:rFonts w:ascii="游明朝" w:eastAsia="游明朝" w:hAnsi="游明朝" w:cs="游明朝"/>
        </w:rPr>
        <w:t>Sobrero</w:t>
      </w:r>
      <w:proofErr w:type="spellEnd"/>
      <w:r>
        <w:rPr>
          <w:rFonts w:ascii="游明朝" w:eastAsia="游明朝" w:hAnsi="游明朝" w:cs="游明朝"/>
        </w:rPr>
        <w:t xml:space="preserve"> AF, Shields AF, Yoshino T, Paul J, </w:t>
      </w:r>
      <w:proofErr w:type="spellStart"/>
      <w:r>
        <w:rPr>
          <w:rFonts w:ascii="游明朝" w:eastAsia="游明朝" w:hAnsi="游明朝" w:cs="游明朝"/>
        </w:rPr>
        <w:t>Taieb</w:t>
      </w:r>
      <w:proofErr w:type="spellEnd"/>
      <w:r>
        <w:rPr>
          <w:rFonts w:ascii="游明朝" w:eastAsia="游明朝" w:hAnsi="游明朝" w:cs="游明朝"/>
        </w:rPr>
        <w:t xml:space="preserve"> J, et al. Duration of adjuvant chemotherapy for Stage III colon cancer. N </w:t>
      </w:r>
      <w:proofErr w:type="spellStart"/>
      <w:r>
        <w:rPr>
          <w:rFonts w:ascii="游明朝" w:eastAsia="游明朝" w:hAnsi="游明朝" w:cs="游明朝"/>
        </w:rPr>
        <w:t>Engl</w:t>
      </w:r>
      <w:proofErr w:type="spellEnd"/>
      <w:r>
        <w:rPr>
          <w:rFonts w:ascii="游明朝" w:eastAsia="游明朝" w:hAnsi="游明朝" w:cs="游明朝"/>
        </w:rPr>
        <w:t xml:space="preserve"> J Med. </w:t>
      </w:r>
      <w:proofErr w:type="gramStart"/>
      <w:r>
        <w:rPr>
          <w:rFonts w:ascii="游明朝" w:eastAsia="游明朝" w:hAnsi="游明朝" w:cs="游明朝"/>
        </w:rPr>
        <w:t>2018;378:1177</w:t>
      </w:r>
      <w:proofErr w:type="gramEnd"/>
      <w:r>
        <w:rPr>
          <w:rFonts w:ascii="游明朝" w:eastAsia="游明朝" w:hAnsi="游明朝" w:cs="游明朝"/>
        </w:rPr>
        <w:t>-88.</w:t>
      </w:r>
    </w:p>
    <w:p w14:paraId="62A0B0AD" w14:textId="7153C74A" w:rsidR="006B66D5" w:rsidRDefault="001A1285" w:rsidP="000814B7">
      <w:pPr>
        <w:pStyle w:val="a4"/>
        <w:spacing w:line="480" w:lineRule="auto"/>
        <w:ind w:left="360" w:hanging="360"/>
      </w:pPr>
      <w:r>
        <w:rPr>
          <w:rFonts w:ascii="游明朝" w:eastAsia="游明朝" w:hAnsi="游明朝" w:cs="游明朝"/>
        </w:rPr>
        <w:t xml:space="preserve">6. Yamazaki K, Yamanaka T, </w:t>
      </w:r>
      <w:proofErr w:type="spellStart"/>
      <w:r>
        <w:rPr>
          <w:rFonts w:ascii="游明朝" w:eastAsia="游明朝" w:hAnsi="游明朝" w:cs="游明朝"/>
        </w:rPr>
        <w:t>Shiozawa</w:t>
      </w:r>
      <w:proofErr w:type="spellEnd"/>
      <w:r>
        <w:rPr>
          <w:rFonts w:ascii="游明朝" w:eastAsia="游明朝" w:hAnsi="游明朝" w:cs="游明朝"/>
        </w:rPr>
        <w:t xml:space="preserve"> M, Manaka D, </w:t>
      </w:r>
      <w:proofErr w:type="spellStart"/>
      <w:r>
        <w:rPr>
          <w:rFonts w:ascii="游明朝" w:eastAsia="游明朝" w:hAnsi="游明朝" w:cs="游明朝"/>
        </w:rPr>
        <w:t>Kotaka</w:t>
      </w:r>
      <w:proofErr w:type="spellEnd"/>
      <w:r>
        <w:rPr>
          <w:rFonts w:ascii="游明朝" w:eastAsia="游明朝" w:hAnsi="游明朝" w:cs="游明朝"/>
        </w:rPr>
        <w:t xml:space="preserve"> M, </w:t>
      </w:r>
      <w:proofErr w:type="spellStart"/>
      <w:r>
        <w:rPr>
          <w:rFonts w:ascii="游明朝" w:eastAsia="游明朝" w:hAnsi="游明朝" w:cs="游明朝"/>
        </w:rPr>
        <w:t>Gamoh</w:t>
      </w:r>
      <w:proofErr w:type="spellEnd"/>
      <w:r>
        <w:rPr>
          <w:rFonts w:ascii="游明朝" w:eastAsia="游明朝" w:hAnsi="游明朝" w:cs="游明朝"/>
        </w:rPr>
        <w:t xml:space="preserve"> M, et al. Oxaliplatin-</w:t>
      </w:r>
      <w:r>
        <w:rPr>
          <w:rFonts w:ascii="游明朝" w:eastAsia="游明朝" w:hAnsi="游明朝" w:cs="游明朝"/>
        </w:rPr>
        <w:lastRenderedPageBreak/>
        <w:t xml:space="preserve">based adjuvant chemotherapy duration (3 versus 6 months) for high-risk stage II colon cancer: the randomized phase III ACHIEVE-2 trial. Ann Oncol. </w:t>
      </w:r>
      <w:proofErr w:type="gramStart"/>
      <w:r>
        <w:rPr>
          <w:rFonts w:ascii="游明朝" w:eastAsia="游明朝" w:hAnsi="游明朝" w:cs="游明朝"/>
        </w:rPr>
        <w:t>2021;32:77</w:t>
      </w:r>
      <w:proofErr w:type="gramEnd"/>
      <w:r>
        <w:rPr>
          <w:rFonts w:ascii="游明朝" w:eastAsia="游明朝" w:hAnsi="游明朝" w:cs="游明朝"/>
        </w:rPr>
        <w:t>-84.</w:t>
      </w:r>
    </w:p>
    <w:p w14:paraId="49A6BC62" w14:textId="4F636BFC" w:rsidR="006B66D5" w:rsidRDefault="001A1285" w:rsidP="000814B7">
      <w:pPr>
        <w:pStyle w:val="a4"/>
        <w:spacing w:line="480" w:lineRule="auto"/>
        <w:ind w:left="360" w:hanging="360"/>
      </w:pPr>
      <w:r>
        <w:rPr>
          <w:rFonts w:ascii="游明朝" w:eastAsia="游明朝" w:hAnsi="游明朝" w:cs="游明朝"/>
        </w:rPr>
        <w:t xml:space="preserve">7. Hamaguchi T, Shimada Y, </w:t>
      </w:r>
      <w:proofErr w:type="spellStart"/>
      <w:r>
        <w:rPr>
          <w:rFonts w:ascii="游明朝" w:eastAsia="游明朝" w:hAnsi="游明朝" w:cs="游明朝"/>
        </w:rPr>
        <w:t>Mizusawa</w:t>
      </w:r>
      <w:proofErr w:type="spellEnd"/>
      <w:r>
        <w:rPr>
          <w:rFonts w:ascii="游明朝" w:eastAsia="游明朝" w:hAnsi="游明朝" w:cs="游明朝"/>
        </w:rPr>
        <w:t xml:space="preserve"> J, </w:t>
      </w:r>
      <w:proofErr w:type="spellStart"/>
      <w:r>
        <w:rPr>
          <w:rFonts w:ascii="游明朝" w:eastAsia="游明朝" w:hAnsi="游明朝" w:cs="游明朝"/>
        </w:rPr>
        <w:t>Kinugasa</w:t>
      </w:r>
      <w:proofErr w:type="spellEnd"/>
      <w:r>
        <w:rPr>
          <w:rFonts w:ascii="游明朝" w:eastAsia="游明朝" w:hAnsi="游明朝" w:cs="游明朝"/>
        </w:rPr>
        <w:t xml:space="preserve"> Y, </w:t>
      </w:r>
      <w:proofErr w:type="spellStart"/>
      <w:r>
        <w:rPr>
          <w:rFonts w:ascii="游明朝" w:eastAsia="游明朝" w:hAnsi="游明朝" w:cs="游明朝"/>
        </w:rPr>
        <w:t>Kanemitsu</w:t>
      </w:r>
      <w:proofErr w:type="spellEnd"/>
      <w:r>
        <w:rPr>
          <w:rFonts w:ascii="游明朝" w:eastAsia="游明朝" w:hAnsi="游明朝" w:cs="游明朝"/>
        </w:rPr>
        <w:t xml:space="preserve"> Y, </w:t>
      </w:r>
      <w:proofErr w:type="spellStart"/>
      <w:r>
        <w:rPr>
          <w:rFonts w:ascii="游明朝" w:eastAsia="游明朝" w:hAnsi="游明朝" w:cs="游明朝"/>
        </w:rPr>
        <w:t>Ohue</w:t>
      </w:r>
      <w:proofErr w:type="spellEnd"/>
      <w:r>
        <w:rPr>
          <w:rFonts w:ascii="游明朝" w:eastAsia="游明朝" w:hAnsi="游明朝" w:cs="游明朝"/>
        </w:rPr>
        <w:t xml:space="preserve"> M, et al. Capecitabine versus S-1 as adjuvant chemotherapy for patients with stage III colorectal cancer (JCOG0910): an open-label, non-inferiority, </w:t>
      </w:r>
      <w:proofErr w:type="spellStart"/>
      <w:r>
        <w:rPr>
          <w:rFonts w:ascii="游明朝" w:eastAsia="游明朝" w:hAnsi="游明朝" w:cs="游明朝"/>
        </w:rPr>
        <w:t>randomised</w:t>
      </w:r>
      <w:proofErr w:type="spellEnd"/>
      <w:r>
        <w:rPr>
          <w:rFonts w:ascii="游明朝" w:eastAsia="游明朝" w:hAnsi="游明朝" w:cs="游明朝"/>
        </w:rPr>
        <w:t xml:space="preserve">, phase 3, </w:t>
      </w:r>
      <w:proofErr w:type="spellStart"/>
      <w:r>
        <w:rPr>
          <w:rFonts w:ascii="游明朝" w:eastAsia="游明朝" w:hAnsi="游明朝" w:cs="游明朝"/>
        </w:rPr>
        <w:t>multicentre</w:t>
      </w:r>
      <w:proofErr w:type="spellEnd"/>
      <w:r>
        <w:rPr>
          <w:rFonts w:ascii="游明朝" w:eastAsia="游明朝" w:hAnsi="游明朝" w:cs="游明朝"/>
        </w:rPr>
        <w:t xml:space="preserve"> trial. Lancet Gastroenterol Hepatol. </w:t>
      </w:r>
      <w:proofErr w:type="gramStart"/>
      <w:r>
        <w:rPr>
          <w:rFonts w:ascii="游明朝" w:eastAsia="游明朝" w:hAnsi="游明朝" w:cs="游明朝"/>
        </w:rPr>
        <w:t>2018;3:47</w:t>
      </w:r>
      <w:proofErr w:type="gramEnd"/>
      <w:r>
        <w:rPr>
          <w:rFonts w:ascii="游明朝" w:eastAsia="游明朝" w:hAnsi="游明朝" w:cs="游明朝"/>
        </w:rPr>
        <w:t>-56.</w:t>
      </w:r>
    </w:p>
    <w:p w14:paraId="1C95C5C8" w14:textId="4715DDC4" w:rsidR="006B66D5" w:rsidRDefault="001A1285" w:rsidP="000814B7">
      <w:pPr>
        <w:pStyle w:val="a4"/>
        <w:spacing w:line="480" w:lineRule="auto"/>
        <w:ind w:left="360" w:hanging="360"/>
      </w:pPr>
      <w:r>
        <w:rPr>
          <w:rFonts w:ascii="游明朝" w:eastAsia="游明朝" w:hAnsi="游明朝" w:cs="游明朝"/>
        </w:rPr>
        <w:t xml:space="preserve">8. Yokokawa T, Kawakami K, Mae Y, Sugita K, Watanabe H, Suzuki K, et al. Risk factors exacerbating hand-foot skin reaction induced by capecitabine plus oxaliplatin with or without bevacizumab therapy. Ann </w:t>
      </w:r>
      <w:proofErr w:type="spellStart"/>
      <w:r>
        <w:rPr>
          <w:rFonts w:ascii="游明朝" w:eastAsia="游明朝" w:hAnsi="游明朝" w:cs="游明朝"/>
        </w:rPr>
        <w:t>Pharmacother</w:t>
      </w:r>
      <w:proofErr w:type="spellEnd"/>
      <w:r>
        <w:rPr>
          <w:rFonts w:ascii="游明朝" w:eastAsia="游明朝" w:hAnsi="游明朝" w:cs="游明朝"/>
        </w:rPr>
        <w:t xml:space="preserve">. </w:t>
      </w:r>
      <w:proofErr w:type="gramStart"/>
      <w:r>
        <w:rPr>
          <w:rFonts w:ascii="游明朝" w:eastAsia="游明朝" w:hAnsi="游明朝" w:cs="游明朝"/>
        </w:rPr>
        <w:t>2015;49:1120</w:t>
      </w:r>
      <w:proofErr w:type="gramEnd"/>
      <w:r>
        <w:rPr>
          <w:rFonts w:ascii="游明朝" w:eastAsia="游明朝" w:hAnsi="游明朝" w:cs="游明朝"/>
        </w:rPr>
        <w:t>-4.</w:t>
      </w:r>
    </w:p>
    <w:p w14:paraId="38D15CC1" w14:textId="4523750B" w:rsidR="006B66D5" w:rsidRDefault="001A1285" w:rsidP="000814B7">
      <w:pPr>
        <w:pStyle w:val="a4"/>
        <w:spacing w:line="480" w:lineRule="auto"/>
        <w:ind w:left="360" w:hanging="360"/>
      </w:pPr>
      <w:r>
        <w:rPr>
          <w:rFonts w:ascii="游明朝" w:eastAsia="游明朝" w:hAnsi="游明朝" w:cs="游明朝"/>
        </w:rPr>
        <w:t xml:space="preserve">9. Son HS, Lee WY, Lee WS, Yun SH, Chun HK. Compliance and effective management of the hand-foot syndrome in colon cancer patients receiving capecitabine as adjuvant chemotherapy. Yonsei Med J. </w:t>
      </w:r>
      <w:proofErr w:type="gramStart"/>
      <w:r>
        <w:rPr>
          <w:rFonts w:ascii="游明朝" w:eastAsia="游明朝" w:hAnsi="游明朝" w:cs="游明朝"/>
        </w:rPr>
        <w:t>2009;50:796</w:t>
      </w:r>
      <w:proofErr w:type="gramEnd"/>
      <w:r>
        <w:rPr>
          <w:rFonts w:ascii="游明朝" w:eastAsia="游明朝" w:hAnsi="游明朝" w:cs="游明朝"/>
        </w:rPr>
        <w:t>-802.</w:t>
      </w:r>
    </w:p>
    <w:p w14:paraId="52E01C72" w14:textId="3F7C7E96" w:rsidR="006B66D5" w:rsidRDefault="001A1285" w:rsidP="000814B7">
      <w:pPr>
        <w:pStyle w:val="a4"/>
        <w:spacing w:line="480" w:lineRule="auto"/>
        <w:ind w:left="360" w:hanging="360"/>
      </w:pPr>
      <w:r>
        <w:rPr>
          <w:rFonts w:ascii="游明朝" w:eastAsia="游明朝" w:hAnsi="游明朝" w:cs="游明朝"/>
        </w:rPr>
        <w:t xml:space="preserve">10. Van </w:t>
      </w:r>
      <w:proofErr w:type="spellStart"/>
      <w:r>
        <w:rPr>
          <w:rFonts w:ascii="游明朝" w:eastAsia="游明朝" w:hAnsi="游明朝" w:cs="游明朝"/>
        </w:rPr>
        <w:t>Cutsem</w:t>
      </w:r>
      <w:proofErr w:type="spellEnd"/>
      <w:r>
        <w:rPr>
          <w:rFonts w:ascii="游明朝" w:eastAsia="游明朝" w:hAnsi="游明朝" w:cs="游明朝"/>
        </w:rPr>
        <w:t xml:space="preserve"> E, Twelves C, Cassidy J, Allman D, </w:t>
      </w:r>
      <w:proofErr w:type="spellStart"/>
      <w:r>
        <w:rPr>
          <w:rFonts w:ascii="游明朝" w:eastAsia="游明朝" w:hAnsi="游明朝" w:cs="游明朝"/>
        </w:rPr>
        <w:t>Bajetta</w:t>
      </w:r>
      <w:proofErr w:type="spellEnd"/>
      <w:r>
        <w:rPr>
          <w:rFonts w:ascii="游明朝" w:eastAsia="游明朝" w:hAnsi="游明朝" w:cs="游明朝"/>
        </w:rPr>
        <w:t xml:space="preserve"> E, Boyer M, et al. Oral capecitabine compared with intravenous fluorouracil plus leucovorin in patients with metastatic colorectal cancer: results of a large phase III study. J Clin Oncol. </w:t>
      </w:r>
      <w:proofErr w:type="gramStart"/>
      <w:r>
        <w:rPr>
          <w:rFonts w:ascii="游明朝" w:eastAsia="游明朝" w:hAnsi="游明朝" w:cs="游明朝"/>
        </w:rPr>
        <w:t>2001;19:4097</w:t>
      </w:r>
      <w:proofErr w:type="gramEnd"/>
      <w:r>
        <w:rPr>
          <w:rFonts w:ascii="游明朝" w:eastAsia="游明朝" w:hAnsi="游明朝" w:cs="游明朝"/>
        </w:rPr>
        <w:t>-106.</w:t>
      </w:r>
    </w:p>
    <w:p w14:paraId="7AB0346D" w14:textId="02E30771" w:rsidR="006B66D5" w:rsidRDefault="001A1285" w:rsidP="000814B7">
      <w:pPr>
        <w:pStyle w:val="a4"/>
        <w:spacing w:line="480" w:lineRule="auto"/>
        <w:ind w:left="360" w:hanging="360"/>
      </w:pPr>
      <w:r>
        <w:rPr>
          <w:rFonts w:ascii="游明朝" w:eastAsia="游明朝" w:hAnsi="游明朝" w:cs="游明朝"/>
        </w:rPr>
        <w:t xml:space="preserve">11. Blum JL, Jones SE, </w:t>
      </w:r>
      <w:proofErr w:type="spellStart"/>
      <w:r>
        <w:rPr>
          <w:rFonts w:ascii="游明朝" w:eastAsia="游明朝" w:hAnsi="游明朝" w:cs="游明朝"/>
        </w:rPr>
        <w:t>Buzdar</w:t>
      </w:r>
      <w:proofErr w:type="spellEnd"/>
      <w:r>
        <w:rPr>
          <w:rFonts w:ascii="游明朝" w:eastAsia="游明朝" w:hAnsi="游明朝" w:cs="游明朝"/>
        </w:rPr>
        <w:t xml:space="preserve"> AU, LoRusso PM, </w:t>
      </w:r>
      <w:proofErr w:type="spellStart"/>
      <w:r>
        <w:rPr>
          <w:rFonts w:ascii="游明朝" w:eastAsia="游明朝" w:hAnsi="游明朝" w:cs="游明朝"/>
        </w:rPr>
        <w:t>Kuter</w:t>
      </w:r>
      <w:proofErr w:type="spellEnd"/>
      <w:r>
        <w:rPr>
          <w:rFonts w:ascii="游明朝" w:eastAsia="游明朝" w:hAnsi="游明朝" w:cs="游明朝"/>
        </w:rPr>
        <w:t xml:space="preserve"> I, Vogel C, et al. Multicenter phase II study of capecitabine in paclitaxel-refractory metastatic breast cancer. J Clin Oncol. </w:t>
      </w:r>
      <w:proofErr w:type="gramStart"/>
      <w:r>
        <w:rPr>
          <w:rFonts w:ascii="游明朝" w:eastAsia="游明朝" w:hAnsi="游明朝" w:cs="游明朝"/>
        </w:rPr>
        <w:lastRenderedPageBreak/>
        <w:t>1999;17:485</w:t>
      </w:r>
      <w:proofErr w:type="gramEnd"/>
      <w:r>
        <w:rPr>
          <w:rFonts w:ascii="游明朝" w:eastAsia="游明朝" w:hAnsi="游明朝" w:cs="游明朝"/>
        </w:rPr>
        <w:t>-93.</w:t>
      </w:r>
    </w:p>
    <w:p w14:paraId="54D832D5" w14:textId="024ECCBF" w:rsidR="006B66D5" w:rsidRDefault="001A1285" w:rsidP="000814B7">
      <w:pPr>
        <w:pStyle w:val="a4"/>
        <w:spacing w:line="480" w:lineRule="auto"/>
        <w:ind w:left="360" w:hanging="360"/>
      </w:pPr>
      <w:r>
        <w:rPr>
          <w:rFonts w:ascii="游明朝" w:eastAsia="游明朝" w:hAnsi="游明朝" w:cs="游明朝"/>
        </w:rPr>
        <w:t xml:space="preserve">12. Lu W, Huang Z, Chen S, </w:t>
      </w:r>
      <w:proofErr w:type="spellStart"/>
      <w:r>
        <w:rPr>
          <w:rFonts w:ascii="游明朝" w:eastAsia="游明朝" w:hAnsi="游明朝" w:cs="游明朝"/>
        </w:rPr>
        <w:t>Lv</w:t>
      </w:r>
      <w:proofErr w:type="spellEnd"/>
      <w:r>
        <w:rPr>
          <w:rFonts w:ascii="游明朝" w:eastAsia="游明朝" w:hAnsi="游明朝" w:cs="游明朝"/>
        </w:rPr>
        <w:t xml:space="preserve"> H, Chen X, Lei J, et al. The effectiveness of </w:t>
      </w:r>
      <w:proofErr w:type="spellStart"/>
      <w:r>
        <w:rPr>
          <w:rFonts w:ascii="游明朝" w:eastAsia="游明朝" w:hAnsi="游明朝" w:cs="游明朝"/>
        </w:rPr>
        <w:t>EVOSKIN®Palm</w:t>
      </w:r>
      <w:proofErr w:type="spellEnd"/>
      <w:r>
        <w:rPr>
          <w:rFonts w:ascii="游明朝" w:eastAsia="游明朝" w:hAnsi="游明朝" w:cs="游明朝"/>
        </w:rPr>
        <w:t xml:space="preserve"> and sole moisturizing cream in treating capecitabine-associated hand-foot syndrome: a randomized double-blind clinical trial. Ann </w:t>
      </w:r>
      <w:proofErr w:type="spellStart"/>
      <w:r>
        <w:rPr>
          <w:rFonts w:ascii="游明朝" w:eastAsia="游明朝" w:hAnsi="游明朝" w:cs="游明朝"/>
        </w:rPr>
        <w:t>Palliat</w:t>
      </w:r>
      <w:proofErr w:type="spellEnd"/>
      <w:r>
        <w:rPr>
          <w:rFonts w:ascii="游明朝" w:eastAsia="游明朝" w:hAnsi="游明朝" w:cs="游明朝"/>
        </w:rPr>
        <w:t xml:space="preserve"> Med. </w:t>
      </w:r>
      <w:proofErr w:type="gramStart"/>
      <w:r>
        <w:rPr>
          <w:rFonts w:ascii="游明朝" w:eastAsia="游明朝" w:hAnsi="游明朝" w:cs="游明朝"/>
        </w:rPr>
        <w:t>2021;10:3009</w:t>
      </w:r>
      <w:proofErr w:type="gramEnd"/>
      <w:r>
        <w:rPr>
          <w:rFonts w:ascii="游明朝" w:eastAsia="游明朝" w:hAnsi="游明朝" w:cs="游明朝"/>
        </w:rPr>
        <w:t>-17.</w:t>
      </w:r>
    </w:p>
    <w:p w14:paraId="0522EB53" w14:textId="58F4F8F6" w:rsidR="006B66D5" w:rsidRDefault="001A1285" w:rsidP="000814B7">
      <w:pPr>
        <w:pStyle w:val="a4"/>
        <w:spacing w:line="480" w:lineRule="auto"/>
        <w:ind w:left="360" w:hanging="360"/>
      </w:pPr>
      <w:r>
        <w:rPr>
          <w:rFonts w:ascii="游明朝" w:eastAsia="游明朝" w:hAnsi="游明朝" w:cs="游明朝"/>
        </w:rPr>
        <w:t xml:space="preserve">13. Wolf SL, Qin R, Menon SP, Rowland KM Jr, Thomas S, </w:t>
      </w:r>
      <w:proofErr w:type="spellStart"/>
      <w:r>
        <w:rPr>
          <w:rFonts w:ascii="游明朝" w:eastAsia="游明朝" w:hAnsi="游明朝" w:cs="游明朝"/>
        </w:rPr>
        <w:t>Delaune</w:t>
      </w:r>
      <w:proofErr w:type="spellEnd"/>
      <w:r>
        <w:rPr>
          <w:rFonts w:ascii="游明朝" w:eastAsia="游明朝" w:hAnsi="游明朝" w:cs="游明朝"/>
        </w:rPr>
        <w:t xml:space="preserve"> R, et al. Placebo-controlled trial to determine the effectiveness of a urea/lactic acid-based topical keratolytic agent for prevention of capecitabine-induced hand-foot syndrome: North Central Cancer Treatment Group Study N05C5. J Clin Oncol. </w:t>
      </w:r>
      <w:proofErr w:type="gramStart"/>
      <w:r>
        <w:rPr>
          <w:rFonts w:ascii="游明朝" w:eastAsia="游明朝" w:hAnsi="游明朝" w:cs="游明朝"/>
        </w:rPr>
        <w:t>2010;28:5182</w:t>
      </w:r>
      <w:proofErr w:type="gramEnd"/>
      <w:r>
        <w:rPr>
          <w:rFonts w:ascii="游明朝" w:eastAsia="游明朝" w:hAnsi="游明朝" w:cs="游明朝"/>
        </w:rPr>
        <w:t>-7.</w:t>
      </w:r>
    </w:p>
    <w:p w14:paraId="27AA8FBE" w14:textId="35CDD77E" w:rsidR="006B66D5" w:rsidRDefault="001A1285" w:rsidP="000814B7">
      <w:pPr>
        <w:pStyle w:val="a4"/>
        <w:spacing w:line="480" w:lineRule="auto"/>
        <w:ind w:left="360" w:hanging="360"/>
      </w:pPr>
      <w:r>
        <w:rPr>
          <w:rFonts w:ascii="游明朝" w:eastAsia="游明朝" w:hAnsi="游明朝" w:cs="游明朝"/>
        </w:rPr>
        <w:t xml:space="preserve">14. Zhang RX, Wu XJ, Lu SX, Pan ZZ, Wan DS, Chen G. The effect of COX-2 inhibitor on capecitabine-induced hand-foot syndrome in patients with stage II/III colorectal cancer: a phase II randomized prospective study. J Cancer Res Clin Oncol. </w:t>
      </w:r>
      <w:proofErr w:type="gramStart"/>
      <w:r>
        <w:rPr>
          <w:rFonts w:ascii="游明朝" w:eastAsia="游明朝" w:hAnsi="游明朝" w:cs="游明朝"/>
        </w:rPr>
        <w:t>2011;137:953</w:t>
      </w:r>
      <w:proofErr w:type="gramEnd"/>
      <w:r>
        <w:rPr>
          <w:rFonts w:ascii="游明朝" w:eastAsia="游明朝" w:hAnsi="游明朝" w:cs="游明朝"/>
        </w:rPr>
        <w:t>-7.</w:t>
      </w:r>
    </w:p>
    <w:p w14:paraId="55593587" w14:textId="32F06F16" w:rsidR="006B66D5" w:rsidRDefault="001A1285" w:rsidP="000814B7">
      <w:pPr>
        <w:pStyle w:val="a4"/>
        <w:spacing w:line="480" w:lineRule="auto"/>
        <w:ind w:left="360" w:hanging="360"/>
      </w:pPr>
      <w:r>
        <w:rPr>
          <w:rFonts w:ascii="游明朝" w:eastAsia="游明朝" w:hAnsi="游明朝" w:cs="游明朝"/>
        </w:rPr>
        <w:t xml:space="preserve">15. Zhang RX, Wu XJ, Wan DS, Lu ZH, Kong LH, Pan ZZ, et al. Celecoxib can prevent capecitabine-related hand-foot syndrome in stage II and III colorectal cancer patients: result of a single-center, prospective randomized phase III trial. Ann Oncol. </w:t>
      </w:r>
      <w:proofErr w:type="gramStart"/>
      <w:r>
        <w:rPr>
          <w:rFonts w:ascii="游明朝" w:eastAsia="游明朝" w:hAnsi="游明朝" w:cs="游明朝"/>
        </w:rPr>
        <w:t>2012;23:1348</w:t>
      </w:r>
      <w:proofErr w:type="gramEnd"/>
      <w:r>
        <w:rPr>
          <w:rFonts w:ascii="游明朝" w:eastAsia="游明朝" w:hAnsi="游明朝" w:cs="游明朝"/>
        </w:rPr>
        <w:t>-53.</w:t>
      </w:r>
    </w:p>
    <w:p w14:paraId="5A675D26" w14:textId="39673FD1" w:rsidR="006B66D5" w:rsidRDefault="001A1285" w:rsidP="000814B7">
      <w:pPr>
        <w:pStyle w:val="a4"/>
        <w:spacing w:line="480" w:lineRule="auto"/>
        <w:ind w:left="360" w:hanging="360"/>
      </w:pPr>
      <w:r>
        <w:rPr>
          <w:rFonts w:ascii="游明朝" w:eastAsia="游明朝" w:hAnsi="游明朝" w:cs="游明朝"/>
        </w:rPr>
        <w:t xml:space="preserve">16. Jo SJ, Shin H, Jo S, Kwon O, Myung SK. </w:t>
      </w:r>
      <w:proofErr w:type="gramStart"/>
      <w:r>
        <w:rPr>
          <w:rFonts w:ascii="游明朝" w:eastAsia="游明朝" w:hAnsi="游明朝" w:cs="游明朝"/>
        </w:rPr>
        <w:t>Prophylactic</w:t>
      </w:r>
      <w:proofErr w:type="gramEnd"/>
      <w:r>
        <w:rPr>
          <w:rFonts w:ascii="游明朝" w:eastAsia="游明朝" w:hAnsi="游明朝" w:cs="游明朝"/>
        </w:rPr>
        <w:t xml:space="preserve"> and therapeutic efficacy of pyridoxine supplements in the management of hand-foot syndrome during chemotherapy: a meta-analysis. Clin Exp Dermatol. </w:t>
      </w:r>
      <w:proofErr w:type="gramStart"/>
      <w:r>
        <w:rPr>
          <w:rFonts w:ascii="游明朝" w:eastAsia="游明朝" w:hAnsi="游明朝" w:cs="游明朝"/>
        </w:rPr>
        <w:t>2015;40:260</w:t>
      </w:r>
      <w:proofErr w:type="gramEnd"/>
      <w:r>
        <w:rPr>
          <w:rFonts w:ascii="游明朝" w:eastAsia="游明朝" w:hAnsi="游明朝" w:cs="游明朝"/>
        </w:rPr>
        <w:t>-70.</w:t>
      </w:r>
    </w:p>
    <w:p w14:paraId="4A6D643A" w14:textId="568CD6F8" w:rsidR="006B66D5" w:rsidRDefault="001A1285" w:rsidP="000814B7">
      <w:pPr>
        <w:pStyle w:val="a4"/>
        <w:spacing w:line="480" w:lineRule="auto"/>
        <w:ind w:left="360" w:hanging="360"/>
      </w:pPr>
      <w:r>
        <w:rPr>
          <w:rFonts w:ascii="游明朝" w:eastAsia="游明朝" w:hAnsi="游明朝" w:cs="游明朝"/>
        </w:rPr>
        <w:lastRenderedPageBreak/>
        <w:t xml:space="preserve">17. </w:t>
      </w:r>
      <w:proofErr w:type="spellStart"/>
      <w:r>
        <w:rPr>
          <w:rFonts w:ascii="游明朝" w:eastAsia="游明朝" w:hAnsi="游明朝" w:cs="游明朝"/>
        </w:rPr>
        <w:t>Scheithauer</w:t>
      </w:r>
      <w:proofErr w:type="spellEnd"/>
      <w:r>
        <w:rPr>
          <w:rFonts w:ascii="游明朝" w:eastAsia="游明朝" w:hAnsi="游明朝" w:cs="游明朝"/>
        </w:rPr>
        <w:t xml:space="preserve"> W, Blum J. Coming to grips with hand-foot syndrome. Insights from clinical trials evaluating capecitabine. Oncology (Williston Park). </w:t>
      </w:r>
      <w:proofErr w:type="gramStart"/>
      <w:r>
        <w:rPr>
          <w:rFonts w:ascii="游明朝" w:eastAsia="游明朝" w:hAnsi="游明朝" w:cs="游明朝"/>
        </w:rPr>
        <w:t>2004;18:1161</w:t>
      </w:r>
      <w:proofErr w:type="gramEnd"/>
      <w:r>
        <w:rPr>
          <w:rFonts w:ascii="游明朝" w:eastAsia="游明朝" w:hAnsi="游明朝" w:cs="游明朝"/>
        </w:rPr>
        <w:t>-8, 1173; discussion 1173-6, 1181-4.</w:t>
      </w:r>
    </w:p>
    <w:p w14:paraId="61AAF4B6" w14:textId="741FB950" w:rsidR="006B66D5" w:rsidRDefault="001A1285" w:rsidP="000814B7">
      <w:pPr>
        <w:pStyle w:val="a4"/>
        <w:spacing w:line="480" w:lineRule="auto"/>
        <w:ind w:left="360" w:hanging="360"/>
      </w:pPr>
      <w:r>
        <w:rPr>
          <w:rFonts w:ascii="游明朝" w:eastAsia="游明朝" w:hAnsi="游明朝" w:cs="游明朝"/>
        </w:rPr>
        <w:t xml:space="preserve">18. </w:t>
      </w:r>
      <w:proofErr w:type="spellStart"/>
      <w:r>
        <w:rPr>
          <w:rFonts w:ascii="游明朝" w:eastAsia="游明朝" w:hAnsi="游明朝" w:cs="游明朝"/>
        </w:rPr>
        <w:t>Diasio</w:t>
      </w:r>
      <w:proofErr w:type="spellEnd"/>
      <w:r>
        <w:rPr>
          <w:rFonts w:ascii="游明朝" w:eastAsia="游明朝" w:hAnsi="游明朝" w:cs="游明朝"/>
        </w:rPr>
        <w:t xml:space="preserve"> RB. Oral DPD-inhibitory fluoropyrimidine drugs. Oncology (Williston Park). 2000;</w:t>
      </w:r>
      <w:proofErr w:type="gramStart"/>
      <w:r>
        <w:rPr>
          <w:rFonts w:ascii="游明朝" w:eastAsia="游明朝" w:hAnsi="游明朝" w:cs="游明朝"/>
        </w:rPr>
        <w:t>14;Suppl</w:t>
      </w:r>
      <w:proofErr w:type="gramEnd"/>
      <w:r>
        <w:rPr>
          <w:rFonts w:ascii="游明朝" w:eastAsia="游明朝" w:hAnsi="游明朝" w:cs="游明朝"/>
        </w:rPr>
        <w:t xml:space="preserve"> 9:19-23.</w:t>
      </w:r>
    </w:p>
    <w:p w14:paraId="767ADCAE" w14:textId="7B0695D2" w:rsidR="006B66D5" w:rsidRDefault="001A1285">
      <w:pPr>
        <w:pStyle w:val="a4"/>
        <w:spacing w:line="480" w:lineRule="auto"/>
        <w:ind w:left="360" w:hanging="360"/>
        <w:rPr>
          <w:rFonts w:ascii="游明朝" w:eastAsia="游明朝" w:hAnsi="游明朝" w:cs="游明朝"/>
        </w:rPr>
      </w:pPr>
      <w:r>
        <w:rPr>
          <w:rFonts w:ascii="游明朝" w:eastAsia="游明朝" w:hAnsi="游明朝" w:cs="游明朝"/>
        </w:rPr>
        <w:t xml:space="preserve">19. Degen A, Alter M, Schenck F, </w:t>
      </w:r>
      <w:proofErr w:type="spellStart"/>
      <w:r>
        <w:rPr>
          <w:rFonts w:ascii="游明朝" w:eastAsia="游明朝" w:hAnsi="游明朝" w:cs="游明朝"/>
        </w:rPr>
        <w:t>Satzger</w:t>
      </w:r>
      <w:proofErr w:type="spellEnd"/>
      <w:r>
        <w:rPr>
          <w:rFonts w:ascii="游明朝" w:eastAsia="游明朝" w:hAnsi="游明朝" w:cs="游明朝"/>
        </w:rPr>
        <w:t xml:space="preserve"> I, </w:t>
      </w:r>
      <w:proofErr w:type="spellStart"/>
      <w:r>
        <w:rPr>
          <w:rFonts w:ascii="游明朝" w:eastAsia="游明朝" w:hAnsi="游明朝" w:cs="游明朝"/>
        </w:rPr>
        <w:t>Völker</w:t>
      </w:r>
      <w:proofErr w:type="spellEnd"/>
      <w:r>
        <w:rPr>
          <w:rFonts w:ascii="游明朝" w:eastAsia="游明朝" w:hAnsi="游明朝" w:cs="游明朝"/>
        </w:rPr>
        <w:t xml:space="preserve"> B, Kapp A, et al. The hand-foot-syndrome associated with medical tumor therapy - classification and management. J </w:t>
      </w:r>
      <w:proofErr w:type="spellStart"/>
      <w:r>
        <w:rPr>
          <w:rFonts w:ascii="游明朝" w:eastAsia="游明朝" w:hAnsi="游明朝" w:cs="游明朝"/>
        </w:rPr>
        <w:t>Dtsch</w:t>
      </w:r>
      <w:proofErr w:type="spellEnd"/>
      <w:r>
        <w:rPr>
          <w:rFonts w:ascii="游明朝" w:eastAsia="游明朝" w:hAnsi="游明朝" w:cs="游明朝"/>
        </w:rPr>
        <w:t xml:space="preserve"> Dermatol </w:t>
      </w:r>
      <w:proofErr w:type="spellStart"/>
      <w:r>
        <w:rPr>
          <w:rFonts w:ascii="游明朝" w:eastAsia="游明朝" w:hAnsi="游明朝" w:cs="游明朝"/>
        </w:rPr>
        <w:t>Ges</w:t>
      </w:r>
      <w:proofErr w:type="spellEnd"/>
      <w:r>
        <w:rPr>
          <w:rFonts w:ascii="游明朝" w:eastAsia="游明朝" w:hAnsi="游明朝" w:cs="游明朝"/>
        </w:rPr>
        <w:t xml:space="preserve">. </w:t>
      </w:r>
      <w:proofErr w:type="gramStart"/>
      <w:r>
        <w:rPr>
          <w:rFonts w:ascii="游明朝" w:eastAsia="游明朝" w:hAnsi="游明朝" w:cs="游明朝"/>
        </w:rPr>
        <w:t>2010;8:652</w:t>
      </w:r>
      <w:proofErr w:type="gramEnd"/>
      <w:r>
        <w:rPr>
          <w:rFonts w:ascii="游明朝" w:eastAsia="游明朝" w:hAnsi="游明朝" w:cs="游明朝"/>
        </w:rPr>
        <w:t>-61.</w:t>
      </w:r>
    </w:p>
    <w:p w14:paraId="443CD2CF" w14:textId="3DC3A719" w:rsidR="00383684" w:rsidRPr="000814B7" w:rsidRDefault="00383684" w:rsidP="000814B7">
      <w:pPr>
        <w:pStyle w:val="a4"/>
        <w:spacing w:line="480" w:lineRule="auto"/>
        <w:ind w:left="360" w:hanging="360"/>
        <w:rPr>
          <w:rFonts w:ascii="游明朝" w:eastAsia="游明朝" w:hAnsi="游明朝" w:cs="游明朝" w:hint="eastAsia"/>
        </w:rPr>
      </w:pPr>
      <w:r>
        <w:rPr>
          <w:rFonts w:ascii="游明朝" w:eastAsia="游明朝" w:hAnsi="游明朝" w:cs="游明朝" w:hint="eastAsia"/>
        </w:rPr>
        <w:t>2</w:t>
      </w:r>
      <w:r>
        <w:rPr>
          <w:rFonts w:ascii="游明朝" w:eastAsia="游明朝" w:hAnsi="游明朝" w:cs="游明朝"/>
        </w:rPr>
        <w:t xml:space="preserve">0. </w:t>
      </w:r>
      <w:proofErr w:type="spellStart"/>
      <w:r w:rsidRPr="00383684">
        <w:rPr>
          <w:rFonts w:ascii="游明朝" w:eastAsia="游明朝" w:hAnsi="游明朝" w:cs="游明朝"/>
        </w:rPr>
        <w:t>Iimura</w:t>
      </w:r>
      <w:proofErr w:type="spellEnd"/>
      <w:r>
        <w:rPr>
          <w:rFonts w:ascii="游明朝" w:eastAsia="游明朝" w:hAnsi="游明朝" w:cs="游明朝"/>
        </w:rPr>
        <w:t xml:space="preserve"> Y</w:t>
      </w:r>
      <w:r w:rsidRPr="00383684">
        <w:rPr>
          <w:rFonts w:ascii="游明朝" w:eastAsia="游明朝" w:hAnsi="游明朝" w:cs="游明朝"/>
        </w:rPr>
        <w:t>, Furukawa</w:t>
      </w:r>
      <w:r>
        <w:rPr>
          <w:rFonts w:ascii="游明朝" w:eastAsia="游明朝" w:hAnsi="游明朝" w:cs="游明朝"/>
        </w:rPr>
        <w:t xml:space="preserve"> N</w:t>
      </w:r>
      <w:r w:rsidRPr="00383684">
        <w:rPr>
          <w:rFonts w:ascii="游明朝" w:eastAsia="游明朝" w:hAnsi="游明朝" w:cs="游明朝"/>
        </w:rPr>
        <w:t>,</w:t>
      </w:r>
      <w:r>
        <w:rPr>
          <w:rFonts w:ascii="游明朝" w:eastAsia="游明朝" w:hAnsi="游明朝" w:cs="游明朝"/>
        </w:rPr>
        <w:t xml:space="preserve"> </w:t>
      </w:r>
      <w:r w:rsidRPr="00383684">
        <w:rPr>
          <w:rFonts w:ascii="游明朝" w:eastAsia="游明朝" w:hAnsi="游明朝" w:cs="游明朝"/>
        </w:rPr>
        <w:t>Ishibashi</w:t>
      </w:r>
      <w:r>
        <w:rPr>
          <w:rFonts w:ascii="游明朝" w:eastAsia="游明朝" w:hAnsi="游明朝" w:cs="游明朝"/>
        </w:rPr>
        <w:t xml:space="preserve"> M</w:t>
      </w:r>
      <w:r w:rsidRPr="00383684">
        <w:rPr>
          <w:rFonts w:ascii="游明朝" w:eastAsia="游明朝" w:hAnsi="游明朝" w:cs="游明朝"/>
        </w:rPr>
        <w:t xml:space="preserve">, </w:t>
      </w:r>
      <w:proofErr w:type="spellStart"/>
      <w:r w:rsidRPr="00383684">
        <w:rPr>
          <w:rFonts w:ascii="游明朝" w:eastAsia="游明朝" w:hAnsi="游明朝" w:cs="游明朝"/>
        </w:rPr>
        <w:t>Ahiko</w:t>
      </w:r>
      <w:proofErr w:type="spellEnd"/>
      <w:r>
        <w:rPr>
          <w:rFonts w:ascii="游明朝" w:eastAsia="游明朝" w:hAnsi="游明朝" w:cs="游明朝"/>
        </w:rPr>
        <w:t xml:space="preserve"> Y</w:t>
      </w:r>
      <w:r w:rsidRPr="00383684">
        <w:rPr>
          <w:rFonts w:ascii="游明朝" w:eastAsia="游明朝" w:hAnsi="游明朝" w:cs="游明朝"/>
        </w:rPr>
        <w:t>, Tanabe</w:t>
      </w:r>
      <w:r>
        <w:rPr>
          <w:rFonts w:ascii="游明朝" w:eastAsia="游明朝" w:hAnsi="游明朝" w:cs="游明朝"/>
        </w:rPr>
        <w:t xml:space="preserve"> T</w:t>
      </w:r>
      <w:r w:rsidRPr="00383684">
        <w:rPr>
          <w:rFonts w:ascii="游明朝" w:eastAsia="游明朝" w:hAnsi="游明朝" w:cs="游明朝"/>
        </w:rPr>
        <w:t xml:space="preserve">, </w:t>
      </w:r>
      <w:proofErr w:type="spellStart"/>
      <w:r w:rsidRPr="00383684">
        <w:rPr>
          <w:rFonts w:ascii="游明朝" w:eastAsia="游明朝" w:hAnsi="游明朝" w:cs="游明朝"/>
        </w:rPr>
        <w:t>Aikou</w:t>
      </w:r>
      <w:proofErr w:type="spellEnd"/>
      <w:r>
        <w:rPr>
          <w:rFonts w:ascii="游明朝" w:eastAsia="游明朝" w:hAnsi="游明朝" w:cs="游明朝"/>
        </w:rPr>
        <w:t xml:space="preserve"> S, et al. </w:t>
      </w:r>
      <w:r w:rsidR="000814B7" w:rsidRPr="000814B7">
        <w:rPr>
          <w:rFonts w:ascii="游明朝" w:eastAsia="游明朝" w:hAnsi="游明朝" w:cs="游明朝"/>
        </w:rPr>
        <w:t>Study protocol of a single-arm phase 2 study evaluating the preventive effect of topical hydrocortisone for capecitabine-induced hand-foot syndrome in colorectal cancer patients receiving adjuvant chemotherapy with capecitabine plus oxaliplatin (T-CRACC study)</w:t>
      </w:r>
      <w:r w:rsidR="000814B7">
        <w:rPr>
          <w:rFonts w:ascii="游明朝" w:eastAsia="游明朝" w:hAnsi="游明朝" w:cs="游明朝"/>
        </w:rPr>
        <w:t xml:space="preserve">. </w:t>
      </w:r>
      <w:r w:rsidR="000814B7" w:rsidRPr="000814B7">
        <w:rPr>
          <w:rFonts w:ascii="游明朝" w:eastAsia="游明朝" w:hAnsi="游明朝" w:cs="游明朝"/>
        </w:rPr>
        <w:t xml:space="preserve">BMC Gastroenterol. </w:t>
      </w:r>
      <w:proofErr w:type="gramStart"/>
      <w:r w:rsidR="000814B7" w:rsidRPr="000814B7">
        <w:rPr>
          <w:rFonts w:ascii="游明朝" w:eastAsia="游明朝" w:hAnsi="游明朝" w:cs="游明朝"/>
        </w:rPr>
        <w:t>2022;22:341</w:t>
      </w:r>
      <w:proofErr w:type="gramEnd"/>
      <w:r w:rsidR="000814B7" w:rsidRPr="000814B7">
        <w:rPr>
          <w:rFonts w:ascii="游明朝" w:eastAsia="游明朝" w:hAnsi="游明朝" w:cs="游明朝"/>
        </w:rPr>
        <w:t>.</w:t>
      </w:r>
    </w:p>
    <w:sectPr w:rsidR="00383684" w:rsidRPr="000814B7" w:rsidSect="001A1285">
      <w:footerReference w:type="default" r:id="rId10"/>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46C6" w14:textId="77777777" w:rsidR="00EF6256" w:rsidRDefault="001A1285">
      <w:r>
        <w:separator/>
      </w:r>
    </w:p>
  </w:endnote>
  <w:endnote w:type="continuationSeparator" w:id="0">
    <w:p w14:paraId="49E72E62" w14:textId="77777777" w:rsidR="00EF6256" w:rsidRDefault="001A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804645"/>
      <w:docPartObj>
        <w:docPartGallery w:val="Page Numbers (Bottom of Page)"/>
        <w:docPartUnique/>
      </w:docPartObj>
    </w:sdtPr>
    <w:sdtEndPr>
      <w:rPr>
        <w:noProof/>
      </w:rPr>
    </w:sdtEndPr>
    <w:sdtContent>
      <w:p w14:paraId="4873E8EF" w14:textId="6CE20B98" w:rsidR="00EE5985" w:rsidRDefault="001A1285">
        <w:pPr>
          <w:pStyle w:val="af4"/>
          <w:jc w:val="center"/>
        </w:pPr>
        <w:r>
          <w:fldChar w:fldCharType="begin"/>
        </w:r>
        <w:r>
          <w:instrText xml:space="preserve"> PAGE   \* MERGEFORMAT </w:instrText>
        </w:r>
        <w:r>
          <w:fldChar w:fldCharType="separate"/>
        </w:r>
        <w:r>
          <w:rPr>
            <w:noProof/>
          </w:rPr>
          <w:t>2</w:t>
        </w:r>
        <w:r>
          <w:rPr>
            <w:noProof/>
          </w:rPr>
          <w:fldChar w:fldCharType="end"/>
        </w:r>
      </w:p>
    </w:sdtContent>
  </w:sdt>
  <w:p w14:paraId="433E1053" w14:textId="77777777" w:rsidR="00EE5985" w:rsidRDefault="00EE598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4B924" w14:textId="77777777" w:rsidR="00EF6256" w:rsidRDefault="001A1285">
      <w:r>
        <w:separator/>
      </w:r>
    </w:p>
  </w:footnote>
  <w:footnote w:type="continuationSeparator" w:id="0">
    <w:p w14:paraId="175D2D00" w14:textId="77777777" w:rsidR="00EF6256" w:rsidRDefault="001A1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970E"/>
    <w:multiLevelType w:val="hybridMultilevel"/>
    <w:tmpl w:val="00000000"/>
    <w:lvl w:ilvl="0" w:tplc="0F7ED0E2">
      <w:numFmt w:val="decimal"/>
      <w:lvlText w:val="-"/>
      <w:lvlJc w:val="left"/>
      <w:pPr>
        <w:ind w:left="360" w:hanging="360"/>
      </w:pPr>
      <w:rPr>
        <w:rFonts w:ascii="游明朝" w:eastAsia="游明朝" w:hAnsi="游明朝" w:cs="游明朝"/>
      </w:rPr>
    </w:lvl>
    <w:lvl w:ilvl="1" w:tplc="0AC21D58">
      <w:start w:val="1"/>
      <w:numFmt w:val="decimal"/>
      <w:lvlText w:val=""/>
      <w:lvlJc w:val="left"/>
    </w:lvl>
    <w:lvl w:ilvl="2" w:tplc="385A669A">
      <w:start w:val="1"/>
      <w:numFmt w:val="decimal"/>
      <w:lvlText w:val=""/>
      <w:lvlJc w:val="left"/>
    </w:lvl>
    <w:lvl w:ilvl="3" w:tplc="AB66EFFE">
      <w:start w:val="1"/>
      <w:numFmt w:val="decimal"/>
      <w:lvlText w:val=""/>
      <w:lvlJc w:val="left"/>
    </w:lvl>
    <w:lvl w:ilvl="4" w:tplc="797C052E">
      <w:start w:val="1"/>
      <w:numFmt w:val="decimal"/>
      <w:lvlText w:val=""/>
      <w:lvlJc w:val="left"/>
    </w:lvl>
    <w:lvl w:ilvl="5" w:tplc="24A065FE">
      <w:start w:val="1"/>
      <w:numFmt w:val="decimal"/>
      <w:lvlText w:val=""/>
      <w:lvlJc w:val="left"/>
    </w:lvl>
    <w:lvl w:ilvl="6" w:tplc="472E2B4A">
      <w:start w:val="1"/>
      <w:numFmt w:val="decimal"/>
      <w:lvlText w:val=""/>
      <w:lvlJc w:val="left"/>
    </w:lvl>
    <w:lvl w:ilvl="7" w:tplc="394A5FC4">
      <w:start w:val="1"/>
      <w:numFmt w:val="decimal"/>
      <w:lvlText w:val=""/>
      <w:lvlJc w:val="left"/>
    </w:lvl>
    <w:lvl w:ilvl="8" w:tplc="40EC31EA">
      <w:start w:val="1"/>
      <w:numFmt w:val="decimal"/>
      <w:lvlText w:val=""/>
      <w:lvlJc w:val="left"/>
    </w:lvl>
  </w:abstractNum>
  <w:abstractNum w:abstractNumId="1" w15:restartNumberingAfterBreak="0">
    <w:nsid w:val="28798D6F"/>
    <w:multiLevelType w:val="hybridMultilevel"/>
    <w:tmpl w:val="00000000"/>
    <w:lvl w:ilvl="0" w:tplc="4D8C79E2">
      <w:start w:val="1"/>
      <w:numFmt w:val="decimal"/>
      <w:lvlText w:val="%1."/>
      <w:lvlJc w:val="left"/>
      <w:pPr>
        <w:ind w:left="360" w:hanging="360"/>
      </w:pPr>
    </w:lvl>
    <w:lvl w:ilvl="1" w:tplc="595E0154">
      <w:start w:val="1"/>
      <w:numFmt w:val="decimal"/>
      <w:lvlText w:val=""/>
      <w:lvlJc w:val="left"/>
    </w:lvl>
    <w:lvl w:ilvl="2" w:tplc="5104679A">
      <w:start w:val="1"/>
      <w:numFmt w:val="decimal"/>
      <w:lvlText w:val=""/>
      <w:lvlJc w:val="left"/>
    </w:lvl>
    <w:lvl w:ilvl="3" w:tplc="EAC05182">
      <w:start w:val="1"/>
      <w:numFmt w:val="decimal"/>
      <w:lvlText w:val=""/>
      <w:lvlJc w:val="left"/>
    </w:lvl>
    <w:lvl w:ilvl="4" w:tplc="48A65C5E">
      <w:start w:val="1"/>
      <w:numFmt w:val="decimal"/>
      <w:lvlText w:val=""/>
      <w:lvlJc w:val="left"/>
    </w:lvl>
    <w:lvl w:ilvl="5" w:tplc="1602C8AE">
      <w:start w:val="1"/>
      <w:numFmt w:val="decimal"/>
      <w:lvlText w:val=""/>
      <w:lvlJc w:val="left"/>
    </w:lvl>
    <w:lvl w:ilvl="6" w:tplc="43E8A9AC">
      <w:start w:val="1"/>
      <w:numFmt w:val="decimal"/>
      <w:lvlText w:val=""/>
      <w:lvlJc w:val="left"/>
    </w:lvl>
    <w:lvl w:ilvl="7" w:tplc="A6F44AC6">
      <w:start w:val="1"/>
      <w:numFmt w:val="decimal"/>
      <w:lvlText w:val=""/>
      <w:lvlJc w:val="left"/>
    </w:lvl>
    <w:lvl w:ilvl="8" w:tplc="ED102E36">
      <w:start w:val="1"/>
      <w:numFmt w:val="decimal"/>
      <w:lvlText w:val=""/>
      <w:lvlJc w:val="left"/>
    </w:lvl>
  </w:abstractNum>
  <w:abstractNum w:abstractNumId="2" w15:restartNumberingAfterBreak="0">
    <w:nsid w:val="29957BA2"/>
    <w:multiLevelType w:val="multilevel"/>
    <w:tmpl w:val="9968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831661">
    <w:abstractNumId w:val="1"/>
  </w:num>
  <w:num w:numId="2" w16cid:durableId="1323237388">
    <w:abstractNumId w:val="0"/>
  </w:num>
  <w:num w:numId="3" w16cid:durableId="1621106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hideGrammaticalErrors/>
  <w:proofState w:spelling="clean" w:grammar="clean"/>
  <w:trackRevisions/>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AwMzM2MjMxtjQxsTRX0lEKTi0uzszPAykwqgUAP5IIHiwAAAA="/>
  </w:docVars>
  <w:rsids>
    <w:rsidRoot w:val="006B66D5"/>
    <w:rsid w:val="000814B7"/>
    <w:rsid w:val="001A1285"/>
    <w:rsid w:val="002230E4"/>
    <w:rsid w:val="002E3986"/>
    <w:rsid w:val="00332BE6"/>
    <w:rsid w:val="00383684"/>
    <w:rsid w:val="005341C8"/>
    <w:rsid w:val="006B66D5"/>
    <w:rsid w:val="006E30BA"/>
    <w:rsid w:val="008A57F7"/>
    <w:rsid w:val="008C3C0B"/>
    <w:rsid w:val="009D5DF6"/>
    <w:rsid w:val="00BA2B56"/>
    <w:rsid w:val="00BC5D82"/>
    <w:rsid w:val="00BC76F7"/>
    <w:rsid w:val="00BD4CC6"/>
    <w:rsid w:val="00C0145B"/>
    <w:rsid w:val="00D135E7"/>
    <w:rsid w:val="00D22F27"/>
    <w:rsid w:val="00DB2582"/>
    <w:rsid w:val="00DE782B"/>
    <w:rsid w:val="00EE5985"/>
    <w:rsid w:val="00EF6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FD03D8"/>
  <w15:docId w15:val="{A2A456F3-CBCA-40E0-A81F-AC5992D0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sz w:val="24"/>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paragraph" w:styleId="a4">
    <w:name w:val="List Paragraph"/>
    <w:basedOn w:val="a"/>
    <w:pPr>
      <w:ind w:left="840"/>
    </w:pPr>
  </w:style>
  <w:style w:type="character" w:styleId="a5">
    <w:name w:val="Hyperlink"/>
    <w:basedOn w:val="a0"/>
    <w:rPr>
      <w:color w:val="0563C1"/>
      <w:u w:val="single"/>
    </w:rPr>
  </w:style>
  <w:style w:type="character" w:styleId="a6">
    <w:name w:val="Unresolved Mention"/>
    <w:basedOn w:val="a0"/>
    <w:rPr>
      <w:color w:val="605E5C"/>
    </w:rPr>
  </w:style>
  <w:style w:type="paragraph" w:styleId="Web">
    <w:name w:val="Normal (Web)"/>
    <w:basedOn w:val="a"/>
    <w:uiPriority w:val="99"/>
    <w:qFormat/>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customStyle="1" w:styleId="FootnoteText1">
    <w:name w:val="Footnote Text1"/>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customStyle="1" w:styleId="EndnoteText1">
    <w:name w:val="Endnote Text1"/>
    <w:basedOn w:val="a"/>
    <w:rPr>
      <w:rFonts w:ascii="Calibri" w:eastAsia="Calibri" w:hAnsi="Calibri" w:cs="Calibri"/>
    </w:rPr>
  </w:style>
  <w:style w:type="paragraph" w:styleId="a7">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8">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9">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a">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b">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1">
    <w:name w:val="Comment Text1"/>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paragraph" w:customStyle="1" w:styleId="Caption1">
    <w:name w:val="Caption1"/>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paragraph" w:styleId="ac">
    <w:name w:val="annotation text"/>
    <w:basedOn w:val="a"/>
    <w:link w:val="ad"/>
    <w:uiPriority w:val="99"/>
    <w:rPr>
      <w:sz w:val="20"/>
      <w:szCs w:val="20"/>
    </w:rPr>
  </w:style>
  <w:style w:type="character" w:customStyle="1" w:styleId="ad">
    <w:name w:val="コメント文字列 (文字)"/>
    <w:basedOn w:val="a0"/>
    <w:link w:val="ac"/>
    <w:uiPriority w:val="99"/>
    <w:rPr>
      <w:sz w:val="20"/>
      <w:szCs w:val="20"/>
    </w:rPr>
  </w:style>
  <w:style w:type="character" w:styleId="ae">
    <w:name w:val="annotation reference"/>
    <w:basedOn w:val="a0"/>
    <w:rPr>
      <w:sz w:val="16"/>
      <w:szCs w:val="16"/>
    </w:rPr>
  </w:style>
  <w:style w:type="paragraph" w:styleId="af">
    <w:name w:val="Revision"/>
    <w:hidden/>
    <w:uiPriority w:val="99"/>
    <w:semiHidden/>
    <w:rsid w:val="002E3986"/>
  </w:style>
  <w:style w:type="paragraph" w:styleId="af0">
    <w:name w:val="annotation subject"/>
    <w:basedOn w:val="ac"/>
    <w:next w:val="ac"/>
    <w:link w:val="af1"/>
    <w:uiPriority w:val="99"/>
    <w:rsid w:val="002E3986"/>
    <w:rPr>
      <w:b/>
      <w:bCs/>
    </w:rPr>
  </w:style>
  <w:style w:type="character" w:customStyle="1" w:styleId="af1">
    <w:name w:val="コメント内容 (文字)"/>
    <w:basedOn w:val="ad"/>
    <w:link w:val="af0"/>
    <w:uiPriority w:val="99"/>
    <w:rsid w:val="002E3986"/>
    <w:rPr>
      <w:b/>
      <w:bCs/>
      <w:sz w:val="20"/>
      <w:szCs w:val="20"/>
    </w:rPr>
  </w:style>
  <w:style w:type="paragraph" w:styleId="af2">
    <w:name w:val="header"/>
    <w:basedOn w:val="a"/>
    <w:link w:val="af3"/>
    <w:uiPriority w:val="99"/>
    <w:rsid w:val="00EE5985"/>
    <w:pPr>
      <w:tabs>
        <w:tab w:val="center" w:pos="4680"/>
        <w:tab w:val="right" w:pos="9360"/>
      </w:tabs>
    </w:pPr>
  </w:style>
  <w:style w:type="character" w:customStyle="1" w:styleId="af3">
    <w:name w:val="ヘッダー (文字)"/>
    <w:basedOn w:val="a0"/>
    <w:link w:val="af2"/>
    <w:uiPriority w:val="99"/>
    <w:rsid w:val="00EE5985"/>
  </w:style>
  <w:style w:type="paragraph" w:styleId="af4">
    <w:name w:val="footer"/>
    <w:basedOn w:val="a"/>
    <w:link w:val="af5"/>
    <w:uiPriority w:val="99"/>
    <w:rsid w:val="00EE5985"/>
    <w:pPr>
      <w:tabs>
        <w:tab w:val="center" w:pos="4680"/>
        <w:tab w:val="right" w:pos="9360"/>
      </w:tabs>
    </w:pPr>
  </w:style>
  <w:style w:type="character" w:customStyle="1" w:styleId="af5">
    <w:name w:val="フッター (文字)"/>
    <w:basedOn w:val="a0"/>
    <w:link w:val="af4"/>
    <w:uiPriority w:val="99"/>
    <w:rsid w:val="00EE5985"/>
  </w:style>
  <w:style w:type="character" w:styleId="af6">
    <w:name w:val="line number"/>
    <w:basedOn w:val="a0"/>
    <w:uiPriority w:val="99"/>
    <w:rsid w:val="00EE5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cn.org/patients/guidelines/content/PDF/colon-patient.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2426</Words>
  <Characters>13834</Characters>
  <Application>Microsoft Office Word</Application>
  <DocSecurity>0</DocSecurity>
  <Lines>115</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飯村洋平</dc:creator>
  <cp:lastModifiedBy>飯村 洋平</cp:lastModifiedBy>
  <cp:revision>3</cp:revision>
  <dcterms:created xsi:type="dcterms:W3CDTF">2023-01-30T11:44:00Z</dcterms:created>
  <dcterms:modified xsi:type="dcterms:W3CDTF">2023-01-30T11:57:00Z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118</vt:lpwstr>
  </property>
  <property fmtid="{D5CDD505-2E9C-101B-9397-08002B2CF9AE}" pid="8" name="Merops client version">
    <vt:lpwstr>*</vt:lpwstr>
  </property>
  <property fmtid="{D5CDD505-2E9C-101B-9397-08002B2CF9AE}" pid="9" name="Merops comment count">
    <vt:lpwstr>0</vt:lpwstr>
  </property>
  <property fmtid="{D5CDD505-2E9C-101B-9397-08002B2CF9AE}" pid="10" name="Merops DOI links count">
    <vt:lpwstr>0</vt:lpwstr>
  </property>
  <property fmtid="{D5CDD505-2E9C-101B-9397-08002B2CF9AE}" pid="11" name="Merops email addresses count">
    <vt:lpwstr>0</vt:lpwstr>
  </property>
  <property fmtid="{D5CDD505-2E9C-101B-9397-08002B2CF9AE}" pid="12" name="Merops figures count">
    <vt:lpwstr>0</vt:lpwstr>
  </property>
  <property fmtid="{D5CDD505-2E9C-101B-9397-08002B2CF9AE}" pid="13" name="Merops footnotes/endnotes count">
    <vt:lpwstr>0</vt:lpwstr>
  </property>
  <property fmtid="{D5CDD505-2E9C-101B-9397-08002B2CF9AE}" pid="14" name="Merops graphics count">
    <vt:lpwstr>2</vt:lpwstr>
  </property>
  <property fmtid="{D5CDD505-2E9C-101B-9397-08002B2CF9AE}" pid="15" name="Merops input file path">
    <vt:lpwstr>*</vt:lpwstr>
  </property>
  <property fmtid="{D5CDD505-2E9C-101B-9397-08002B2CF9AE}" pid="16" name="Merops intra-document links count">
    <vt:lpwstr>0</vt:lpwstr>
  </property>
  <property fmtid="{D5CDD505-2E9C-101B-9397-08002B2CF9AE}" pid="17" name="Merops processed date">
    <vt:lpwstr>2023/01/22 04:55:13 AM</vt:lpwstr>
  </property>
  <property fmtid="{D5CDD505-2E9C-101B-9397-08002B2CF9AE}" pid="18" name="Merops PubMed links count">
    <vt:lpwstr>0</vt:lpwstr>
  </property>
  <property fmtid="{D5CDD505-2E9C-101B-9397-08002B2CF9AE}" pid="19" name="Merops references count">
    <vt:lpwstr>19</vt:lpwstr>
  </property>
  <property fmtid="{D5CDD505-2E9C-101B-9397-08002B2CF9AE}" pid="20" name="Merops Scopus links count">
    <vt:lpwstr>0</vt:lpwstr>
  </property>
  <property fmtid="{D5CDD505-2E9C-101B-9397-08002B2CF9AE}" pid="21" name="Merops server path">
    <vt:lpwstr>*</vt:lpwstr>
  </property>
  <property fmtid="{D5CDD505-2E9C-101B-9397-08002B2CF9AE}" pid="22" name="Merops Standard Set">
    <vt:lpwstr>*</vt:lpwstr>
  </property>
  <property fmtid="{D5CDD505-2E9C-101B-9397-08002B2CF9AE}" pid="23" name="Merops Standard Set modified">
    <vt:lpwstr>*</vt:lpwstr>
  </property>
  <property fmtid="{D5CDD505-2E9C-101B-9397-08002B2CF9AE}" pid="24" name="Merops tables count">
    <vt:lpwstr>5</vt:lpwstr>
  </property>
  <property fmtid="{D5CDD505-2E9C-101B-9397-08002B2CF9AE}" pid="25" name="Merops word count">
    <vt:lpwstr>2403</vt:lpwstr>
  </property>
  <property fmtid="{D5CDD505-2E9C-101B-9397-08002B2CF9AE}" pid="26" name="Merops WorldCat links count">
    <vt:lpwstr>0</vt:lpwstr>
  </property>
  <property fmtid="{D5CDD505-2E9C-101B-9397-08002B2CF9AE}" pid="27" name="ppub">
    <vt:lpwstr/>
  </property>
  <property fmtid="{D5CDD505-2E9C-101B-9397-08002B2CF9AE}" pid="28" name="Publisher">
    <vt:lpwstr/>
  </property>
  <property fmtid="{D5CDD505-2E9C-101B-9397-08002B2CF9AE}" pid="29" name="Publisher-location">
    <vt:lpwstr/>
  </property>
  <property fmtid="{D5CDD505-2E9C-101B-9397-08002B2CF9AE}" pid="30" name="ReceivedDate">
    <vt:lpwstr/>
  </property>
  <property fmtid="{D5CDD505-2E9C-101B-9397-08002B2CF9AE}" pid="31" name="Reference citation style">
    <vt:lpwstr>numerical</vt:lpwstr>
  </property>
  <property fmtid="{D5CDD505-2E9C-101B-9397-08002B2CF9AE}" pid="32" name="Source">
    <vt:lpwstr/>
  </property>
  <property fmtid="{D5CDD505-2E9C-101B-9397-08002B2CF9AE}" pid="33" name="Source-abbreviated">
    <vt:lpwstr/>
  </property>
  <property fmtid="{D5CDD505-2E9C-101B-9397-08002B2CF9AE}" pid="34" name="Source-short">
    <vt:lpwstr/>
  </property>
  <property fmtid="{D5CDD505-2E9C-101B-9397-08002B2CF9AE}" pid="35" name="Subject">
    <vt:lpwstr/>
  </property>
</Properties>
</file>