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cs="Times New Roman"/>
          <w:b/>
          <w:color w:val="000033"/>
          <w:sz w:val="28"/>
          <w:szCs w:val="24"/>
          <w:shd w:val="clear" w:color="auto" w:fill="FFFFFF"/>
        </w:rPr>
      </w:pPr>
      <w:r>
        <w:rPr>
          <w:rFonts w:hint="eastAsia" w:ascii="Times New Roman" w:hAnsi="Times New Roman" w:cs="Times New Roman"/>
          <w:b/>
          <w:color w:val="000033"/>
          <w:sz w:val="28"/>
          <w:szCs w:val="24"/>
          <w:shd w:val="clear" w:color="auto" w:fill="FFFFFF"/>
        </w:rPr>
        <w:t>S</w:t>
      </w:r>
      <w:r>
        <w:rPr>
          <w:rFonts w:ascii="Times New Roman" w:hAnsi="Times New Roman" w:cs="Times New Roman"/>
          <w:b/>
          <w:color w:val="000033"/>
          <w:sz w:val="28"/>
          <w:szCs w:val="24"/>
          <w:shd w:val="clear" w:color="auto" w:fill="FFFFFF"/>
        </w:rPr>
        <w:t xml:space="preserve">upplementary </w:t>
      </w:r>
      <w:r>
        <w:rPr>
          <w:rFonts w:hint="eastAsia" w:ascii="Times New Roman" w:hAnsi="Times New Roman" w:cs="Times New Roman"/>
          <w:b/>
          <w:color w:val="000033"/>
          <w:sz w:val="28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b/>
          <w:color w:val="000033"/>
          <w:sz w:val="28"/>
          <w:szCs w:val="24"/>
          <w:shd w:val="clear" w:color="auto" w:fill="FFFFFF"/>
        </w:rPr>
        <w:t>aterial</w:t>
      </w:r>
    </w:p>
    <w:p>
      <w:pPr>
        <w:jc w:val="left"/>
        <w:rPr>
          <w:rFonts w:ascii="Times New Roman" w:hAnsi="Times New Roman" w:cs="Times New Roman"/>
          <w:b/>
          <w:color w:val="000033"/>
          <w:sz w:val="28"/>
          <w:szCs w:val="24"/>
          <w:shd w:val="clear" w:color="auto" w:fill="FFFFFF"/>
        </w:rPr>
      </w:pP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2"/>
      <w:r>
        <w:rPr>
          <w:b/>
        </w:rPr>
        <w:t xml:space="preserve">Appendix </w:t>
      </w:r>
      <w:r>
        <w:rPr>
          <w:rFonts w:hint="eastAsia"/>
          <w:b/>
          <w:lang w:val="en-US" w:eastAsia="zh-CN"/>
        </w:rPr>
        <w:t>A</w:t>
      </w:r>
      <w:r>
        <w:rPr>
          <w:rFonts w:hint="eastAsia"/>
          <w:b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Definition of indexes for image quality evaluation</w:t>
      </w:r>
    </w:p>
    <w:bookmarkEnd w:id="0"/>
    <w:p>
      <w:pPr>
        <w:pStyle w:val="5"/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These indexes 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include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well-known quality metrics that measure the similarity between two images. Higher values of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PSNR and SSIM imply 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good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consistenc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y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between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images. Conversely, values closer to zero are better for MAE and RMSE</w:t>
      </w:r>
      <w:r>
        <w:rPr>
          <w:rFonts w:hint="eastAsia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</w:p>
    <w:p>
      <w:pPr>
        <w:adjustRightInd w:val="0"/>
        <w:snapToGrid w:val="0"/>
        <w:spacing w:line="480" w:lineRule="auto"/>
        <w:ind w:left="420" w:leftChars="200" w:firstLine="880" w:firstLineChars="400"/>
        <w:rPr>
          <w:rFonts w:ascii="Times New Roman" w:hAnsi="Times New Roman" w:cs="Times New Roman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m:oMath>
        <m:r>
          <m:rPr/>
          <w:rPr>
            <w:rFonts w:ascii="Cambria Math" w:hAnsi="Cambria Math" w:eastAsia="宋体" w:cs="Times New Roman"/>
            <w:color w:val="000000" w:themeColor="text1"/>
            <w:kern w:val="0"/>
            <w:sz w:val="22"/>
            <w14:textFill>
              <w14:solidFill>
                <w14:schemeClr w14:val="tx1"/>
              </w14:solidFill>
            </w14:textFill>
          </w:rPr>
          <m:t xml:space="preserve">     PSNR=10·</m:t>
        </m:r>
        <m:sSub>
          <m:sSubPr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log</m:t>
            </m:r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10</m:t>
            </m:r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ub>
        </m:sSub>
        <m:r>
          <m:rPr/>
          <w:rPr>
            <w:rFonts w:ascii="Cambria Math" w:hAnsi="Cambria Math" w:eastAsia="宋体" w:cs="Times New Roman"/>
            <w:color w:val="000000" w:themeColor="text1"/>
            <w:kern w:val="0"/>
            <w:sz w:val="22"/>
            <w14:textFill>
              <w14:solidFill>
                <w14:schemeClr w14:val="tx1"/>
              </w14:solidFill>
            </w14:textFill>
          </w:rPr>
          <m:t xml:space="preserve"> (</m:t>
        </m:r>
        <m:f>
          <m:fPr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fPr>
          <m:num>
            <m:sSup>
              <m:sSupP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pPr>
              <m:e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eastAsia="宋体" w:cs="Times New Roman"/>
                        <w:i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MAX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I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p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p>
            </m:sSup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num>
          <m:den>
            <m:f>
              <m:fP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fPr>
              <m:num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1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num>
              <m:den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N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den>
            </m:f>
            <m:nary>
              <m:naryPr>
                <m:chr m:val="∑"/>
                <m:limLoc m:val="subSup"/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naryPr>
              <m:sub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i=1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  <m:sup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N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p>
              <m:e>
                <m:sSup>
                  <m:sSupPr>
                    <m:ctrlPr>
                      <w:rPr>
                        <w:rFonts w:ascii="Cambria Math" w:hAnsi="Cambria Math" w:eastAsia="宋体" w:cs="Times New Roman"/>
                        <w:i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pPr>
                  <m:e>
                    <m:r>
                      <m:rPr/>
                      <w:rPr>
                        <w:rFonts w:ascii="Cambria Math" w:hAnsi="Cambria Math" w:eastAsia="宋体" w:cs="Times New Roman"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eastAsia="宋体" w:cs="Times New Roman"/>
                            <w:i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Cambria Math" w:eastAsia="宋体" w:cs="Times New Roman"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Y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eastAsia="宋体" w:cs="Times New Roman"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i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ub>
                    </m:sSub>
                    <m:r>
                      <m:rPr/>
                      <w:rPr>
                        <w:rFonts w:ascii="Cambria Math" w:hAnsi="Cambria Math" w:eastAsia="宋体" w:cs="Times New Roman"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−</m:t>
                    </m:r>
                    <m:sSub>
                      <m:sSubPr>
                        <m:ctrlPr>
                          <w:rPr>
                            <w:rFonts w:ascii="Cambria Math" w:hAnsi="Cambria Math" w:eastAsia="宋体" w:cs="Times New Roman"/>
                            <w:i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SubPr>
                      <m:e>
                        <m:r>
                          <m:rPr/>
                          <w:rPr>
                            <w:rFonts w:ascii="Cambria Math" w:hAnsi="Cambria Math" w:eastAsia="宋体" w:cs="Times New Roman"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X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e>
                      <m:sub>
                        <m:r>
                          <m:rPr/>
                          <w:rPr>
                            <w:rFonts w:ascii="Cambria Math" w:hAnsi="Cambria Math" w:eastAsia="宋体" w:cs="Times New Roman"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i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ub>
                    </m:sSub>
                    <m:r>
                      <m:rPr/>
                      <w:rPr>
                        <w:rFonts w:ascii="Cambria Math" w:hAnsi="Cambria Math" w:eastAsia="宋体" w:cs="Times New Roman"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)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p>
                    <m:r>
                      <m:rPr/>
                      <w:rPr>
                        <w:rFonts w:ascii="Cambria Math" w:hAnsi="Cambria Math" w:eastAsia="宋体" w:cs="Times New Roman"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2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</m:sSup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</m:nary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den>
        </m:f>
        <m:r>
          <m:rPr/>
          <w:rPr>
            <w:rFonts w:ascii="Cambria Math" w:hAnsi="Cambria Math" w:eastAsia="宋体" w:cs="Times New Roman"/>
            <w:color w:val="000000" w:themeColor="text1"/>
            <w:kern w:val="0"/>
            <w:sz w:val="22"/>
            <w14:textFill>
              <w14:solidFill>
                <w14:schemeClr w14:val="tx1"/>
              </w14:solidFill>
            </w14:textFill>
          </w:rPr>
          <m:t>)</m:t>
        </m:r>
      </m:oMath>
      <w:r>
        <w:rPr>
          <w:rFonts w:ascii="Times New Roman" w:hAnsi="Times New Roman" w:eastAsia="宋体" w:cs="Times New Roman"/>
          <w:i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                  (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1)</w:t>
      </w:r>
    </w:p>
    <w:p>
      <w:pPr>
        <w:adjustRightInd w:val="0"/>
        <w:snapToGrid w:val="0"/>
        <w:spacing w:line="480" w:lineRule="auto"/>
        <w:jc w:val="center"/>
        <w:rPr>
          <w:rFonts w:ascii="Times New Roman" w:hAnsi="Times New Roman" w:eastAsia="宋体" w:cs="Times New Roman"/>
          <w:i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</w:pPr>
      <m:oMath>
        <m:r>
          <m:rPr/>
          <w:rPr>
            <w:rFonts w:ascii="Cambria Math" w:hAnsi="Cambria Math" w:eastAsia="宋体" w:cs="Times New Roman"/>
            <w:color w:val="000000" w:themeColor="text1"/>
            <w:kern w:val="0"/>
            <w:sz w:val="22"/>
            <w14:textFill>
              <w14:solidFill>
                <w14:schemeClr w14:val="tx1"/>
              </w14:solidFill>
            </w14:textFill>
          </w:rPr>
          <m:t xml:space="preserve">               MAE =</m:t>
        </m:r>
        <m:f>
          <m:fPr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fPr>
          <m:num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1</m:t>
            </m:r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num>
          <m:den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N</m:t>
            </m:r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den>
        </m:f>
        <m:nary>
          <m:naryPr>
            <m:chr m:val="∑"/>
            <m:limLoc m:val="undOvr"/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naryPr>
          <m:sub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i=1</m:t>
            </m:r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ub>
          <m:sup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N</m:t>
            </m:r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up>
          <m:e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|</m:t>
            </m:r>
            <m:sSub>
              <m:sSubP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Y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i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−</m:t>
            </m:r>
            <m:sSub>
              <m:sSubP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X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i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e>
        </m:nary>
        <m:r>
          <m:rPr/>
          <w:rPr>
            <w:rFonts w:ascii="Cambria Math" w:hAnsi="Cambria Math" w:eastAsia="宋体" w:cs="Times New Roman"/>
            <w:color w:val="000000" w:themeColor="text1"/>
            <w:kern w:val="0"/>
            <w:sz w:val="22"/>
            <w14:textFill>
              <w14:solidFill>
                <w14:schemeClr w14:val="tx1"/>
              </w14:solidFill>
            </w14:textFill>
          </w:rPr>
          <m:t>|</m:t>
        </m:r>
      </m:oMath>
      <w:r>
        <w:rPr>
          <w:rFonts w:ascii="Times New Roman" w:hAnsi="Times New Roman" w:eastAsia="宋体" w:cs="Times New Roman"/>
          <w:i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                          </w:t>
      </w:r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2)</w:t>
      </w:r>
    </w:p>
    <w:p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</w:pPr>
      <m:oMath>
        <m:r>
          <m:rPr/>
          <w:rPr>
            <w:rFonts w:ascii="Cambria Math" w:hAnsi="Cambria Math" w:eastAsia="宋体" w:cs="Times New Roman"/>
            <w:color w:val="000000" w:themeColor="text1"/>
            <w:kern w:val="0"/>
            <w:sz w:val="22"/>
            <w14:textFill>
              <w14:solidFill>
                <w14:schemeClr w14:val="tx1"/>
              </w14:solidFill>
            </w14:textFill>
          </w:rPr>
          <m:t xml:space="preserve">             RMSE= </m:t>
        </m:r>
        <m:rad>
          <m:radPr>
            <m:degHide m:val="1"/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radPr>
          <m:deg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deg>
          <m:e>
            <m:f>
              <m:fP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eastAsia="宋体" w:cs="Times New Roman"/>
                        <w:i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naryPr>
                  <m:sub>
                    <m:r>
                      <m:rPr/>
                      <w:rPr>
                        <w:rFonts w:ascii="Cambria Math" w:hAnsi="Cambria Math" w:eastAsia="宋体" w:cs="Times New Roman"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i=1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  <m:sup>
                    <m:r>
                      <m:rPr/>
                      <w:rPr>
                        <w:rFonts w:ascii="Cambria Math" w:hAnsi="Cambria Math" w:eastAsia="宋体" w:cs="Times New Roman"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N</m:t>
                    </m:r>
                    <m:ctrlPr>
                      <w:rPr>
                        <w:rFonts w:ascii="Cambria Math" w:hAnsi="Cambria Math" w:eastAsia="宋体" w:cs="Times New Roman"/>
                        <w:i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  <m:e>
                    <m:sSup>
                      <m:sSupPr>
                        <m:ctrlPr>
                          <w:rPr>
                            <w:rFonts w:ascii="Cambria Math" w:hAnsi="Cambria Math" w:eastAsia="宋体" w:cs="Times New Roman"/>
                            <w:i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SupPr>
                      <m:e>
                        <m:r>
                          <m:rPr/>
                          <w:rPr>
                            <w:rFonts w:ascii="Cambria Math" w:hAnsi="Cambria Math" w:eastAsia="宋体" w:cs="Times New Roman"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color w:val="000000" w:themeColor="text1"/>
                                <w:kern w:val="0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color w:val="000000" w:themeColor="text1"/>
                                <w:kern w:val="0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Y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color w:val="000000" w:themeColor="text1"/>
                                <w:kern w:val="0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color w:val="000000" w:themeColor="text1"/>
                                <w:kern w:val="0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i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color w:val="000000" w:themeColor="text1"/>
                                <w:kern w:val="0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sub>
                        </m:sSub>
                        <m:r>
                          <m:rPr/>
                          <w:rPr>
                            <w:rFonts w:ascii="Cambria Math" w:hAnsi="Cambria Math" w:eastAsia="宋体" w:cs="Times New Roman"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−</m:t>
                        </m:r>
                        <m:sSub>
                          <m:sSubP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color w:val="000000" w:themeColor="text1"/>
                                <w:kern w:val="0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color w:val="000000" w:themeColor="text1"/>
                                <w:kern w:val="0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X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color w:val="000000" w:themeColor="text1"/>
                                <w:kern w:val="0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 w:eastAsia="宋体" w:cs="Times New Roman"/>
                                <w:color w:val="000000" w:themeColor="text1"/>
                                <w:kern w:val="0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i</m:t>
                            </m:r>
                            <m:ctrlPr>
                              <w:rPr>
                                <w:rFonts w:ascii="Cambria Math" w:hAnsi="Cambria Math" w:eastAsia="宋体" w:cs="Times New Roman"/>
                                <w:i/>
                                <w:color w:val="000000" w:themeColor="text1"/>
                                <w:kern w:val="0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sub>
                        </m:sSub>
                        <m:r>
                          <m:rPr/>
                          <w:rPr>
                            <w:rFonts w:ascii="Cambria Math" w:hAnsi="Cambria Math" w:eastAsia="宋体" w:cs="Times New Roman"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)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e>
                      <m:sup>
                        <m:r>
                          <m:rPr/>
                          <w:rPr>
                            <w:rFonts w:ascii="Cambria Math" w:hAnsi="Cambria Math" w:eastAsia="宋体" w:cs="Times New Roman"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m:t>2</m:t>
                        </m:r>
                        <m:ctrlPr>
                          <w:rPr>
                            <w:rFonts w:ascii="Cambria Math" w:hAnsi="Cambria Math" w:eastAsia="宋体" w:cs="Times New Roman"/>
                            <w:i/>
                            <w:color w:val="000000" w:themeColor="text1"/>
                            <w:kern w:val="0"/>
                            <w:sz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sup>
                    </m:sSup>
                    <m:ctrlPr>
                      <w:rPr>
                        <w:rFonts w:ascii="Cambria Math" w:hAnsi="Cambria Math" w:eastAsia="宋体" w:cs="Times New Roman"/>
                        <w:i/>
                        <w:color w:val="000000" w:themeColor="text1"/>
                        <w:kern w:val="0"/>
                        <w:sz w:val="22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</m:nary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num>
              <m:den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N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den>
            </m:f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e>
        </m:rad>
      </m:oMath>
      <w:r>
        <w:rPr>
          <w:rFonts w:ascii="Times New Roman" w:hAnsi="Times New Roman" w:eastAsia="宋体" w:cs="Times New Roman"/>
          <w:i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                      </w:t>
      </w:r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     (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3)</w:t>
      </w:r>
    </w:p>
    <w:p>
      <w:pPr>
        <w:autoSpaceDE w:val="0"/>
        <w:autoSpaceDN w:val="0"/>
        <w:adjustRightInd w:val="0"/>
        <w:snapToGrid w:val="0"/>
        <w:spacing w:line="480" w:lineRule="auto"/>
        <w:jc w:val="center"/>
        <w:rPr>
          <w:rFonts w:ascii="Times New Roman" w:hAnsi="Times New Roman" w:eastAsia="宋体" w:cs="Times New Roman"/>
          <w:i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</w:pPr>
      <m:oMath>
        <m:r>
          <m:rPr/>
          <w:rPr>
            <w:rFonts w:ascii="Cambria Math" w:hAnsi="Cambria Math" w:eastAsia="宋体" w:cs="Times New Roman"/>
            <w:color w:val="000000" w:themeColor="text1"/>
            <w:kern w:val="0"/>
            <w:sz w:val="22"/>
            <w14:textFill>
              <w14:solidFill>
                <w14:schemeClr w14:val="tx1"/>
              </w14:solidFill>
            </w14:textFill>
          </w:rPr>
          <m:t xml:space="preserve">         SSIM =</m:t>
        </m:r>
        <m:f>
          <m:fPr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fPr>
          <m:num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 xml:space="preserve"> (2</m:t>
            </m:r>
            <m:sSub>
              <m:sSubP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m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X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sSub>
              <m:sSubP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m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Y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+0.01L) (2</m:t>
            </m:r>
            <m:sSub>
              <m:sSubP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s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XY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+0.03L)</m:t>
            </m:r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num>
          <m:den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 xml:space="preserve"> (</m:t>
            </m:r>
            <m:sSubSup>
              <m:sSubSupP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SupPr>
              <m:e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m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X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  <m:sup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p>
            </m:sSubSup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+</m:t>
            </m:r>
            <m:sSubSup>
              <m:sSubSupP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SupPr>
              <m:e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m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Y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  <m:sup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p>
            </m:sSubSup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+0.01L) (</m:t>
            </m:r>
            <m:sSubSup>
              <m:sSubSupP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SupPr>
              <m:e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s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X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  <m:sup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p>
            </m:sSubSup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+</m:t>
            </m:r>
            <m:sSubSup>
              <m:sSubSupP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SupPr>
              <m:e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s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Y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  <m:sup>
                <m:r>
                  <m:rPr/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2</m:t>
                </m:r>
                <m:ctrlPr>
                  <w:rPr>
                    <w:rFonts w:ascii="Cambria Math" w:hAnsi="Cambria Math" w:eastAsia="宋体" w:cs="Times New Roman"/>
                    <w:i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p>
            </m:sSubSup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+0.03L)</m:t>
            </m:r>
            <m:ctrlPr>
              <w:rPr>
                <w:rFonts w:ascii="Cambria Math" w:hAnsi="Cambria Math" w:eastAsia="宋体" w:cs="Times New Roman"/>
                <w:i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den>
        </m:f>
      </m:oMath>
      <w:r>
        <w:rPr>
          <w:rFonts w:ascii="Times New Roman" w:hAnsi="Times New Roman" w:eastAsia="宋体" w:cs="Times New Roman"/>
          <w:i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Times New Roman" w:hAnsi="Times New Roman" w:eastAsia="宋体" w:cs="Times New Roman"/>
          <w:i/>
          <w:color w:val="000000" w:themeColor="text1"/>
          <w:kern w:val="0"/>
          <w:sz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4)</w:t>
      </w:r>
    </w:p>
    <w:p>
      <w:pPr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where </w:t>
      </w:r>
      <w:r>
        <w:rPr>
          <w:rFonts w:ascii="Times New Roman" w:hAnsi="Times New Roman"/>
          <w:i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N</w:t>
      </w:r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denotes the total number of voxels shared in common between the source </w:t>
      </w:r>
      <w:r>
        <w:rPr>
          <w:rFonts w:ascii="Times New Roman" w:hAnsi="Times New Roman"/>
          <w:i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X</w:t>
      </w:r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and the target </w:t>
      </w:r>
      <w:r>
        <w:rPr>
          <w:rFonts w:ascii="Times New Roman" w:hAnsi="Times New Roman"/>
          <w:i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Y</w:t>
      </w:r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. </w:t>
      </w:r>
      <m:oMath>
        <m:sSub>
          <m:sSubP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X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i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ub>
        </m:sSub>
      </m:oMath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and </w:t>
      </w:r>
      <m:oMath>
        <m:sSub>
          <m:sSubP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Y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i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ub>
        </m:sSub>
      </m:oMath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represent the intensity values of the </w:t>
      </w:r>
      <m:oMath>
        <m:r>
          <m:rPr/>
          <w:rPr>
            <w:rFonts w:ascii="Cambria Math" w:hAnsi="Cambria Math" w:eastAsia="宋体" w:cs="Times New Roman"/>
            <w:color w:val="000000" w:themeColor="text1"/>
            <w:kern w:val="0"/>
            <w:sz w:val="22"/>
            <w14:textFill>
              <w14:solidFill>
                <w14:schemeClr w14:val="tx1"/>
              </w14:solidFill>
            </w14:textFill>
          </w:rPr>
          <m:t>i</m:t>
        </m:r>
      </m:oMath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th voxel of the respective source. Additionally, </w:t>
      </w:r>
      <m:oMath>
        <m:sSub>
          <m:sSubP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m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x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ub>
        </m:sSub>
      </m:oMath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and </w:t>
      </w:r>
      <m:oMath>
        <m:sSub>
          <m:sSubP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s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X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ub>
        </m:sSub>
      </m:oMath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are the mean and variance of source X, </w:t>
      </w:r>
      <m:oMath>
        <m:sSub>
          <m:sSubP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m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>
                <m:sty m:val="p"/>
              </m:r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Y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ub>
        </m:sSub>
      </m:oMath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and </w:t>
      </w:r>
      <m:oMath>
        <m:sSub>
          <m:sSubP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s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/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Y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ub>
        </m:sSub>
      </m:oMath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are the mirror case for another source Y, and </w:t>
      </w:r>
      <m:oMath>
        <m:sSub>
          <m:sSubP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SubPr>
          <m:e>
            <m:r>
              <m:rPr/>
              <w:rPr>
                <w:rFonts w:hint="eastAsia"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s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e>
          <m:sub>
            <m:r>
              <m:rPr/>
              <w:rPr>
                <w:rFonts w:hint="eastAsia"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xy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ub>
        </m:sSub>
      </m:oMath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is the covariance of x and y. Additionally, </w:t>
      </w:r>
      <w:r>
        <w:rPr>
          <w:rFonts w:ascii="Cambria Math" w:hAnsi="Cambria Math" w:eastAsia="宋体" w:cs="Cambria Math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>𝐿</w:t>
      </w:r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is the dynamic range of the volumes.</w:t>
      </w:r>
      <m:oMath>
        <m:r>
          <m:rPr>
            <m:sty m:val="p"/>
          </m:rPr>
          <w:rPr>
            <w:rFonts w:ascii="Cambria Math" w:hAnsi="Cambria Math" w:eastAsia="宋体" w:cs="Times New Roman"/>
            <w:color w:val="000000" w:themeColor="text1"/>
            <w:kern w:val="0"/>
            <w:sz w:val="22"/>
            <w14:textFill>
              <w14:solidFill>
                <w14:schemeClr w14:val="tx1"/>
              </w14:solidFill>
            </w14:textFill>
          </w:rPr>
          <m:t xml:space="preserve"> </m:t>
        </m:r>
        <m:sSup>
          <m:sSupP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 xml:space="preserve"> </m:t>
            </m:r>
            <m:sSub>
              <m:sSubPr>
                <m:ctrlPr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MAX</m:t>
                </m:r>
                <m:ctrlPr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e>
              <m:sub>
                <m:r>
                  <m:rPr>
                    <m:sty m:val="p"/>
                  </m:rPr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  <m:t>I</m:t>
                </m:r>
                <m:ctrlPr>
                  <w:rPr>
                    <w:rFonts w:ascii="Cambria Math" w:hAnsi="Cambria Math" w:eastAsia="宋体" w:cs="Times New Roman"/>
                    <w:color w:val="000000" w:themeColor="text1"/>
                    <w:kern w:val="0"/>
                    <w:sz w:val="22"/>
                    <w14:textFill>
                      <w14:solidFill>
                        <w14:schemeClr w14:val="tx1"/>
                      </w14:solidFill>
                    </w14:textFill>
                  </w:rPr>
                </m:ctrlPr>
              </m:sub>
            </m:sSub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e>
          <m:sup>
            <m:r>
              <m:rPr>
                <m:sty m:val="p"/>
              </m:r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m:t>2</m:t>
            </m:r>
            <m:ctrlPr>
              <w:rPr>
                <w:rFonts w:ascii="Cambria Math" w:hAnsi="Cambria Math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m:ctrlPr>
          </m:sup>
        </m:sSup>
      </m:oMath>
      <w:r>
        <w:rPr>
          <w:rFonts w:ascii="Times New Roman" w:hAnsi="Times New Roman" w:eastAsia="宋体" w:cs="Times New Roman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t xml:space="preserve"> represents the possible maximum pixel value of an image.</w:t>
      </w:r>
    </w:p>
    <w:p>
      <w:pPr>
        <w:pStyle w:val="5"/>
        <w:snapToGrid w:val="0"/>
        <w:spacing w:line="480" w:lineRule="auto"/>
        <w:jc w:val="both"/>
        <w:rPr>
          <w:rFonts w:hint="eastAsia"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ascii="Times New Roman" w:hAnsi="Times New Roman" w:cs="Times New Roman" w:eastAsiaTheme="minorEastAsia"/>
          <w:b/>
          <w:color w:val="000000" w:themeColor="text1"/>
          <w:kern w:val="2"/>
          <w:sz w:val="20"/>
          <w:szCs w:val="22"/>
          <w14:textFill>
            <w14:solidFill>
              <w14:schemeClr w14:val="tx1"/>
            </w14:solidFill>
          </w14:textFill>
        </w:rPr>
        <w:t>Supplementary Table A</w:t>
      </w:r>
      <w:r>
        <w:rPr>
          <w:rFonts w:ascii="Times New Roman" w:hAnsi="Times New Roman" w:cs="Times New Roman" w:eastAsiaTheme="minorEastAsia"/>
          <w:color w:val="000000" w:themeColor="text1"/>
          <w:kern w:val="2"/>
          <w:sz w:val="20"/>
          <w:szCs w:val="22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0"/>
          <w:szCs w:val="22"/>
          <w:lang w:val="en-US" w:eastAsia="zh-CN"/>
          <w14:textFill>
            <w14:solidFill>
              <w14:schemeClr w14:val="tx1"/>
            </w14:solidFill>
          </w14:textFill>
        </w:rPr>
        <w:t>M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0"/>
          <w:szCs w:val="22"/>
          <w14:textFill>
            <w14:solidFill>
              <w14:schemeClr w14:val="tx1"/>
            </w14:solidFill>
          </w14:textFill>
        </w:rPr>
        <w:t>ean CCCs of each region of interest</w:t>
      </w:r>
    </w:p>
    <w:tbl>
      <w:tblPr>
        <w:tblStyle w:val="6"/>
        <w:tblpPr w:leftFromText="180" w:rightFromText="180" w:vertAnchor="text" w:tblpXSpec="center" w:tblpY="1"/>
        <w:tblOverlap w:val="never"/>
        <w:tblW w:w="900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1427"/>
        <w:gridCol w:w="1053"/>
        <w:gridCol w:w="1000"/>
        <w:gridCol w:w="1530"/>
        <w:gridCol w:w="1037"/>
        <w:gridCol w:w="112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2" w:name="_GoBack"/>
          </w:p>
        </w:tc>
        <w:tc>
          <w:tcPr>
            <w:tcW w:w="3480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Unet</w:t>
            </w:r>
          </w:p>
        </w:tc>
        <w:tc>
          <w:tcPr>
            <w:tcW w:w="3690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CycleGAN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first-order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texture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wavelet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first-order</w:t>
            </w:r>
          </w:p>
        </w:tc>
        <w:tc>
          <w:tcPr>
            <w:tcW w:w="1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texture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wavelet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Brain Stem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0.56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</w:t>
            </w:r>
          </w:p>
        </w:tc>
        <w:tc>
          <w:tcPr>
            <w:tcW w:w="1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Parotid L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0.35</w:t>
            </w:r>
          </w:p>
        </w:tc>
        <w:tc>
          <w:tcPr>
            <w:tcW w:w="1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0.32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Parotid R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0.47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</w:t>
            </w:r>
          </w:p>
        </w:tc>
        <w:tc>
          <w:tcPr>
            <w:tcW w:w="1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0.18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Temporal Lobe L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0.41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0.12</w:t>
            </w:r>
          </w:p>
        </w:tc>
        <w:tc>
          <w:tcPr>
            <w:tcW w:w="1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8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Temporal Lobe R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0.22</w:t>
            </w:r>
          </w:p>
        </w:tc>
        <w:tc>
          <w:tcPr>
            <w:tcW w:w="105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0.24</w:t>
            </w:r>
          </w:p>
        </w:tc>
        <w:tc>
          <w:tcPr>
            <w:tcW w:w="10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0.29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</w:t>
            </w:r>
          </w:p>
        </w:tc>
        <w:tc>
          <w:tcPr>
            <w:tcW w:w="10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0.05</w:t>
            </w:r>
          </w:p>
        </w:tc>
        <w:tc>
          <w:tcPr>
            <w:tcW w:w="112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</w:t>
            </w:r>
          </w:p>
        </w:tc>
      </w:tr>
      <w:bookmarkEnd w:id="2"/>
    </w:tbl>
    <w:p>
      <w:pPr>
        <w:adjustRightInd w:val="0"/>
        <w:snapToGrid w:val="0"/>
        <w:spacing w:line="480" w:lineRule="auto"/>
        <w:jc w:val="both"/>
        <w:rPr>
          <w:rFonts w:hint="eastAsia" w:ascii="Times New Roman" w:hAnsi="Times New Roman" w:eastAsia="宋体" w:cs="Times New Roman"/>
          <w:color w:val="000000" w:themeColor="text1"/>
          <w:kern w:val="0"/>
          <w:sz w:val="20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480" w:lineRule="auto"/>
        <w:jc w:val="both"/>
        <w:rPr>
          <w:rFonts w:hint="eastAsia" w:ascii="Times New Roman" w:hAnsi="Times New Roman" w:eastAsia="宋体" w:cs="Times New Roman"/>
          <w:color w:val="000000" w:themeColor="text1"/>
          <w:kern w:val="0"/>
          <w:sz w:val="20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leftFromText="180" w:rightFromText="180" w:vertAnchor="text" w:horzAnchor="page" w:tblpX="702" w:tblpY="1234"/>
        <w:tblOverlap w:val="never"/>
        <w:tblW w:w="1069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2681"/>
        <w:gridCol w:w="574"/>
        <w:gridCol w:w="893"/>
        <w:gridCol w:w="787"/>
        <w:gridCol w:w="786"/>
        <w:gridCol w:w="774"/>
        <w:gridCol w:w="800"/>
        <w:gridCol w:w="826"/>
        <w:gridCol w:w="814"/>
        <w:gridCol w:w="78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bookmarkStart w:id="1" w:name="OLE_LINK1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Excellent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w-*LLH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w-LHL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w-LHH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w-HLL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w-HLH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w-HHL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w-HHH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w-LLL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irst-</w:t>
            </w:r>
          </w:p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order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Energy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G*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Minimum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BS*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GLCM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Autocorrelation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ClusterProminence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ClusterShade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JointAverage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SumAverage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GLRLM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GrayLevelNonUniformity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G/PR*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G/BS/PL*/PR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PL/PR/TL/TR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G/BSPL/PR/TL*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G/BS/PL/PR/TL/TR*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G/BS/PL/PR/TL/TR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G/BS/PL/PR/TL/TR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HighGrayLevelRunEmphasis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LongRunLowGrayLevelEmphasis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LowGrayLevelRunEmphasis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RunLengthNonUniformity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G/PR/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GPR/TL/TR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G/BS/TL/TR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G/BS/PL/PR/TL/TR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ShortRunHighGrayLevelEmphasis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ShortRunLowGrayLevelEmphasis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GLSZM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GrayLevelNonUniformity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GrayLevelNonUniformityNormalized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HighGrayLevelZoneEmphasis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LargeAreaEmphasis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LargeAreaLowGrayLevelEmphasis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LowGrayLevelZoneEmphasis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SizeZoneNonUniformity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SmallAreaHighGrayLevelEmphasis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SmallAreaLowGrayLevelEmphasis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ZoneVariance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GLDM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DependenceEntropy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DependenceNonUniformity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PL/PR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G/PR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G/PL/PR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G/PR/TR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G/BS/PR/TL/TR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G/BS/PR/TL/TR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GrayLevelNonUniformity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G/BS/PL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BS/PL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BS/PL/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PR/TL/TR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G/BS/PR/TL/TR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G/BS/PL/PR/TL/TR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G/BS/PL/PR/TL/TR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HighGrayLevelEmphasis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LargeDependenceHighGrayLevelEmphasis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LargeDependenceLowGrayLevelEmphasis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LowGrayLevelEmphasis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NHTDM</w:t>
            </w: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Busyness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BS/PR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Coarseness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G/PR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G/PR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G/PR/PL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G/BS/PL/PR/TL/TR</w:t>
            </w: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G/BS/PL/PR/TL/TR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G/BS/PL/PR/TL/TR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G/BS/PL/PR/TL/TR</w:t>
            </w: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G/BS/PL/PR/TL/TR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Complexity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Contrast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71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6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Strength</w:t>
            </w:r>
          </w:p>
        </w:tc>
        <w:tc>
          <w:tcPr>
            <w:tcW w:w="5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9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  <w:tc>
          <w:tcPr>
            <w:tcW w:w="78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pStyle w:val="5"/>
        <w:snapToGrid w:val="0"/>
        <w:spacing w:line="480" w:lineRule="auto"/>
        <w:jc w:val="both"/>
        <w:rPr>
          <w:rFonts w:hint="default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able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B</w:t>
      </w:r>
      <w:bookmarkEnd w:id="1"/>
      <w:r>
        <w:rPr>
          <w:rFonts w:ascii="Times New Roman" w:hAnsi="Times New Roman" w:eastAsia="宋体" w:cs="Times New Roman"/>
          <w:color w:val="000000" w:themeColor="text1"/>
          <w:kern w:val="0"/>
          <w:sz w:val="20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0"/>
          <w14:textFill>
            <w14:solidFill>
              <w14:schemeClr w14:val="tx1"/>
            </w14:solidFill>
          </w14:textFill>
        </w:rPr>
        <w:t>features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 exhibited excellent</w:t>
      </w:r>
      <w:r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 and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 good</w:t>
      </w:r>
      <w:r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 in both Unet and CycleGAN for all 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0"/>
          <w:szCs w:val="22"/>
          <w14:textFill>
            <w14:solidFill>
              <w14:schemeClr w14:val="tx1"/>
            </w14:solidFill>
          </w14:textFill>
        </w:rPr>
        <w:t>region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0"/>
          <w:szCs w:val="22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0"/>
          <w:szCs w:val="22"/>
          <w14:textFill>
            <w14:solidFill>
              <w14:schemeClr w14:val="tx1"/>
            </w14:solidFill>
          </w14:textFill>
        </w:rPr>
        <w:t xml:space="preserve"> of interest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*ori was original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>*w-* was wavelet-*.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>*G was GTVnx, BS was Brainstem, PR was Parotid R, PL was Parotid L, TR was Temporal Lobe R, TL was Temporal Lobe L.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able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Times New Roman" w:hAnsi="Times New Roman" w:cs="Times New Roman"/>
          <w:b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 xml:space="preserve"> (Continuation table):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0"/>
          <w14:textFill>
            <w14:solidFill>
              <w14:schemeClr w14:val="tx1"/>
            </w14:solidFill>
          </w14:textFill>
        </w:rPr>
        <w:t>features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 exhibited excellent</w:t>
      </w:r>
      <w:r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 and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 good</w:t>
      </w:r>
      <w:r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 in both Unet and CycleGAN for all 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0"/>
          <w:szCs w:val="22"/>
          <w14:textFill>
            <w14:solidFill>
              <w14:schemeClr w14:val="tx1"/>
            </w14:solidFill>
          </w14:textFill>
        </w:rPr>
        <w:t>region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0"/>
          <w:szCs w:val="22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0"/>
          <w:szCs w:val="22"/>
          <w14:textFill>
            <w14:solidFill>
              <w14:schemeClr w14:val="tx1"/>
            </w14:solidFill>
          </w14:textFill>
        </w:rPr>
        <w:t xml:space="preserve"> of interest</w:t>
      </w:r>
    </w:p>
    <w:tbl>
      <w:tblPr>
        <w:tblStyle w:val="6"/>
        <w:tblW w:w="1049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509"/>
        <w:gridCol w:w="491"/>
        <w:gridCol w:w="920"/>
        <w:gridCol w:w="800"/>
        <w:gridCol w:w="826"/>
        <w:gridCol w:w="787"/>
        <w:gridCol w:w="827"/>
        <w:gridCol w:w="826"/>
        <w:gridCol w:w="880"/>
        <w:gridCol w:w="8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  <w:lang w:val="en-US" w:eastAsia="zh-CN"/>
              </w:rPr>
              <w:t>Good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Ori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*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w*t-LLH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w-LHL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w-LHH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w-HLL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w-HLH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w-HHL</w:t>
            </w: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w-HHH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w-LLL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irst-order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Entropy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InterquartileRange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Mean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RobustMeanAbsoluteDeviation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Uniformity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GLCM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Correlation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DifferenceAverage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DifferenceEntropy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Id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TL/TR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Idm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/TR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Idn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Imc1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PL</w:t>
            </w: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Imc2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JointEntropy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MCC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SumEntropy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GLRLM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GrayLevelNonUniformityNormalized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HighGrayLevelRunEmphasis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RunLengthNonUniformity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TL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PL</w:t>
            </w: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RunLengthNonUniformityNormalized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TL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RunPercentage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TL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ShortRunHighGrayLevelEmphasis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GLSZM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GrayLevelNonUniformity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TL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GrayLevelNonUniformityNormalized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LargeAreaHighGrayLevelEmphasis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ZoneEntropy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ZonePercentage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GLDM</w:t>
            </w: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DependenceEntropy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DependenceNonUniformity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DependenceNonUniformityNormalized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GrayLevelNonUniformity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</w:t>
            </w: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5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SmallDependenceEmphasis</w:t>
            </w:r>
          </w:p>
        </w:tc>
        <w:tc>
          <w:tcPr>
            <w:tcW w:w="4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BS</w:t>
            </w:r>
          </w:p>
        </w:tc>
        <w:tc>
          <w:tcPr>
            <w:tcW w:w="7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*ori was original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>*w-* was wavelet-*.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default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>*G was GTVnx, BS was Brainstem, PR was Parotid R, PL was Parotid L, TR was Temporal Lobe R, TL was Temporal Lobe L.</w:t>
      </w:r>
    </w:p>
    <w:p>
      <w:pPr>
        <w:adjustRightInd w:val="0"/>
        <w:snapToGrid w:val="0"/>
        <w:spacing w:line="480" w:lineRule="auto"/>
        <w:jc w:val="both"/>
        <w:rPr>
          <w:rFonts w:hint="eastAsia" w:ascii="Times New Roman" w:hAnsi="Times New Roman" w:eastAsia="宋体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adjustRightInd w:val="0"/>
        <w:snapToGrid w:val="0"/>
        <w:spacing w:line="480" w:lineRule="auto"/>
        <w:rPr>
          <w:rFonts w:hint="default" w:ascii="Times New Roman" w:hAnsi="Times New Roman" w:eastAsia="宋体" w:cs="Times New Roman"/>
          <w:color w:val="000000" w:themeColor="text1"/>
          <w:kern w:val="0"/>
          <w:sz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able </w:t>
      </w:r>
      <w:r>
        <w:rPr>
          <w:rFonts w:hint="eastAsia" w:ascii="Times New Roman" w:hAnsi="Times New Roman" w:cs="Times New Roman"/>
          <w:b/>
          <w:color w:val="000000" w:themeColor="text1"/>
          <w:sz w:val="22"/>
          <w14:textFill>
            <w14:solidFill>
              <w14:schemeClr w14:val="tx1"/>
            </w14:solidFill>
          </w14:textFill>
        </w:rPr>
        <w:t>C</w:t>
      </w:r>
      <w:r>
        <w:rPr>
          <w:rFonts w:ascii="Times New Roman" w:hAnsi="Times New Roman" w:eastAsia="宋体" w:cs="Times New Roman"/>
          <w:color w:val="000000" w:themeColor="text1"/>
          <w:kern w:val="0"/>
          <w:sz w:val="20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 w:val="20"/>
          <w:lang w:val="en-US" w:eastAsia="zh-CN"/>
          <w14:textFill>
            <w14:solidFill>
              <w14:schemeClr w14:val="tx1"/>
            </w14:solidFill>
          </w14:textFill>
        </w:rPr>
        <w:t>The 21 features of GTVnx in radiomics studies of NPC about four tasks including prognosis prediction, distant metastasis, local recurrence, and progression-free survival</w:t>
      </w:r>
    </w:p>
    <w:tbl>
      <w:tblPr>
        <w:tblStyle w:val="7"/>
        <w:tblW w:w="933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4276"/>
        <w:gridCol w:w="1783"/>
        <w:gridCol w:w="178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Unet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CycleGAN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Prognostic</w:t>
            </w: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original_firstorder_Energy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Good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Excellent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original_glcm_MaximumProbability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Good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original_glrlm_GrayLevelNonUniformity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Excellent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Excellent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original_glrlm_ShortRunLowGrayLevelEmphasis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Poor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original_glszm_GrayLevelNonUniformity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Excellent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Excellent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wavelet-LLH_glcm_DifferenceVariance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wavelet-LLH_ngtdm_Complexity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wavelet-LHL_glcm_Idmn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Good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wavelet-LHL_glrlm_LongRunLowGrayLevelEmphasis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Poor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wavelet-LHL_glrlm_ShortRunHighGrayLevelEmphasis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Poor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wavelet-LHH_glszm_GrayLevelVariance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Poor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wavelet-HLH_glrlm_GrayLevelNonUniformity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Excellent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Excellent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wavelet-HHH_glszm_ZonePercentage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Poor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wavelet-HHH_ngtdm_Complexity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wavelet-LLL_glcm_SumEntropy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Good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Good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istant metastases</w:t>
            </w:r>
          </w:p>
        </w:tc>
        <w:tc>
          <w:tcPr>
            <w:tcW w:w="427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original_glrlm_LongRunHighGrayLevelEmphasi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Good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Poor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original_glszm_SizeZoneNonUniformity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Excellent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Excellent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original_glszm_ZoneVariance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Good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49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ocal recurrence</w:t>
            </w:r>
          </w:p>
        </w:tc>
        <w:tc>
          <w:tcPr>
            <w:tcW w:w="427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original_glcm_Correlation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Good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49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</w:pPr>
          </w:p>
        </w:tc>
        <w:tc>
          <w:tcPr>
            <w:tcW w:w="427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original_glszm_LowGrayLevelZoneEmphasis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Moderate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97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rogress free sverial</w:t>
            </w:r>
          </w:p>
        </w:tc>
        <w:tc>
          <w:tcPr>
            <w:tcW w:w="427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80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</w:rPr>
              <w:t>original_ngtdm_Strength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Excellent</w:t>
            </w:r>
          </w:p>
        </w:tc>
        <w:tc>
          <w:tcPr>
            <w:tcW w:w="178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Good</w:t>
            </w:r>
          </w:p>
        </w:tc>
      </w:tr>
    </w:tbl>
    <w:p>
      <w:pPr>
        <w:adjustRightInd w:val="0"/>
        <w:snapToGrid w:val="0"/>
        <w:spacing w:line="480" w:lineRule="auto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ang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6B4"/>
    <w:rsid w:val="00042C48"/>
    <w:rsid w:val="00045675"/>
    <w:rsid w:val="00061FB2"/>
    <w:rsid w:val="000762FF"/>
    <w:rsid w:val="00121711"/>
    <w:rsid w:val="002811AE"/>
    <w:rsid w:val="002862FD"/>
    <w:rsid w:val="002C44D0"/>
    <w:rsid w:val="0030335B"/>
    <w:rsid w:val="003648D9"/>
    <w:rsid w:val="003A38C5"/>
    <w:rsid w:val="004A3408"/>
    <w:rsid w:val="004C44D9"/>
    <w:rsid w:val="00560C78"/>
    <w:rsid w:val="005A747D"/>
    <w:rsid w:val="005B3DD5"/>
    <w:rsid w:val="0067506B"/>
    <w:rsid w:val="006C363A"/>
    <w:rsid w:val="00740C07"/>
    <w:rsid w:val="007747F2"/>
    <w:rsid w:val="007966B4"/>
    <w:rsid w:val="007C6112"/>
    <w:rsid w:val="007E2A39"/>
    <w:rsid w:val="00813977"/>
    <w:rsid w:val="008242A9"/>
    <w:rsid w:val="0089208E"/>
    <w:rsid w:val="008B3C96"/>
    <w:rsid w:val="008D095E"/>
    <w:rsid w:val="009F05FB"/>
    <w:rsid w:val="00A42EF6"/>
    <w:rsid w:val="00A8153B"/>
    <w:rsid w:val="00AA7302"/>
    <w:rsid w:val="00C15586"/>
    <w:rsid w:val="00CB0553"/>
    <w:rsid w:val="00D36B04"/>
    <w:rsid w:val="00D91665"/>
    <w:rsid w:val="00E0596D"/>
    <w:rsid w:val="00E36855"/>
    <w:rsid w:val="00E529FA"/>
    <w:rsid w:val="00EB3624"/>
    <w:rsid w:val="00EC01EB"/>
    <w:rsid w:val="00EF58B5"/>
    <w:rsid w:val="00F6055F"/>
    <w:rsid w:val="00FF43F5"/>
    <w:rsid w:val="037433CB"/>
    <w:rsid w:val="0AC260D6"/>
    <w:rsid w:val="0B5A7BE7"/>
    <w:rsid w:val="10DC4D6D"/>
    <w:rsid w:val="10E943BC"/>
    <w:rsid w:val="156F266A"/>
    <w:rsid w:val="183E12B1"/>
    <w:rsid w:val="1B0D4154"/>
    <w:rsid w:val="1BB13D28"/>
    <w:rsid w:val="1D462FA5"/>
    <w:rsid w:val="20BA614C"/>
    <w:rsid w:val="240159F4"/>
    <w:rsid w:val="26F84502"/>
    <w:rsid w:val="28277AED"/>
    <w:rsid w:val="2C7F752B"/>
    <w:rsid w:val="2CC17635"/>
    <w:rsid w:val="2D7660F3"/>
    <w:rsid w:val="3231137B"/>
    <w:rsid w:val="338E4750"/>
    <w:rsid w:val="3F5B3E28"/>
    <w:rsid w:val="454E0A4E"/>
    <w:rsid w:val="464F0A20"/>
    <w:rsid w:val="4685178A"/>
    <w:rsid w:val="505C7A00"/>
    <w:rsid w:val="51DF7741"/>
    <w:rsid w:val="538E6122"/>
    <w:rsid w:val="61532759"/>
    <w:rsid w:val="6646306E"/>
    <w:rsid w:val="66F83075"/>
    <w:rsid w:val="6AF45047"/>
    <w:rsid w:val="6C6A531B"/>
    <w:rsid w:val="71B20DD6"/>
    <w:rsid w:val="73AE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rPr>
      <w:kern w:val="0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1972</Words>
  <Characters>11246</Characters>
  <Lines>93</Lines>
  <Paragraphs>26</Paragraphs>
  <TotalTime>1</TotalTime>
  <ScaleCrop>false</ScaleCrop>
  <LinksUpToDate>false</LinksUpToDate>
  <CharactersWithSpaces>13192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2020-12-07T14:58:00Z</dcterms:created>
  <dc:creator>webuser</dc:creator>
  <cp:lastModifiedBy>HP</cp:lastModifiedBy>
  <dcterms:modified xsi:type="dcterms:W3CDTF">2022-09-15T00:46:05Z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yjW6Ys2QRzRm</vt:lpwstr>
  </property>
  <property fmtid="{D5CDD505-2E9C-101B-9397-08002B2CF9AE}" pid="3" name="KSOProductBuildVer">
    <vt:lpwstr>2052-11.1.0.11579</vt:lpwstr>
  </property>
  <property fmtid="{D5CDD505-2E9C-101B-9397-08002B2CF9AE}" pid="4" name="ICV">
    <vt:lpwstr>6A15EA481B6B49368A580ED50C3DA969</vt:lpwstr>
  </property>
</Properties>
</file>