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FD6" w:rsidRDefault="00513FD6" w:rsidP="00513FD6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sz w:val="24"/>
          <w:szCs w:val="24"/>
        </w:rPr>
        <w:t>Supplementary figure legend</w:t>
      </w:r>
    </w:p>
    <w:p w:rsidR="00513FD6" w:rsidRDefault="00513FD6" w:rsidP="00513FD6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等线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eastAsia="等线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1</w:t>
      </w:r>
      <w:r>
        <w:rPr>
          <w:rFonts w:ascii="Times New Roman" w:eastAsia="等线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等线" w:hAnsi="Times New Roman" w:cs="Times New Roman"/>
          <w:b/>
          <w:sz w:val="24"/>
          <w:szCs w:val="24"/>
        </w:rPr>
        <w:t xml:space="preserve">Flow diagram of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 xml:space="preserve">the </w:t>
      </w:r>
      <w:r>
        <w:rPr>
          <w:rFonts w:ascii="Times New Roman" w:eastAsia="等线" w:hAnsi="Times New Roman" w:cs="Times New Roman"/>
          <w:b/>
          <w:sz w:val="24"/>
          <w:szCs w:val="24"/>
        </w:rPr>
        <w:t>analysis procedure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 xml:space="preserve">, including the </w:t>
      </w:r>
      <w:r>
        <w:rPr>
          <w:rFonts w:ascii="Times New Roman" w:eastAsia="等线" w:hAnsi="Times New Roman" w:cs="Times New Roman"/>
          <w:b/>
          <w:sz w:val="24"/>
          <w:szCs w:val="24"/>
        </w:rPr>
        <w:t>discovery, training, and validation stages.</w:t>
      </w:r>
      <w:proofErr w:type="gramEnd"/>
    </w:p>
    <w:p w:rsidR="00513FD6" w:rsidRDefault="00513FD6" w:rsidP="00513FD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proofErr w:type="gramStart"/>
      <w:r>
        <w:rPr>
          <w:rFonts w:ascii="Times New Roman" w:eastAsia="等线" w:hAnsi="Times New Roman" w:cs="Times New Roman" w:hint="eastAsia"/>
          <w:b/>
          <w:sz w:val="24"/>
          <w:szCs w:val="24"/>
        </w:rPr>
        <w:t>Supplementary Figure 2.</w:t>
      </w:r>
      <w:proofErr w:type="gramEnd"/>
      <w:r>
        <w:rPr>
          <w:rFonts w:ascii="Times New Roman" w:eastAsia="等线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eastAsia="等线" w:hAnsi="Times New Roman" w:cs="Times New Roman"/>
          <w:b/>
          <w:sz w:val="24"/>
          <w:szCs w:val="24"/>
        </w:rPr>
        <w:t xml:space="preserve">DMG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f</w:t>
      </w:r>
      <w:r>
        <w:rPr>
          <w:rFonts w:ascii="Times New Roman" w:eastAsia="等线" w:hAnsi="Times New Roman" w:cs="Times New Roman"/>
          <w:b/>
          <w:sz w:val="24"/>
          <w:szCs w:val="24"/>
        </w:rPr>
        <w:t>unction.</w:t>
      </w:r>
      <w:proofErr w:type="gramEnd"/>
      <w:r>
        <w:rPr>
          <w:rFonts w:ascii="Times New Roman" w:eastAsia="等线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A, </w:t>
      </w:r>
      <w:r>
        <w:rPr>
          <w:rFonts w:ascii="Times New Roman" w:eastAsia="等线" w:hAnsi="Times New Roman" w:cs="Times New Roman"/>
          <w:sz w:val="24"/>
          <w:szCs w:val="24"/>
        </w:rPr>
        <w:t>GO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and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C, KEGG </w:t>
      </w:r>
      <w:r>
        <w:rPr>
          <w:rFonts w:ascii="Times New Roman" w:eastAsia="等线" w:hAnsi="Times New Roman" w:cs="Times New Roman"/>
          <w:sz w:val="24"/>
          <w:szCs w:val="24"/>
        </w:rPr>
        <w:t>functional enrichment analyses of DMGs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in the promoter region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 of gene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等线" w:hAnsi="Times New Roman" w:cs="Times New Roman" w:hint="eastAsia"/>
          <w:sz w:val="24"/>
          <w:szCs w:val="24"/>
        </w:rPr>
        <w:t>B, G</w:t>
      </w:r>
      <w:r>
        <w:rPr>
          <w:rFonts w:ascii="Times New Roman" w:eastAsia="等线" w:hAnsi="Times New Roman" w:cs="Times New Roman"/>
          <w:sz w:val="24"/>
          <w:szCs w:val="24"/>
        </w:rPr>
        <w:t>O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and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D KEGG </w:t>
      </w:r>
      <w:r>
        <w:rPr>
          <w:rFonts w:ascii="Times New Roman" w:eastAsia="等线" w:hAnsi="Times New Roman" w:cs="Times New Roman"/>
          <w:sz w:val="24"/>
          <w:szCs w:val="24"/>
        </w:rPr>
        <w:t>functional enrichment analyses of DMGs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in the gene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body region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:rsidR="00513FD6" w:rsidRDefault="00513FD6" w:rsidP="00513FD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proofErr w:type="gramStart"/>
      <w:r>
        <w:rPr>
          <w:rFonts w:ascii="Times New Roman" w:eastAsia="等线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eastAsia="等线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3</w:t>
      </w:r>
      <w:r>
        <w:rPr>
          <w:rFonts w:ascii="Times New Roman" w:eastAsia="等线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b/>
          <w:sz w:val="24"/>
          <w:szCs w:val="24"/>
        </w:rPr>
        <w:t>Risk score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s</w:t>
      </w:r>
      <w:r>
        <w:rPr>
          <w:rFonts w:ascii="Times New Roman" w:eastAsia="等线" w:hAnsi="Times New Roman" w:cs="Times New Roman"/>
          <w:b/>
          <w:sz w:val="24"/>
          <w:szCs w:val="24"/>
        </w:rPr>
        <w:t xml:space="preserve"> in the whole TCGA cohort.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等线" w:hAnsi="Times New Roman" w:cs="Times New Roman" w:hint="eastAsia"/>
          <w:sz w:val="24"/>
          <w:szCs w:val="24"/>
        </w:rPr>
        <w:t xml:space="preserve">A, </w:t>
      </w:r>
      <w:r>
        <w:rPr>
          <w:rFonts w:ascii="Times New Roman" w:eastAsia="等线" w:hAnsi="Times New Roman" w:cs="Times New Roman"/>
          <w:sz w:val="24"/>
          <w:szCs w:val="24"/>
        </w:rPr>
        <w:t>KM survival curve of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patients in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eastAsia="等线" w:hAnsi="Times New Roman" w:cs="Times New Roman"/>
          <w:sz w:val="24"/>
          <w:szCs w:val="24"/>
        </w:rPr>
        <w:t>high-</w:t>
      </w:r>
      <w:r>
        <w:rPr>
          <w:rFonts w:ascii="Times New Roman" w:eastAsia="等线" w:hAnsi="Times New Roman" w:cs="Times New Roman" w:hint="eastAsia"/>
          <w:sz w:val="24"/>
          <w:szCs w:val="24"/>
        </w:rPr>
        <w:t>risk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 low-risk groups.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The data are shown as median with the interquartile range. Statistical significance was assessed using Log-rank test. The dotted line shows the statistical significance at 50% survival probability. </w:t>
      </w:r>
      <w:proofErr w:type="gramStart"/>
      <w:r>
        <w:rPr>
          <w:rFonts w:ascii="Times New Roman" w:eastAsia="等线" w:hAnsi="Times New Roman" w:cs="Times New Roman" w:hint="eastAsia"/>
          <w:sz w:val="24"/>
          <w:szCs w:val="24"/>
        </w:rPr>
        <w:t>B, R</w:t>
      </w:r>
      <w:r>
        <w:rPr>
          <w:rFonts w:ascii="Times New Roman" w:eastAsia="等线" w:hAnsi="Times New Roman" w:cs="Times New Roman"/>
          <w:sz w:val="24"/>
          <w:szCs w:val="24"/>
        </w:rPr>
        <w:t>ank of calculated risk score and survival status of high-</w:t>
      </w:r>
      <w:r>
        <w:rPr>
          <w:rFonts w:ascii="Times New Roman" w:eastAsia="等线" w:hAnsi="Times New Roman" w:cs="Times New Roman" w:hint="eastAsia"/>
          <w:sz w:val="24"/>
          <w:szCs w:val="24"/>
        </w:rPr>
        <w:t>risk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 low-risk patients.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The dotted line shows the cutoff value to distinguish ccRCC high-risk and low-risk patients. C, </w:t>
      </w:r>
      <w:r>
        <w:rPr>
          <w:rFonts w:ascii="Times New Roman" w:eastAsia="等线" w:hAnsi="Times New Roman" w:cs="Times New Roman"/>
          <w:sz w:val="24"/>
          <w:szCs w:val="24"/>
        </w:rPr>
        <w:t>Heat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map of methylation level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at</w:t>
      </w:r>
      <w:r>
        <w:rPr>
          <w:rFonts w:ascii="Times New Roman" w:eastAsia="等线" w:hAnsi="Times New Roman" w:cs="Times New Roman"/>
          <w:sz w:val="24"/>
          <w:szCs w:val="24"/>
        </w:rPr>
        <w:t xml:space="preserve"> 18 CpG sites. </w:t>
      </w:r>
      <w:proofErr w:type="gramStart"/>
      <w:r>
        <w:rPr>
          <w:rFonts w:ascii="Times New Roman" w:eastAsia="等线" w:hAnsi="Times New Roman" w:cs="Times New Roman" w:hint="eastAsia"/>
          <w:sz w:val="24"/>
          <w:szCs w:val="24"/>
        </w:rPr>
        <w:t xml:space="preserve">D, </w:t>
      </w:r>
      <w:r>
        <w:rPr>
          <w:rFonts w:ascii="Times New Roman" w:eastAsia="等线" w:hAnsi="Times New Roman" w:cs="Times New Roman"/>
          <w:sz w:val="24"/>
          <w:szCs w:val="24"/>
        </w:rPr>
        <w:t>The 1-, 3-, 5-, and 10-year ROC curves of risk score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The sensitivity and specificity of this model were determined by the cutoff value.</w:t>
      </w:r>
    </w:p>
    <w:p w:rsidR="00513FD6" w:rsidRPr="00792EE8" w:rsidRDefault="00513FD6" w:rsidP="00513FD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proofErr w:type="gramStart"/>
      <w:r w:rsidRPr="00155745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  <w:r w:rsidRPr="00155745">
        <w:rPr>
          <w:rFonts w:ascii="Times New Roman" w:eastAsia="等线" w:hAnsi="Times New Roman" w:cs="Times New Roman"/>
          <w:b/>
          <w:bCs/>
          <w:sz w:val="24"/>
          <w:szCs w:val="24"/>
        </w:rPr>
        <w:t>upplementary Figure 4.</w:t>
      </w:r>
      <w:proofErr w:type="gramEnd"/>
      <w:r w:rsidRPr="0015574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F231C0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Decision curve analyses for overall survival predictions. </w:t>
      </w:r>
      <w:r w:rsidRPr="00792EE8">
        <w:rPr>
          <w:rFonts w:ascii="Times New Roman" w:eastAsia="等线" w:hAnsi="Times New Roman" w:cs="Times New Roman"/>
          <w:sz w:val="24"/>
          <w:szCs w:val="24"/>
        </w:rPr>
        <w:t xml:space="preserve">The colored lines indicate the net benefit of using the model with the combined </w:t>
      </w:r>
      <w:proofErr w:type="spellStart"/>
      <w:r w:rsidRPr="00792EE8">
        <w:rPr>
          <w:rFonts w:ascii="Times New Roman" w:eastAsia="等线" w:hAnsi="Times New Roman" w:cs="Times New Roman"/>
          <w:sz w:val="24"/>
          <w:szCs w:val="24"/>
        </w:rPr>
        <w:t>clinicopathological</w:t>
      </w:r>
      <w:proofErr w:type="spellEnd"/>
      <w:r w:rsidRPr="00792EE8">
        <w:rPr>
          <w:rFonts w:ascii="Times New Roman" w:eastAsia="等线" w:hAnsi="Times New Roman" w:cs="Times New Roman"/>
          <w:sz w:val="24"/>
          <w:szCs w:val="24"/>
        </w:rPr>
        <w:t xml:space="preserve"> characters (red), methylation </w:t>
      </w:r>
      <w:proofErr w:type="spellStart"/>
      <w:r w:rsidRPr="00792EE8">
        <w:rPr>
          <w:rFonts w:ascii="Times New Roman" w:eastAsia="等线" w:hAnsi="Times New Roman" w:cs="Times New Roman"/>
          <w:sz w:val="24"/>
          <w:szCs w:val="24"/>
        </w:rPr>
        <w:t>RiskScore</w:t>
      </w:r>
      <w:proofErr w:type="spellEnd"/>
      <w:r w:rsidRPr="00792EE8">
        <w:rPr>
          <w:rFonts w:ascii="Times New Roman" w:eastAsia="等线" w:hAnsi="Times New Roman" w:cs="Times New Roman"/>
          <w:sz w:val="24"/>
          <w:szCs w:val="24"/>
        </w:rPr>
        <w:t xml:space="preserve"> (green) and the </w:t>
      </w:r>
      <w:proofErr w:type="spellStart"/>
      <w:r w:rsidRPr="00792EE8">
        <w:rPr>
          <w:rFonts w:ascii="Times New Roman" w:eastAsia="等线" w:hAnsi="Times New Roman" w:cs="Times New Roman"/>
          <w:sz w:val="24"/>
          <w:szCs w:val="24"/>
        </w:rPr>
        <w:t>NomoScore</w:t>
      </w:r>
      <w:proofErr w:type="spellEnd"/>
      <w:r w:rsidRPr="00792EE8">
        <w:rPr>
          <w:rFonts w:ascii="Times New Roman" w:eastAsia="等线" w:hAnsi="Times New Roman" w:cs="Times New Roman"/>
          <w:sz w:val="24"/>
          <w:szCs w:val="24"/>
        </w:rPr>
        <w:t xml:space="preserve"> (black). The assumptions that all patients will be alive and that no patients will be dead are represented by grey and black lines, respectively.</w:t>
      </w:r>
    </w:p>
    <w:p w:rsidR="00D402BD" w:rsidRPr="00513FD6" w:rsidRDefault="00D402BD">
      <w:bookmarkStart w:id="0" w:name="_GoBack"/>
      <w:bookmarkEnd w:id="0"/>
    </w:p>
    <w:sectPr w:rsidR="00D402BD" w:rsidRPr="00513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859" w:rsidRDefault="00655859" w:rsidP="00513FD6">
      <w:r>
        <w:separator/>
      </w:r>
    </w:p>
  </w:endnote>
  <w:endnote w:type="continuationSeparator" w:id="0">
    <w:p w:rsidR="00655859" w:rsidRDefault="00655859" w:rsidP="0051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859" w:rsidRDefault="00655859" w:rsidP="00513FD6">
      <w:r>
        <w:separator/>
      </w:r>
    </w:p>
  </w:footnote>
  <w:footnote w:type="continuationSeparator" w:id="0">
    <w:p w:rsidR="00655859" w:rsidRDefault="00655859" w:rsidP="00513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A7"/>
    <w:rsid w:val="00306CD7"/>
    <w:rsid w:val="003B72A7"/>
    <w:rsid w:val="00513FD6"/>
    <w:rsid w:val="00655859"/>
    <w:rsid w:val="007A0659"/>
    <w:rsid w:val="00A90699"/>
    <w:rsid w:val="00D4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3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3F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3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3F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3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3F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3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3F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2023-02-03T01:14:00Z</dcterms:created>
  <dcterms:modified xsi:type="dcterms:W3CDTF">2023-02-03T01:14:00Z</dcterms:modified>
</cp:coreProperties>
</file>