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EB22" w14:textId="4B7124D2" w:rsidR="0092635A" w:rsidRDefault="0092635A" w:rsidP="0092635A">
      <w:pPr>
        <w:rPr>
          <w:rFonts w:ascii="Times New Roman" w:hAnsi="Times New Roman" w:cs="Times New Roman"/>
          <w:b/>
          <w:sz w:val="24"/>
          <w:szCs w:val="24"/>
        </w:rPr>
      </w:pPr>
      <w:r w:rsidRPr="00487080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4B46AF" w:rsidRPr="004B46AF">
        <w:rPr>
          <w:rFonts w:ascii="Times New Roman" w:hAnsi="Times New Roman" w:cs="Times New Roman"/>
          <w:b/>
          <w:sz w:val="24"/>
          <w:szCs w:val="24"/>
        </w:rPr>
        <w:t>Material</w:t>
      </w:r>
      <w:r w:rsidR="00154C26">
        <w:rPr>
          <w:rFonts w:ascii="Times New Roman" w:hAnsi="Times New Roman" w:cs="Times New Roman" w:hint="eastAsia"/>
          <w:b/>
          <w:sz w:val="24"/>
          <w:szCs w:val="24"/>
        </w:rPr>
        <w:t>s</w:t>
      </w:r>
    </w:p>
    <w:p w14:paraId="3B4220DD" w14:textId="77777777" w:rsidR="0092635A" w:rsidRPr="00487080" w:rsidRDefault="0092635A" w:rsidP="009263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 wp14:anchorId="03E74F68" wp14:editId="5BDDFD28">
            <wp:extent cx="5274310" cy="3634105"/>
            <wp:effectExtent l="0" t="0" r="2540" b="444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389E3" w14:textId="77777777" w:rsidR="0092635A" w:rsidRDefault="0092635A" w:rsidP="0092635A">
      <w:pPr>
        <w:spacing w:line="480" w:lineRule="auto"/>
        <w:contextualSpacing/>
        <w:jc w:val="left"/>
        <w:rPr>
          <w:rFonts w:ascii="Times New Roman" w:hAnsi="Times New Roman" w:cs="Times New Roman"/>
        </w:rPr>
      </w:pPr>
      <w:r w:rsidRPr="003F7118">
        <w:rPr>
          <w:rFonts w:ascii="Times New Roman" w:hAnsi="Times New Roman" w:cs="Times New Roman"/>
          <w:b/>
        </w:rPr>
        <w:t xml:space="preserve">Supplementary Figure 1. </w:t>
      </w:r>
      <w:r>
        <w:rPr>
          <w:rFonts w:ascii="Times New Roman" w:hAnsi="Times New Roman" w:cs="Times New Roman"/>
          <w:color w:val="000000"/>
        </w:rPr>
        <w:t>Flowchart</w:t>
      </w:r>
      <w:r w:rsidRPr="00AA09C3">
        <w:rPr>
          <w:rFonts w:ascii="Times New Roman" w:hAnsi="Times New Roman" w:cs="Times New Roman"/>
          <w:color w:val="000000"/>
        </w:rPr>
        <w:t xml:space="preserve"> of this </w:t>
      </w:r>
      <w:r>
        <w:rPr>
          <w:rFonts w:ascii="Times New Roman" w:hAnsi="Times New Roman" w:cs="Times New Roman"/>
          <w:color w:val="000000"/>
        </w:rPr>
        <w:t>study.</w:t>
      </w:r>
    </w:p>
    <w:p w14:paraId="03FDADDF" w14:textId="77777777" w:rsidR="0092635A" w:rsidRDefault="0092635A" w:rsidP="0092635A">
      <w:r>
        <w:rPr>
          <w:noProof/>
        </w:rPr>
        <w:drawing>
          <wp:inline distT="0" distB="0" distL="0" distR="0" wp14:anchorId="6E45C018" wp14:editId="04E74D63">
            <wp:extent cx="5274310" cy="2799715"/>
            <wp:effectExtent l="0" t="0" r="2540" b="63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406C6" w14:textId="77777777" w:rsidR="0092635A" w:rsidRDefault="0092635A" w:rsidP="0092635A">
      <w:pPr>
        <w:spacing w:line="480" w:lineRule="auto"/>
        <w:contextualSpacing/>
        <w:jc w:val="left"/>
        <w:rPr>
          <w:rFonts w:ascii="Times New Roman" w:hAnsi="Times New Roman" w:cs="Times New Roman"/>
        </w:rPr>
      </w:pPr>
      <w:r w:rsidRPr="003F7118"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/>
          <w:b/>
        </w:rPr>
        <w:t>2</w:t>
      </w:r>
      <w:r w:rsidRPr="003F7118">
        <w:rPr>
          <w:rFonts w:ascii="Times New Roman" w:hAnsi="Times New Roman" w:cs="Times New Roman"/>
          <w:b/>
        </w:rPr>
        <w:t xml:space="preserve">. </w:t>
      </w:r>
      <w:r w:rsidRPr="00F104C6">
        <w:rPr>
          <w:rFonts w:ascii="Times New Roman" w:hAnsi="Times New Roman" w:cs="Times New Roman"/>
          <w:color w:val="000000"/>
        </w:rPr>
        <w:t xml:space="preserve">Consensus </w:t>
      </w:r>
      <w:r>
        <w:rPr>
          <w:rFonts w:ascii="TimesNewRomanPSMT" w:hAnsi="TimesNewRomanPSMT"/>
          <w:color w:val="131413"/>
        </w:rPr>
        <w:t>heatmaps</w:t>
      </w:r>
      <w:r w:rsidRPr="00F104C6">
        <w:rPr>
          <w:rFonts w:ascii="Times New Roman" w:hAnsi="Times New Roman" w:cs="Times New Roman"/>
          <w:color w:val="000000"/>
        </w:rPr>
        <w:t xml:space="preserve"> of the </w:t>
      </w:r>
      <w:r>
        <w:rPr>
          <w:rFonts w:ascii="Times New Roman" w:hAnsi="Times New Roman" w:cs="Times New Roman"/>
          <w:color w:val="000000"/>
        </w:rPr>
        <w:t>TCGA</w:t>
      </w:r>
      <w:r w:rsidRPr="00F104C6">
        <w:rPr>
          <w:rFonts w:ascii="Times New Roman" w:hAnsi="Times New Roman" w:cs="Times New Roman"/>
          <w:color w:val="000000"/>
        </w:rPr>
        <w:t xml:space="preserve"> cohort for k = </w:t>
      </w:r>
      <w:r>
        <w:rPr>
          <w:rFonts w:ascii="Times New Roman" w:hAnsi="Times New Roman" w:cs="Times New Roman"/>
          <w:color w:val="000000"/>
        </w:rPr>
        <w:t>3-9</w:t>
      </w:r>
      <w:r w:rsidRPr="00F104C6">
        <w:rPr>
          <w:rFonts w:ascii="Times New Roman" w:hAnsi="Times New Roman" w:cs="Times New Roman"/>
          <w:color w:val="000000"/>
        </w:rPr>
        <w:t>.</w:t>
      </w:r>
    </w:p>
    <w:p w14:paraId="5384ADB3" w14:textId="77777777" w:rsidR="0092635A" w:rsidRDefault="0092635A" w:rsidP="0092635A">
      <w:r>
        <w:rPr>
          <w:noProof/>
        </w:rPr>
        <w:lastRenderedPageBreak/>
        <w:drawing>
          <wp:inline distT="0" distB="0" distL="0" distR="0" wp14:anchorId="38907B66" wp14:editId="19DAC6E2">
            <wp:extent cx="5274310" cy="314960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888B7" w14:textId="77777777" w:rsidR="0092635A" w:rsidRDefault="0092635A" w:rsidP="0092635A">
      <w:pPr>
        <w:spacing w:line="480" w:lineRule="auto"/>
        <w:contextualSpacing/>
        <w:jc w:val="left"/>
        <w:rPr>
          <w:rFonts w:ascii="Times New Roman" w:hAnsi="Times New Roman" w:cs="Times New Roman"/>
        </w:rPr>
      </w:pPr>
      <w:r w:rsidRPr="003F7118"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/>
          <w:b/>
        </w:rPr>
        <w:t>3</w:t>
      </w:r>
      <w:r w:rsidRPr="003F7118">
        <w:rPr>
          <w:rFonts w:ascii="Times New Roman" w:hAnsi="Times New Roman" w:cs="Times New Roman"/>
          <w:b/>
        </w:rPr>
        <w:t xml:space="preserve">. </w:t>
      </w:r>
      <w:r w:rsidRPr="0005502A">
        <w:rPr>
          <w:rFonts w:ascii="Times New Roman" w:hAnsi="Times New Roman" w:cs="Times New Roman"/>
          <w:color w:val="000000"/>
        </w:rPr>
        <w:t xml:space="preserve">Kaplan-Meier survival analyses of the </w:t>
      </w:r>
      <w:r>
        <w:rPr>
          <w:rFonts w:ascii="Times New Roman" w:hAnsi="Times New Roman" w:cs="Times New Roman"/>
          <w:color w:val="000000"/>
        </w:rPr>
        <w:t xml:space="preserve">PC </w:t>
      </w:r>
      <w:r w:rsidRPr="0005502A">
        <w:rPr>
          <w:rFonts w:ascii="Times New Roman" w:hAnsi="Times New Roman" w:cs="Times New Roman"/>
          <w:color w:val="000000"/>
        </w:rPr>
        <w:t xml:space="preserve">patients </w:t>
      </w:r>
      <w:r>
        <w:rPr>
          <w:rFonts w:ascii="Times New Roman" w:hAnsi="Times New Roman" w:cs="Times New Roman"/>
          <w:color w:val="000000"/>
        </w:rPr>
        <w:t xml:space="preserve">with high/low expression of the 6 screened genes </w:t>
      </w:r>
      <w:r w:rsidRPr="0005502A">
        <w:rPr>
          <w:rFonts w:ascii="Times New Roman" w:hAnsi="Times New Roman" w:cs="Times New Roman"/>
          <w:color w:val="000000"/>
        </w:rPr>
        <w:t>in the TCGA</w:t>
      </w:r>
      <w:r>
        <w:rPr>
          <w:rFonts w:ascii="Times New Roman" w:hAnsi="Times New Roman" w:cs="Times New Roman"/>
          <w:color w:val="000000"/>
        </w:rPr>
        <w:t xml:space="preserve"> cohort.</w:t>
      </w:r>
    </w:p>
    <w:p w14:paraId="7671A267" w14:textId="77777777" w:rsidR="0092635A" w:rsidRDefault="0092635A" w:rsidP="0092635A">
      <w:r>
        <w:rPr>
          <w:noProof/>
        </w:rPr>
        <w:drawing>
          <wp:inline distT="0" distB="0" distL="0" distR="0" wp14:anchorId="790C82DF" wp14:editId="70059CBF">
            <wp:extent cx="5274310" cy="251587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04607" w14:textId="77777777" w:rsidR="0092635A" w:rsidRDefault="0092635A" w:rsidP="0092635A">
      <w:pPr>
        <w:spacing w:line="480" w:lineRule="auto"/>
        <w:contextualSpacing/>
        <w:jc w:val="left"/>
        <w:rPr>
          <w:rFonts w:ascii="Times New Roman" w:hAnsi="Times New Roman" w:cs="Times New Roman"/>
        </w:rPr>
      </w:pPr>
      <w:r w:rsidRPr="003F7118"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/>
          <w:b/>
        </w:rPr>
        <w:t>4</w:t>
      </w:r>
      <w:r w:rsidRPr="003F7118">
        <w:rPr>
          <w:rFonts w:ascii="Times New Roman" w:hAnsi="Times New Roman" w:cs="Times New Roman"/>
          <w:b/>
        </w:rPr>
        <w:t xml:space="preserve">. </w:t>
      </w:r>
      <w:r w:rsidRPr="0005502A">
        <w:rPr>
          <w:rFonts w:ascii="Times New Roman" w:hAnsi="Times New Roman" w:cs="Times New Roman"/>
          <w:color w:val="000000"/>
        </w:rPr>
        <w:t>Kaplan-Meier survival analyses of</w:t>
      </w:r>
      <w:r w:rsidRPr="00AA45E2">
        <w:rPr>
          <w:rFonts w:ascii="Times New Roman" w:hAnsi="Times New Roman" w:cs="Times New Roman"/>
          <w:color w:val="000000"/>
        </w:rPr>
        <w:t xml:space="preserve"> </w:t>
      </w:r>
      <w:r w:rsidRPr="0005502A">
        <w:rPr>
          <w:rFonts w:ascii="Times New Roman" w:hAnsi="Times New Roman" w:cs="Times New Roman"/>
          <w:color w:val="000000"/>
        </w:rPr>
        <w:t xml:space="preserve">the </w:t>
      </w:r>
      <w:r>
        <w:rPr>
          <w:rFonts w:ascii="Times New Roman" w:hAnsi="Times New Roman" w:cs="Times New Roman"/>
          <w:color w:val="000000"/>
        </w:rPr>
        <w:t xml:space="preserve">PC </w:t>
      </w:r>
      <w:r w:rsidRPr="0005502A">
        <w:rPr>
          <w:rFonts w:ascii="Times New Roman" w:hAnsi="Times New Roman" w:cs="Times New Roman"/>
          <w:color w:val="000000"/>
        </w:rPr>
        <w:t>patients</w:t>
      </w:r>
      <w:r>
        <w:rPr>
          <w:rFonts w:ascii="Times New Roman" w:hAnsi="Times New Roman" w:cs="Times New Roman"/>
          <w:color w:val="000000"/>
        </w:rPr>
        <w:t xml:space="preserve"> in the high- and low-risk groups with the different</w:t>
      </w:r>
      <w:r w:rsidRPr="00AA45E2">
        <w:rPr>
          <w:rFonts w:ascii="Times New Roman" w:hAnsi="Times New Roman" w:cs="Times New Roman"/>
          <w:color w:val="000000"/>
        </w:rPr>
        <w:t xml:space="preserve"> clinical </w:t>
      </w:r>
      <w:r>
        <w:rPr>
          <w:rFonts w:ascii="Times New Roman" w:hAnsi="Times New Roman" w:cs="Times New Roman"/>
          <w:color w:val="000000"/>
        </w:rPr>
        <w:t>factor</w:t>
      </w:r>
      <w:r w:rsidRPr="00AA45E2"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</w:rPr>
        <w:t xml:space="preserve">including </w:t>
      </w:r>
      <w:r w:rsidRPr="00AA45E2">
        <w:rPr>
          <w:rFonts w:ascii="Times New Roman" w:hAnsi="Times New Roman" w:cs="Times New Roman"/>
          <w:color w:val="000000"/>
        </w:rPr>
        <w:t>age</w:t>
      </w:r>
      <w:r>
        <w:rPr>
          <w:rFonts w:ascii="Times New Roman" w:hAnsi="Times New Roman" w:cs="Times New Roman"/>
          <w:color w:val="000000"/>
        </w:rPr>
        <w:t xml:space="preserve"> (A)</w:t>
      </w:r>
      <w:r w:rsidRPr="00AA45E2">
        <w:rPr>
          <w:rFonts w:ascii="Times New Roman" w:hAnsi="Times New Roman" w:cs="Times New Roman"/>
          <w:color w:val="000000"/>
        </w:rPr>
        <w:t>, gender</w:t>
      </w:r>
      <w:r>
        <w:rPr>
          <w:rFonts w:ascii="Times New Roman" w:hAnsi="Times New Roman" w:cs="Times New Roman"/>
          <w:color w:val="000000"/>
        </w:rPr>
        <w:t xml:space="preserve"> (B)</w:t>
      </w:r>
      <w:r w:rsidRPr="00AA45E2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N</w:t>
      </w:r>
      <w:r w:rsidRPr="00AA45E2">
        <w:rPr>
          <w:rFonts w:ascii="Times New Roman" w:hAnsi="Times New Roman" w:cs="Times New Roman"/>
          <w:color w:val="000000"/>
        </w:rPr>
        <w:t xml:space="preserve"> stage</w:t>
      </w:r>
      <w:r>
        <w:rPr>
          <w:rFonts w:ascii="Times New Roman" w:hAnsi="Times New Roman" w:cs="Times New Roman"/>
          <w:color w:val="000000"/>
        </w:rPr>
        <w:t xml:space="preserve"> (C)</w:t>
      </w:r>
      <w:r w:rsidRPr="00AA45E2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and T</w:t>
      </w:r>
      <w:r w:rsidRPr="00AA45E2">
        <w:rPr>
          <w:rFonts w:ascii="Times New Roman" w:hAnsi="Times New Roman" w:cs="Times New Roman"/>
          <w:color w:val="000000"/>
        </w:rPr>
        <w:t xml:space="preserve"> stage</w:t>
      </w:r>
      <w:r>
        <w:rPr>
          <w:rFonts w:ascii="Times New Roman" w:hAnsi="Times New Roman" w:cs="Times New Roman"/>
          <w:color w:val="000000"/>
        </w:rPr>
        <w:t xml:space="preserve"> (D).</w:t>
      </w:r>
    </w:p>
    <w:p w14:paraId="6E3B30B7" w14:textId="77777777" w:rsidR="0092635A" w:rsidRDefault="0092635A" w:rsidP="0092635A">
      <w:r>
        <w:rPr>
          <w:noProof/>
        </w:rPr>
        <w:lastRenderedPageBreak/>
        <w:drawing>
          <wp:inline distT="0" distB="0" distL="0" distR="0" wp14:anchorId="225B2F6B" wp14:editId="1F36E23B">
            <wp:extent cx="5274310" cy="3136900"/>
            <wp:effectExtent l="0" t="0" r="254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8C2D5" w14:textId="336E2DF7" w:rsidR="0092635A" w:rsidRDefault="0092635A" w:rsidP="0092635A">
      <w:pPr>
        <w:spacing w:line="480" w:lineRule="auto"/>
        <w:contextualSpacing/>
        <w:jc w:val="left"/>
        <w:rPr>
          <w:rFonts w:ascii="Times New Roman" w:hAnsi="Times New Roman" w:cs="Times New Roman"/>
          <w:color w:val="000000"/>
        </w:rPr>
      </w:pPr>
      <w:r w:rsidRPr="003F7118"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/>
          <w:b/>
        </w:rPr>
        <w:t>5</w:t>
      </w:r>
      <w:r w:rsidRPr="003F7118">
        <w:rPr>
          <w:rFonts w:ascii="Times New Roman" w:hAnsi="Times New Roman" w:cs="Times New Roman"/>
          <w:b/>
        </w:rPr>
        <w:t xml:space="preserve">. </w:t>
      </w:r>
      <w:r w:rsidRPr="009C14FC">
        <w:rPr>
          <w:rFonts w:ascii="Times New Roman" w:hAnsi="Times New Roman" w:cs="Times New Roman"/>
          <w:color w:val="000000"/>
        </w:rPr>
        <w:t xml:space="preserve">Comparisons of </w:t>
      </w:r>
      <w:r>
        <w:rPr>
          <w:rFonts w:ascii="Times New Roman" w:hAnsi="Times New Roman" w:cs="Times New Roman"/>
          <w:color w:val="000000"/>
        </w:rPr>
        <w:t>t</w:t>
      </w:r>
      <w:r w:rsidRPr="005E2471">
        <w:rPr>
          <w:rFonts w:ascii="Times New Roman" w:hAnsi="Times New Roman" w:cs="Times New Roman"/>
          <w:color w:val="000000"/>
        </w:rPr>
        <w:t>he</w:t>
      </w:r>
      <w:r w:rsidRPr="009C14FC">
        <w:rPr>
          <w:rFonts w:ascii="Times New Roman" w:hAnsi="Times New Roman" w:cs="Times New Roman"/>
          <w:color w:val="000000"/>
        </w:rPr>
        <w:t xml:space="preserve"> IPS</w:t>
      </w:r>
      <w:r>
        <w:rPr>
          <w:rFonts w:ascii="Times New Roman" w:hAnsi="Times New Roman" w:cs="Times New Roman"/>
          <w:color w:val="000000"/>
        </w:rPr>
        <w:t xml:space="preserve"> (A)</w:t>
      </w:r>
      <w:r w:rsidRPr="009C14FC">
        <w:rPr>
          <w:rFonts w:ascii="Times New Roman" w:hAnsi="Times New Roman" w:cs="Times New Roman"/>
          <w:color w:val="000000"/>
        </w:rPr>
        <w:t>, IPS-CTLA4</w:t>
      </w:r>
      <w:r>
        <w:rPr>
          <w:rFonts w:ascii="Times New Roman" w:hAnsi="Times New Roman" w:cs="Times New Roman"/>
          <w:color w:val="000000"/>
        </w:rPr>
        <w:t xml:space="preserve"> (B)</w:t>
      </w:r>
      <w:r w:rsidRPr="009C14FC">
        <w:rPr>
          <w:rFonts w:ascii="Times New Roman" w:hAnsi="Times New Roman" w:cs="Times New Roman"/>
          <w:color w:val="000000"/>
        </w:rPr>
        <w:t>, IPS-PD1</w:t>
      </w:r>
      <w:r>
        <w:rPr>
          <w:rFonts w:ascii="Times New Roman" w:hAnsi="Times New Roman" w:cs="Times New Roman"/>
          <w:color w:val="000000"/>
        </w:rPr>
        <w:t xml:space="preserve"> (C),</w:t>
      </w:r>
      <w:r w:rsidRPr="009C14FC">
        <w:rPr>
          <w:rFonts w:ascii="Times New Roman" w:hAnsi="Times New Roman" w:cs="Times New Roman"/>
          <w:color w:val="000000"/>
        </w:rPr>
        <w:t xml:space="preserve"> and IPS-PD1-CTLA4</w:t>
      </w:r>
      <w:r>
        <w:rPr>
          <w:rFonts w:ascii="Times New Roman" w:hAnsi="Times New Roman" w:cs="Times New Roman"/>
          <w:color w:val="000000"/>
        </w:rPr>
        <w:t xml:space="preserve"> (D) </w:t>
      </w:r>
      <w:r w:rsidRPr="009C14FC">
        <w:rPr>
          <w:rFonts w:ascii="Times New Roman" w:hAnsi="Times New Roman" w:cs="Times New Roman"/>
          <w:color w:val="000000"/>
        </w:rPr>
        <w:t xml:space="preserve">scores </w:t>
      </w:r>
      <w:r>
        <w:rPr>
          <w:rFonts w:ascii="Times New Roman" w:hAnsi="Times New Roman" w:cs="Times New Roman"/>
          <w:color w:val="000000"/>
        </w:rPr>
        <w:t>between</w:t>
      </w:r>
      <w:r w:rsidRPr="00BE7E4A">
        <w:rPr>
          <w:rFonts w:ascii="Times New Roman" w:hAnsi="Times New Roman" w:cs="Times New Roman"/>
          <w:color w:val="000000"/>
        </w:rPr>
        <w:t xml:space="preserve"> the high-risk and low-risk groups.</w:t>
      </w:r>
      <w:r>
        <w:rPr>
          <w:rFonts w:ascii="Times New Roman" w:hAnsi="Times New Roman" w:cs="Times New Roman"/>
          <w:color w:val="000000"/>
        </w:rPr>
        <w:t xml:space="preserve"> (E) Comparison of the </w:t>
      </w:r>
      <w:r w:rsidRPr="00BE7E4A">
        <w:rPr>
          <w:rFonts w:ascii="Times New Roman" w:hAnsi="Times New Roman" w:cs="Times New Roman"/>
          <w:color w:val="000000"/>
        </w:rPr>
        <w:t xml:space="preserve">TIDE </w:t>
      </w:r>
      <w:r>
        <w:rPr>
          <w:rFonts w:ascii="Times New Roman" w:hAnsi="Times New Roman" w:cs="Times New Roman"/>
          <w:color w:val="000000"/>
        </w:rPr>
        <w:t xml:space="preserve">prediction scores </w:t>
      </w:r>
      <w:r w:rsidRPr="00BE7E4A">
        <w:rPr>
          <w:rFonts w:ascii="Times New Roman" w:hAnsi="Times New Roman" w:cs="Times New Roman"/>
          <w:color w:val="000000"/>
        </w:rPr>
        <w:t>between the high-risk and low-risk groups.</w:t>
      </w:r>
    </w:p>
    <w:p w14:paraId="1EC1018C" w14:textId="77777777" w:rsidR="00431183" w:rsidRDefault="00431183" w:rsidP="00431183">
      <w:pPr>
        <w:spacing w:line="480" w:lineRule="auto"/>
        <w:rPr>
          <w:rFonts w:ascii="Times New Roman" w:hAnsi="Times New Roman" w:cs="Times New Roman"/>
          <w:color w:val="000000"/>
        </w:rPr>
      </w:pPr>
      <w:r w:rsidRPr="008C4A59">
        <w:rPr>
          <w:rFonts w:ascii="Times New Roman" w:hAnsi="Times New Roman" w:cs="Times New Roman"/>
          <w:b/>
          <w:bCs/>
          <w:color w:val="000000"/>
        </w:rPr>
        <w:t>Supplementary Table 1.</w:t>
      </w:r>
      <w:r w:rsidRPr="00813EC1">
        <w:rPr>
          <w:rFonts w:ascii="Times New Roman" w:hAnsi="Times New Roman" w:cs="Times New Roman"/>
          <w:color w:val="000000"/>
        </w:rPr>
        <w:t xml:space="preserve"> Summary of the clinical characteristics in the TCGA cohort. </w:t>
      </w:r>
    </w:p>
    <w:p w14:paraId="6D650DF5" w14:textId="77777777" w:rsidR="00431183" w:rsidRPr="0081321A" w:rsidRDefault="00431183" w:rsidP="00431183">
      <w:pPr>
        <w:spacing w:line="480" w:lineRule="auto"/>
        <w:rPr>
          <w:rFonts w:ascii="Times New Roman" w:hAnsi="Times New Roman" w:cs="Times New Roman"/>
          <w:color w:val="000000"/>
        </w:rPr>
      </w:pPr>
      <w:r w:rsidRPr="008C4A59">
        <w:rPr>
          <w:rFonts w:ascii="Times New Roman" w:hAnsi="Times New Roman" w:cs="Times New Roman"/>
          <w:b/>
          <w:bCs/>
          <w:color w:val="000000"/>
        </w:rPr>
        <w:t>Supplementary Table 2.</w:t>
      </w:r>
      <w:r w:rsidRPr="00813EC1">
        <w:rPr>
          <w:rFonts w:ascii="Times New Roman" w:hAnsi="Times New Roman" w:cs="Times New Roman"/>
          <w:color w:val="000000"/>
        </w:rPr>
        <w:t xml:space="preserve"> The list of primer sequences in the analysis</w:t>
      </w:r>
    </w:p>
    <w:p w14:paraId="58D54F63" w14:textId="77777777" w:rsidR="00431183" w:rsidRPr="0081321A" w:rsidRDefault="00431183" w:rsidP="00431183">
      <w:pPr>
        <w:spacing w:line="480" w:lineRule="auto"/>
        <w:rPr>
          <w:rFonts w:ascii="Times New Roman" w:hAnsi="Times New Roman" w:cs="Times New Roman"/>
          <w:color w:val="000000"/>
        </w:rPr>
      </w:pPr>
      <w:r w:rsidRPr="008C4A59">
        <w:rPr>
          <w:rFonts w:ascii="Times New Roman" w:hAnsi="Times New Roman" w:cs="Times New Roman"/>
          <w:b/>
          <w:bCs/>
          <w:color w:val="000000"/>
        </w:rPr>
        <w:t xml:space="preserve">Supplementary Table </w:t>
      </w:r>
      <w:r w:rsidRPr="008C4A59">
        <w:rPr>
          <w:rFonts w:ascii="Times New Roman" w:hAnsi="Times New Roman" w:cs="Times New Roman" w:hint="eastAsia"/>
          <w:b/>
          <w:bCs/>
          <w:color w:val="000000"/>
        </w:rPr>
        <w:t>3</w:t>
      </w:r>
      <w:r w:rsidRPr="008C4A59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813EC1">
        <w:rPr>
          <w:rFonts w:ascii="Times New Roman" w:hAnsi="Times New Roman" w:cs="Times New Roman"/>
          <w:color w:val="000000"/>
        </w:rPr>
        <w:t>Univariate cox regression analysis of candidate prognostic genes.</w:t>
      </w:r>
    </w:p>
    <w:p w14:paraId="6BE2B0D5" w14:textId="77777777" w:rsidR="004B46AF" w:rsidRPr="00431183" w:rsidRDefault="004B46AF"/>
    <w:sectPr w:rsidR="004B46AF" w:rsidRPr="00431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8CA6C" w14:textId="77777777" w:rsidR="00D56C7D" w:rsidRDefault="00D56C7D" w:rsidP="00154C26">
      <w:r>
        <w:separator/>
      </w:r>
    </w:p>
  </w:endnote>
  <w:endnote w:type="continuationSeparator" w:id="0">
    <w:p w14:paraId="2C8DA583" w14:textId="77777777" w:rsidR="00D56C7D" w:rsidRDefault="00D56C7D" w:rsidP="0015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C83FE" w14:textId="77777777" w:rsidR="00D56C7D" w:rsidRDefault="00D56C7D" w:rsidP="00154C26">
      <w:r>
        <w:separator/>
      </w:r>
    </w:p>
  </w:footnote>
  <w:footnote w:type="continuationSeparator" w:id="0">
    <w:p w14:paraId="40ED71FF" w14:textId="77777777" w:rsidR="00D56C7D" w:rsidRDefault="00D56C7D" w:rsidP="00154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5A"/>
    <w:rsid w:val="00045006"/>
    <w:rsid w:val="00154C26"/>
    <w:rsid w:val="001B69C1"/>
    <w:rsid w:val="00283D0A"/>
    <w:rsid w:val="00431183"/>
    <w:rsid w:val="00494BA5"/>
    <w:rsid w:val="004B46AF"/>
    <w:rsid w:val="0089731F"/>
    <w:rsid w:val="0092635A"/>
    <w:rsid w:val="00B935AE"/>
    <w:rsid w:val="00C07470"/>
    <w:rsid w:val="00C676CA"/>
    <w:rsid w:val="00D56C7D"/>
    <w:rsid w:val="00FD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68F17"/>
  <w15:chartTrackingRefBased/>
  <w15:docId w15:val="{7A42B41D-47D7-4E57-A04E-B1792BCD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3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94BA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94BA5"/>
    <w:rPr>
      <w:rFonts w:ascii="等线" w:eastAsia="等线" w:hAnsi="等线" w:hint="eastAsia"/>
      <w:b w:val="0"/>
      <w:bCs w:val="0"/>
      <w:i w:val="0"/>
      <w:iCs w:val="0"/>
      <w:color w:val="00000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154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4C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4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4C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Guangyu</dc:creator>
  <cp:keywords/>
  <dc:description/>
  <cp:lastModifiedBy>陈 光宇</cp:lastModifiedBy>
  <cp:revision>8</cp:revision>
  <dcterms:created xsi:type="dcterms:W3CDTF">2021-10-05T08:54:00Z</dcterms:created>
  <dcterms:modified xsi:type="dcterms:W3CDTF">2022-11-02T14:52:00Z</dcterms:modified>
</cp:coreProperties>
</file>