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A2A30" w14:textId="77777777" w:rsidR="00DD0359" w:rsidRPr="00CA0B96" w:rsidRDefault="00DD0359" w:rsidP="00DD0359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CA0B96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Table 1:</w:t>
      </w:r>
      <w:r w:rsidRPr="00CA0B96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Description of the criteria and forms of analysis used to validate the analytical method for LYC quantification. Source: </w:t>
      </w:r>
      <w:r w:rsidRPr="00CA0B96">
        <w:rPr>
          <w:rFonts w:ascii="Times New Roman" w:hAnsi="Times New Roman"/>
          <w:color w:val="000000" w:themeColor="text1"/>
          <w:sz w:val="24"/>
          <w:szCs w:val="24"/>
        </w:rPr>
        <w:fldChar w:fldCharType="begin" w:fldLock="1"/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instrText>ADDIN CSL_CITATION {"citationItems":[{"id":"ITEM-1","itemData":{"DOI":"10.1111/j.1750-3841.2006.00163.x","ISSN":"0022-1147","author":[{"dropping-particle":"","family":"Mayeaux","given":"M.","non-dropping-particle":"","parse-names":false,"suffix":""},{"dropping-particle":"","family":"Xu","given":"Z.","non-dropping-particle":"","parse-names":false,"suffix":""},{"dropping-particle":"","family":"King","given":"J.M.","non-dropping-particle":"","parse-names":false,"suffix":""},{"dropping-particle":"","family":"Prinyawiwatkul","given":"W.","non-dropping-particle":"","parse-names":false,"suffix":""}],"container-title":"Journal of Food Science","id":"ITEM-1","issue":"8","issued":{"date-parts":[["2006","10"]]},"page":"C461-C464","title":"Effects of Cooking Conditions on the Lycopene Content in Tomatoes","type":"article-journal","volume":"71"},"uris":["http://www.mendeley.com/documents/?uuid=dc84fe4b-19de-465e-aa86-13a43acb9ebe"]},{"id":"ITEM-2","itemData":{"author":[{"dropping-particle":"","family":"Perez","given":"Mary Ângela Fávaro","non-dropping-particle":"","parse-names":false,"suffix":""}],"container-title":"Boletim de tecnologia e desenvolvimento de embalagens","id":"ITEM-2","issue":"3","issued":{"date-parts":[["2010"]]},"page":"1-9","title":"Validação de métodos anal{\\'\\i}ticos: Como fazer? Por que ela é importante","type":"article-journal","volume":"22"},"uris":["http://www.mendeley.com/documents/?uuid=f1fa5911-ed5d-4abd-a5ff-09a8bfa4d1fc"]},{"id":"ITEM-3","itemData":{"author":[{"dropping-particle":"","family":"Shi","given":"John","non-dropping-particle":"","parse-names":false,"suffix":""},{"dropping-particle":"Le","family":"Maguer","given":"Marc","non-dropping-particle":"","parse-names":false,"suffix":""}],"container-title":"Critical reviews in food science and nutrition","id":"ITEM-3","issue":"1","issued":{"date-parts":[["2000"]]},"page":"1-42","publisher":"Taylor &amp; Francis","title":"Lycopene in tomatoes: chemical and physical properties affected by food processing","type":"article-journal","volume":"40"},"uris":["http://www.mendeley.com/documents/?uuid=ae839acc-23d8-49c9-8f4c-2c6089538cf6"]},{"id":"ITEM-4","itemData":{"author":[{"dropping-particle":"","family":"International conference on harmonization","given":"","non-dropping-particle":"","parse-names":false,"suffix":""}],"container-title":"International conference on harmonization, Geneva, Switzerland","id":"ITEM-4","issued":{"date-parts":[["2005"]]},"title":"Validation of analytical procedures: text and methodology Q2 (R1)","type":"paper-conference"},"uris":["http://www.mendeley.com/documents/?uuid=e4532396-7376-44df-9ae5-622ac2ef27c7"]}],"mendeley":{"formattedCitation":"(International conference on harmonization, 2005; Mayeaux et al., 2006; Perez, 2010; Shi and Maguer, 2000)","plainTextFormattedCitation":"(International conference on harmonization, 2005; Mayeaux et al., 2006; Perez, 2010; Shi and Maguer, 2000)","previouslyFormattedCitation":"(International conference on harmonization, 2005; Mayeaux et al., 2006; Perez, 2010; Shi &amp; Maguer, 2000)"},"properties":{"noteIndex":0},"schema":"https://github.com/citation-style-language/schema/raw/master/csl-citation.json"}</w:instrText>
      </w:r>
      <w:r w:rsidRPr="00CA0B96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r w:rsidRPr="005A0617">
        <w:rPr>
          <w:rFonts w:ascii="Times New Roman" w:hAnsi="Times New Roman"/>
          <w:noProof/>
          <w:color w:val="000000" w:themeColor="text1"/>
          <w:sz w:val="24"/>
          <w:szCs w:val="24"/>
          <w:lang w:val="en-US"/>
        </w:rPr>
        <w:t>(International conference on harmonization, 2005; Mayeaux et al., 2006; Perez, 2010; Shi and Maguer, 2000)</w:t>
      </w:r>
      <w:r w:rsidRPr="00CA0B96">
        <w:rPr>
          <w:rFonts w:ascii="Times New Roman" w:hAnsi="Times New Roman"/>
          <w:color w:val="000000" w:themeColor="text1"/>
          <w:sz w:val="24"/>
          <w:szCs w:val="24"/>
          <w:lang w:val="en-US"/>
        </w:rPr>
        <w:fldChar w:fldCharType="end"/>
      </w:r>
      <w:r w:rsidRPr="00CA0B96">
        <w:rPr>
          <w:rFonts w:ascii="Times New Roman" w:hAnsi="Times New Roman"/>
          <w:color w:val="000000" w:themeColor="text1"/>
          <w:sz w:val="24"/>
          <w:szCs w:val="24"/>
          <w:lang w:val="en-US"/>
        </w:rPr>
        <w:t>.</w:t>
      </w:r>
    </w:p>
    <w:tbl>
      <w:tblPr>
        <w:tblW w:w="8505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753"/>
        <w:gridCol w:w="3618"/>
      </w:tblGrid>
      <w:tr w:rsidR="00DD0359" w:rsidRPr="00CA0B96" w14:paraId="232EB5F4" w14:textId="77777777" w:rsidTr="00261E04"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42714170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en-US"/>
              </w:rPr>
              <w:t>Criteria</w:t>
            </w:r>
          </w:p>
        </w:tc>
        <w:tc>
          <w:tcPr>
            <w:tcW w:w="3753" w:type="dxa"/>
            <w:tcBorders>
              <w:top w:val="single" w:sz="12" w:space="0" w:color="auto"/>
            </w:tcBorders>
            <w:vAlign w:val="center"/>
          </w:tcPr>
          <w:p w14:paraId="0DE842E7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en-US"/>
              </w:rPr>
              <w:t>Form of analysis</w:t>
            </w:r>
          </w:p>
        </w:tc>
        <w:tc>
          <w:tcPr>
            <w:tcW w:w="3618" w:type="dxa"/>
            <w:tcBorders>
              <w:top w:val="single" w:sz="12" w:space="0" w:color="auto"/>
            </w:tcBorders>
            <w:vAlign w:val="center"/>
          </w:tcPr>
          <w:p w14:paraId="225B49E6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Acceptance Criteria</w:t>
            </w:r>
          </w:p>
        </w:tc>
      </w:tr>
      <w:tr w:rsidR="00DD0359" w:rsidRPr="00CA0B96" w14:paraId="72E7B374" w14:textId="77777777" w:rsidTr="00261E04"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52070A5C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Accuracy</w:t>
            </w:r>
          </w:p>
        </w:tc>
        <w:tc>
          <w:tcPr>
            <w:tcW w:w="3753" w:type="dxa"/>
            <w:tcBorders>
              <w:top w:val="single" w:sz="12" w:space="0" w:color="auto"/>
            </w:tcBorders>
            <w:vAlign w:val="center"/>
          </w:tcPr>
          <w:p w14:paraId="73255884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Solutions of three different concentration levels (25, 75 and 125 µg/mL) were prepared in triplicate</w:t>
            </w:r>
          </w:p>
        </w:tc>
        <w:tc>
          <w:tcPr>
            <w:tcW w:w="3618" w:type="dxa"/>
            <w:tcBorders>
              <w:top w:val="single" w:sz="12" w:space="0" w:color="auto"/>
            </w:tcBorders>
            <w:vAlign w:val="center"/>
          </w:tcPr>
          <w:p w14:paraId="7AC1ABC6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Agreement degree on LYC recovery percentage (from 80% to 120%)</w:t>
            </w:r>
          </w:p>
        </w:tc>
      </w:tr>
      <w:tr w:rsidR="00DD0359" w:rsidRPr="00CA0B96" w14:paraId="1A94B4F3" w14:textId="77777777" w:rsidTr="00261E04">
        <w:tc>
          <w:tcPr>
            <w:tcW w:w="1134" w:type="dxa"/>
            <w:vAlign w:val="center"/>
          </w:tcPr>
          <w:p w14:paraId="3DDC51F7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Precision</w:t>
            </w:r>
          </w:p>
        </w:tc>
        <w:tc>
          <w:tcPr>
            <w:tcW w:w="3753" w:type="dxa"/>
            <w:vAlign w:val="center"/>
          </w:tcPr>
          <w:p w14:paraId="48414F11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Solutions were prepared, in triplicate, at three different concentration levels (25, 75 and 125 µg/mL), which were analyzed at different days.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In order to</w:t>
            </w:r>
            <w:proofErr w:type="gramEnd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 assess the intermediate accuracy, two different analysts carried out the above process</w:t>
            </w:r>
          </w:p>
        </w:tc>
        <w:tc>
          <w:tcPr>
            <w:tcW w:w="3618" w:type="dxa"/>
            <w:vAlign w:val="center"/>
          </w:tcPr>
          <w:p w14:paraId="0C830CF4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Determination of the proximity between the results obtained by calculating the relative standard deviation (acceptable: less than or equal to 5)</w:t>
            </w:r>
          </w:p>
        </w:tc>
      </w:tr>
      <w:tr w:rsidR="00DD0359" w:rsidRPr="00CA0B96" w14:paraId="3580F9C6" w14:textId="77777777" w:rsidTr="00261E04">
        <w:tc>
          <w:tcPr>
            <w:tcW w:w="1134" w:type="dxa"/>
            <w:vAlign w:val="center"/>
          </w:tcPr>
          <w:p w14:paraId="55EE8C9E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Range</w:t>
            </w:r>
          </w:p>
        </w:tc>
        <w:tc>
          <w:tcPr>
            <w:tcW w:w="3753" w:type="dxa"/>
            <w:vAlign w:val="center"/>
          </w:tcPr>
          <w:p w14:paraId="3B956809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Linearity,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precision</w:t>
            </w:r>
            <w:proofErr w:type="gramEnd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 and accuracy results interpretation</w:t>
            </w:r>
          </w:p>
        </w:tc>
        <w:tc>
          <w:tcPr>
            <w:tcW w:w="3618" w:type="dxa"/>
            <w:vAlign w:val="center"/>
          </w:tcPr>
          <w:p w14:paraId="6DC4E48D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Compatibility with the intended purpose</w:t>
            </w:r>
          </w:p>
        </w:tc>
      </w:tr>
      <w:tr w:rsidR="00DD0359" w:rsidRPr="00CA0B96" w14:paraId="7A671C44" w14:textId="77777777" w:rsidTr="00261E04">
        <w:tc>
          <w:tcPr>
            <w:tcW w:w="1134" w:type="dxa"/>
            <w:vAlign w:val="center"/>
          </w:tcPr>
          <w:p w14:paraId="2FFAE0D8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Selectivity (specificity)</w:t>
            </w:r>
          </w:p>
        </w:tc>
        <w:tc>
          <w:tcPr>
            <w:tcW w:w="3753" w:type="dxa"/>
            <w:vAlign w:val="center"/>
          </w:tcPr>
          <w:p w14:paraId="469095FC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Assessment of non-interference of substances present or possibly present in the sample, they are:</w:t>
            </w:r>
          </w:p>
          <w:p w14:paraId="33D6C462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-mobile phase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blank;</w:t>
            </w:r>
            <w:proofErr w:type="gramEnd"/>
          </w:p>
          <w:p w14:paraId="5138A34A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-MSN-R and MSN-C blank dispersed in solvent equal to the mobile phase composition and centrifuged at 4000 RPM for 15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min;</w:t>
            </w:r>
            <w:proofErr w:type="gramEnd"/>
          </w:p>
          <w:p w14:paraId="04DD36DC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-Different pH: neutral and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basic;</w:t>
            </w:r>
            <w:proofErr w:type="gramEnd"/>
          </w:p>
          <w:p w14:paraId="358E5BC2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-Degradation in 24 h by exposure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in:</w:t>
            </w:r>
            <w:proofErr w:type="gramEnd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 visible light; UV light; oxygen; heat (100 ºC for 60 min);</w:t>
            </w:r>
          </w:p>
          <w:p w14:paraId="3162E00B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Additionally, the reference chemical LYC was compared with the one used in the applicability assay</w:t>
            </w:r>
          </w:p>
        </w:tc>
        <w:tc>
          <w:tcPr>
            <w:tcW w:w="3618" w:type="dxa"/>
            <w:vAlign w:val="center"/>
          </w:tcPr>
          <w:p w14:paraId="3939D32C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Demonstration of the ability to identify and quantify LYC even in the presence of the mentioned factors and components by comparing the chromatograms</w:t>
            </w:r>
          </w:p>
        </w:tc>
      </w:tr>
      <w:tr w:rsidR="00DD0359" w:rsidRPr="00CA0B96" w14:paraId="0EDBE442" w14:textId="77777777" w:rsidTr="00261E04">
        <w:trPr>
          <w:trHeight w:val="1849"/>
        </w:trPr>
        <w:tc>
          <w:tcPr>
            <w:tcW w:w="1134" w:type="dxa"/>
            <w:vAlign w:val="center"/>
          </w:tcPr>
          <w:p w14:paraId="60B46260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DL</w:t>
            </w:r>
          </w:p>
        </w:tc>
        <w:tc>
          <w:tcPr>
            <w:tcW w:w="3753" w:type="dxa"/>
            <w:vAlign w:val="center"/>
          </w:tcPr>
          <w:p w14:paraId="032ED884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Calculated through the residual’s standard deviation, obtained in the linearity statistical analysis and through the intersection of the straight line of a linear regression (constructed by three linearity curves):</w:t>
            </w:r>
          </w:p>
          <w:p w14:paraId="3734F90D" w14:textId="77777777" w:rsidR="00DD0359" w:rsidRPr="00CA0B96" w:rsidRDefault="00DD0359" w:rsidP="00261E04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6432AF1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/>
                    <w:color w:val="000000" w:themeColor="text1"/>
                    <w:kern w:val="1"/>
                    <w:sz w:val="18"/>
                    <w:szCs w:val="18"/>
                    <w:lang w:eastAsia="ar-SA"/>
                  </w:rPr>
                  <m:t>DL:</m:t>
                </m:r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color w:val="000000" w:themeColor="text1"/>
                        <w:kern w:val="1"/>
                        <w:sz w:val="18"/>
                        <w:szCs w:val="18"/>
                        <w:lang w:eastAsia="ar-S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color w:val="000000" w:themeColor="text1"/>
                        <w:kern w:val="1"/>
                        <w:sz w:val="18"/>
                        <w:szCs w:val="18"/>
                        <w:lang w:eastAsia="ar-SA"/>
                      </w:rPr>
                      <m:t>3.3 x residuals standard deviation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color w:val="000000" w:themeColor="text1"/>
                        <w:kern w:val="1"/>
                        <w:sz w:val="18"/>
                        <w:szCs w:val="18"/>
                        <w:lang w:eastAsia="ar-SA"/>
                      </w:rPr>
                      <m:t>calibration curve intersection</m:t>
                    </m:r>
                  </m:den>
                </m:f>
              </m:oMath>
            </m:oMathPara>
          </w:p>
        </w:tc>
        <w:tc>
          <w:tcPr>
            <w:tcW w:w="3618" w:type="dxa"/>
            <w:vAlign w:val="center"/>
          </w:tcPr>
          <w:p w14:paraId="59D3010B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Analysis of the result obtained in the calculation</w:t>
            </w:r>
          </w:p>
        </w:tc>
      </w:tr>
      <w:tr w:rsidR="00DD0359" w:rsidRPr="00CA0B96" w14:paraId="1EEDC870" w14:textId="77777777" w:rsidTr="00261E04">
        <w:trPr>
          <w:trHeight w:val="1820"/>
        </w:trPr>
        <w:tc>
          <w:tcPr>
            <w:tcW w:w="1134" w:type="dxa"/>
            <w:vAlign w:val="center"/>
          </w:tcPr>
          <w:p w14:paraId="24D0629D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QL</w:t>
            </w:r>
          </w:p>
        </w:tc>
        <w:tc>
          <w:tcPr>
            <w:tcW w:w="3753" w:type="dxa"/>
            <w:vAlign w:val="center"/>
          </w:tcPr>
          <w:p w14:paraId="6963E212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Calculated through the residual’s standard deviation, obtained in the linearity statistical analysis and through the intersection of the straight line of a linear regression (constructed by three linearity curves):</w:t>
            </w:r>
          </w:p>
          <w:p w14:paraId="37E4BFDB" w14:textId="77777777" w:rsidR="00DD0359" w:rsidRPr="00CA0B96" w:rsidRDefault="00DD0359" w:rsidP="00261E04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DA0FCF0" w14:textId="77777777" w:rsidR="00DD0359" w:rsidRPr="00CA0B96" w:rsidRDefault="00DD0359" w:rsidP="00261E04">
            <w:pPr>
              <w:spacing w:after="0" w:line="240" w:lineRule="auto"/>
              <w:ind w:left="709" w:firstLine="708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/>
                    <w:color w:val="000000" w:themeColor="text1"/>
                    <w:kern w:val="1"/>
                    <w:sz w:val="18"/>
                    <w:szCs w:val="18"/>
                    <w:lang w:eastAsia="ar-SA"/>
                  </w:rPr>
                  <m:t>QL:</m:t>
                </m:r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color w:val="000000" w:themeColor="text1"/>
                        <w:kern w:val="1"/>
                        <w:sz w:val="18"/>
                        <w:szCs w:val="18"/>
                        <w:lang w:eastAsia="ar-S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color w:val="000000" w:themeColor="text1"/>
                        <w:kern w:val="1"/>
                        <w:sz w:val="18"/>
                        <w:szCs w:val="18"/>
                        <w:lang w:eastAsia="ar-SA"/>
                      </w:rPr>
                      <m:t xml:space="preserve">10 x residuals standard deviation 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color w:val="000000" w:themeColor="text1"/>
                        <w:kern w:val="1"/>
                        <w:sz w:val="18"/>
                        <w:szCs w:val="18"/>
                        <w:lang w:eastAsia="ar-SA"/>
                      </w:rPr>
                      <m:t>calibration curve intersection</m:t>
                    </m:r>
                  </m:den>
                </m:f>
              </m:oMath>
            </m:oMathPara>
          </w:p>
        </w:tc>
        <w:tc>
          <w:tcPr>
            <w:tcW w:w="3618" w:type="dxa"/>
            <w:vAlign w:val="center"/>
          </w:tcPr>
          <w:p w14:paraId="04146EDD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Analysis of the result obtained in the calculation</w:t>
            </w:r>
          </w:p>
        </w:tc>
      </w:tr>
      <w:tr w:rsidR="00DD0359" w:rsidRPr="00CA0B96" w14:paraId="695B6C37" w14:textId="77777777" w:rsidTr="00261E04">
        <w:tc>
          <w:tcPr>
            <w:tcW w:w="1134" w:type="dxa"/>
            <w:vAlign w:val="center"/>
          </w:tcPr>
          <w:p w14:paraId="232F345A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Linearity</w:t>
            </w:r>
          </w:p>
        </w:tc>
        <w:tc>
          <w:tcPr>
            <w:tcW w:w="3753" w:type="dxa"/>
            <w:vAlign w:val="center"/>
          </w:tcPr>
          <w:p w14:paraId="64F814FE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Solutions at 5 concentration levels (25, 50, 75, 100 and 125 µg/mL) were prepared in triplicate</w:t>
            </w:r>
          </w:p>
        </w:tc>
        <w:tc>
          <w:tcPr>
            <w:tcW w:w="3618" w:type="dxa"/>
            <w:vAlign w:val="center"/>
          </w:tcPr>
          <w:p w14:paraId="1C4A4C3C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GB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The square of the correlation coefficient (R</w:t>
            </w: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2</w:t>
            </w: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), obtained through linear regression analysis, must be above 0.990. </w:t>
            </w: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GB"/>
              </w:rPr>
              <w:t>Additionally, data homoscedasticity proof was performed</w:t>
            </w:r>
          </w:p>
        </w:tc>
      </w:tr>
      <w:tr w:rsidR="00DD0359" w:rsidRPr="00CA0B96" w14:paraId="052550B7" w14:textId="77777777" w:rsidTr="00261E04"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35372B0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Robustness</w:t>
            </w:r>
          </w:p>
        </w:tc>
        <w:tc>
          <w:tcPr>
            <w:tcW w:w="3753" w:type="dxa"/>
            <w:tcBorders>
              <w:bottom w:val="single" w:sz="12" w:space="0" w:color="auto"/>
            </w:tcBorders>
            <w:vAlign w:val="center"/>
          </w:tcPr>
          <w:p w14:paraId="6363BBAD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Small variations were analyzed in:</w:t>
            </w:r>
          </w:p>
          <w:p w14:paraId="0423D1DD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 proportion of the mobile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phase;</w:t>
            </w:r>
            <w:proofErr w:type="gramEnd"/>
          </w:p>
          <w:p w14:paraId="6D36C1FB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 mobile phase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flow;</w:t>
            </w:r>
            <w:proofErr w:type="gramEnd"/>
          </w:p>
          <w:p w14:paraId="68BCAAF3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 xml:space="preserve">-injection </w:t>
            </w:r>
            <w:proofErr w:type="gramStart"/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volume;</w:t>
            </w:r>
            <w:proofErr w:type="gramEnd"/>
          </w:p>
          <w:p w14:paraId="28F7145B" w14:textId="77777777" w:rsidR="00DD0359" w:rsidRPr="00CA0B96" w:rsidRDefault="00DD0359" w:rsidP="00261E0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-column oven temperature</w:t>
            </w:r>
          </w:p>
          <w:p w14:paraId="29D4A600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These analyzes were performed at the average concentration (75 µg/mL)</w:t>
            </w:r>
          </w:p>
        </w:tc>
        <w:tc>
          <w:tcPr>
            <w:tcW w:w="3618" w:type="dxa"/>
            <w:tcBorders>
              <w:bottom w:val="single" w:sz="12" w:space="0" w:color="auto"/>
            </w:tcBorders>
            <w:vAlign w:val="center"/>
          </w:tcPr>
          <w:p w14:paraId="5DF117A7" w14:textId="77777777" w:rsidR="00DD0359" w:rsidRPr="00CA0B96" w:rsidRDefault="00DD0359" w:rsidP="00261E0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</w:pPr>
            <w:r w:rsidRPr="00CA0B96">
              <w:rPr>
                <w:rFonts w:ascii="Times New Roman" w:hAnsi="Times New Roman"/>
                <w:color w:val="000000" w:themeColor="text1"/>
                <w:sz w:val="18"/>
                <w:szCs w:val="18"/>
                <w:lang w:val="en-US"/>
              </w:rPr>
              <w:t>Verification of the method's ability to resist small but deliberate variations using the accuracy criteria</w:t>
            </w:r>
          </w:p>
        </w:tc>
      </w:tr>
    </w:tbl>
    <w:p w14:paraId="0396374E" w14:textId="77777777" w:rsidR="00DD0359" w:rsidRPr="00CA0B96" w:rsidRDefault="00DD0359" w:rsidP="00DD035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34D4921A" w14:textId="77777777" w:rsidR="00844240" w:rsidRDefault="00844240"/>
    <w:sectPr w:rsidR="00844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359"/>
    <w:rsid w:val="00844240"/>
    <w:rsid w:val="00DD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59FC3"/>
  <w15:chartTrackingRefBased/>
  <w15:docId w15:val="{ABEB3FF4-E536-4D72-B265-35E4A2BD3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359"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923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2023-04-13T19:54:00Z</dcterms:created>
  <dcterms:modified xsi:type="dcterms:W3CDTF">2023-04-13T19:55:00Z</dcterms:modified>
</cp:coreProperties>
</file>