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116A5" w14:textId="77777777" w:rsidR="00570C87" w:rsidRPr="00CF3F64" w:rsidRDefault="00570C87" w:rsidP="00570C87">
      <w:pPr>
        <w:spacing w:line="360" w:lineRule="auto"/>
        <w:rPr>
          <w:rFonts w:asciiTheme="majorBidi" w:hAnsiTheme="majorBidi" w:cstheme="majorBidi"/>
          <w:szCs w:val="18"/>
          <w:lang w:bidi="fa-IR"/>
        </w:rPr>
      </w:pPr>
      <w:r w:rsidRPr="00CF3F64">
        <w:rPr>
          <w:rFonts w:asciiTheme="majorBidi" w:hAnsiTheme="majorBidi" w:cstheme="majorBidi"/>
          <w:b/>
          <w:bCs/>
          <w:szCs w:val="18"/>
          <w:lang w:bidi="fa-IR"/>
        </w:rPr>
        <w:t xml:space="preserve">Table 1. </w:t>
      </w:r>
      <w:r w:rsidRPr="00CF3F64">
        <w:rPr>
          <w:rFonts w:asciiTheme="majorBidi" w:hAnsiTheme="majorBidi" w:cstheme="majorBidi"/>
          <w:szCs w:val="18"/>
          <w:lang w:bidi="fa-IR"/>
        </w:rPr>
        <w:t>Optimization of the conditions for the model reaction in the presence of TA/PEI and TA/PEI/</w:t>
      </w:r>
      <w:r w:rsidRPr="00CF3F64">
        <w:rPr>
          <w:rFonts w:asciiTheme="majorBidi" w:hAnsiTheme="majorBidi" w:cstheme="majorBidi"/>
          <w:szCs w:val="18"/>
          <w:rtl/>
          <w:lang w:bidi="fa-IR"/>
        </w:rPr>
        <w:t xml:space="preserve"> </w:t>
      </w:r>
      <w:r w:rsidRPr="00CF3F64">
        <w:rPr>
          <w:rFonts w:asciiTheme="majorBidi" w:hAnsiTheme="majorBidi" w:cstheme="majorBidi"/>
          <w:szCs w:val="18"/>
          <w:lang w:bidi="fa-IR"/>
        </w:rPr>
        <w:t>Magnetic,</w:t>
      </w:r>
      <w:r w:rsidRPr="00CF3F64">
        <w:rPr>
          <w:rFonts w:asciiTheme="majorBidi" w:hAnsiTheme="majorBidi" w:cstheme="majorBidi"/>
          <w:szCs w:val="18"/>
          <w:rtl/>
          <w:lang w:bidi="fa-IR"/>
        </w:rPr>
        <w:t xml:space="preserve"> </w:t>
      </w:r>
      <w:r w:rsidRPr="00CF3F64">
        <w:rPr>
          <w:rFonts w:asciiTheme="majorBidi" w:hAnsiTheme="majorBidi" w:cstheme="majorBidi"/>
          <w:szCs w:val="18"/>
          <w:lang w:bidi="fa-IR"/>
        </w:rPr>
        <w:t>TPMS</w:t>
      </w:r>
      <w:r w:rsidRPr="00CF3F64">
        <w:rPr>
          <w:rFonts w:asciiTheme="majorBidi" w:hAnsiTheme="majorBidi" w:cstheme="majorBidi"/>
          <w:szCs w:val="18"/>
          <w:rtl/>
          <w:lang w:bidi="fa-IR"/>
        </w:rPr>
        <w:t>.</w:t>
      </w:r>
    </w:p>
    <w:tbl>
      <w:tblPr>
        <w:tblStyle w:val="GridTable6Colorful-Accent3"/>
        <w:tblW w:w="0" w:type="auto"/>
        <w:tblLook w:val="04A0" w:firstRow="1" w:lastRow="0" w:firstColumn="1" w:lastColumn="0" w:noHBand="0" w:noVBand="1"/>
      </w:tblPr>
      <w:tblGrid>
        <w:gridCol w:w="1151"/>
        <w:gridCol w:w="1537"/>
        <w:gridCol w:w="1263"/>
        <w:gridCol w:w="1275"/>
        <w:gridCol w:w="1499"/>
        <w:gridCol w:w="1479"/>
        <w:gridCol w:w="1146"/>
      </w:tblGrid>
      <w:tr w:rsidR="00570C87" w:rsidRPr="00CF3F64" w14:paraId="13632A7D" w14:textId="77777777" w:rsidTr="00241D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2" w:type="dxa"/>
            <w:gridSpan w:val="7"/>
            <w:vAlign w:val="center"/>
          </w:tcPr>
          <w:p w14:paraId="492E619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b w:val="0"/>
                <w:bCs w:val="0"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 w:val="0"/>
                <w:bCs w:val="0"/>
                <w:noProof/>
              </w:rPr>
              <w:object w:dxaOrig="9291" w:dyaOrig="1946" w14:anchorId="7BB9BBE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5.5pt;height:95.5pt" o:ole="">
                  <v:imagedata r:id="rId4" o:title=""/>
                </v:shape>
                <o:OLEObject Type="Embed" ProgID="ChemDraw.Document.6.0" ShapeID="_x0000_i1025" DrawAspect="Content" ObjectID="_1736931885" r:id="rId5"/>
              </w:object>
            </w:r>
          </w:p>
        </w:tc>
      </w:tr>
      <w:tr w:rsidR="00570C87" w:rsidRPr="00CF3F64" w14:paraId="20EFADA5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5E61B33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Entry</w:t>
            </w:r>
          </w:p>
        </w:tc>
        <w:tc>
          <w:tcPr>
            <w:tcW w:w="1443" w:type="dxa"/>
            <w:vAlign w:val="center"/>
          </w:tcPr>
          <w:p w14:paraId="6524E22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Catalyst</w:t>
            </w:r>
          </w:p>
        </w:tc>
        <w:tc>
          <w:tcPr>
            <w:tcW w:w="1156" w:type="dxa"/>
            <w:vAlign w:val="center"/>
          </w:tcPr>
          <w:p w14:paraId="5303D8B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Product</w:t>
            </w:r>
          </w:p>
        </w:tc>
        <w:tc>
          <w:tcPr>
            <w:tcW w:w="1159" w:type="dxa"/>
            <w:vAlign w:val="center"/>
          </w:tcPr>
          <w:p w14:paraId="559DBE5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Catalyst loading</w:t>
            </w:r>
          </w:p>
        </w:tc>
        <w:tc>
          <w:tcPr>
            <w:tcW w:w="1323" w:type="dxa"/>
            <w:vAlign w:val="center"/>
          </w:tcPr>
          <w:p w14:paraId="1F9B217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Conditions</w:t>
            </w:r>
          </w:p>
        </w:tc>
        <w:tc>
          <w:tcPr>
            <w:tcW w:w="1310" w:type="dxa"/>
            <w:vAlign w:val="center"/>
          </w:tcPr>
          <w:p w14:paraId="1D5F854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Time(min)</w:t>
            </w:r>
          </w:p>
        </w:tc>
        <w:tc>
          <w:tcPr>
            <w:tcW w:w="1165" w:type="dxa"/>
            <w:vAlign w:val="center"/>
          </w:tcPr>
          <w:p w14:paraId="7488033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Yield (%)</w:t>
            </w:r>
          </w:p>
        </w:tc>
      </w:tr>
      <w:tr w:rsidR="00570C87" w:rsidRPr="00CF3F64" w14:paraId="41B05F55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25E55EF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</w:t>
            </w:r>
          </w:p>
        </w:tc>
        <w:tc>
          <w:tcPr>
            <w:tcW w:w="1443" w:type="dxa"/>
            <w:vAlign w:val="center"/>
          </w:tcPr>
          <w:p w14:paraId="6B7A1E1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TA/PEI</w:t>
            </w:r>
          </w:p>
        </w:tc>
        <w:tc>
          <w:tcPr>
            <w:tcW w:w="1156" w:type="dxa"/>
            <w:vAlign w:val="center"/>
          </w:tcPr>
          <w:p w14:paraId="46E2820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5a</w:t>
            </w:r>
          </w:p>
        </w:tc>
        <w:tc>
          <w:tcPr>
            <w:tcW w:w="1159" w:type="dxa"/>
            <w:vAlign w:val="center"/>
          </w:tcPr>
          <w:p w14:paraId="7AA2F64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323" w:type="dxa"/>
            <w:vAlign w:val="center"/>
          </w:tcPr>
          <w:p w14:paraId="58CEA9F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/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80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˚C</w:t>
            </w:r>
          </w:p>
        </w:tc>
        <w:tc>
          <w:tcPr>
            <w:tcW w:w="1310" w:type="dxa"/>
            <w:vAlign w:val="center"/>
          </w:tcPr>
          <w:p w14:paraId="0B5ADD4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45</w:t>
            </w:r>
          </w:p>
        </w:tc>
        <w:tc>
          <w:tcPr>
            <w:tcW w:w="1165" w:type="dxa"/>
            <w:vAlign w:val="center"/>
          </w:tcPr>
          <w:p w14:paraId="37E75B8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70</w:t>
            </w:r>
          </w:p>
        </w:tc>
      </w:tr>
      <w:tr w:rsidR="00570C87" w:rsidRPr="00CF3F64" w14:paraId="02C41E6B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2646065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2</w:t>
            </w:r>
          </w:p>
        </w:tc>
        <w:tc>
          <w:tcPr>
            <w:tcW w:w="1443" w:type="dxa"/>
            <w:vAlign w:val="center"/>
          </w:tcPr>
          <w:p w14:paraId="676CFB0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TA/PEI/M</w:t>
            </w:r>
          </w:p>
        </w:tc>
        <w:tc>
          <w:tcPr>
            <w:tcW w:w="1156" w:type="dxa"/>
            <w:vAlign w:val="center"/>
          </w:tcPr>
          <w:p w14:paraId="5AE674A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5a</w:t>
            </w:r>
          </w:p>
        </w:tc>
        <w:tc>
          <w:tcPr>
            <w:tcW w:w="1159" w:type="dxa"/>
            <w:vAlign w:val="center"/>
          </w:tcPr>
          <w:p w14:paraId="561657A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323" w:type="dxa"/>
            <w:vAlign w:val="center"/>
          </w:tcPr>
          <w:p w14:paraId="322E715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/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80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˚C</w:t>
            </w:r>
          </w:p>
        </w:tc>
        <w:tc>
          <w:tcPr>
            <w:tcW w:w="1310" w:type="dxa"/>
            <w:vAlign w:val="center"/>
          </w:tcPr>
          <w:p w14:paraId="3ABF339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30</w:t>
            </w:r>
          </w:p>
        </w:tc>
        <w:tc>
          <w:tcPr>
            <w:tcW w:w="1165" w:type="dxa"/>
            <w:vAlign w:val="center"/>
          </w:tcPr>
          <w:p w14:paraId="542AA33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80</w:t>
            </w:r>
          </w:p>
        </w:tc>
      </w:tr>
      <w:tr w:rsidR="00570C87" w:rsidRPr="00CF3F64" w14:paraId="7B39E15F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38CFB38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  <w:t>3</w:t>
            </w:r>
          </w:p>
        </w:tc>
        <w:tc>
          <w:tcPr>
            <w:tcW w:w="1443" w:type="dxa"/>
            <w:vAlign w:val="center"/>
          </w:tcPr>
          <w:p w14:paraId="1326446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3E1A89B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5a</w:t>
            </w:r>
          </w:p>
        </w:tc>
        <w:tc>
          <w:tcPr>
            <w:tcW w:w="1159" w:type="dxa"/>
            <w:vAlign w:val="center"/>
          </w:tcPr>
          <w:p w14:paraId="1B22261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0.01</w:t>
            </w:r>
          </w:p>
        </w:tc>
        <w:tc>
          <w:tcPr>
            <w:tcW w:w="1323" w:type="dxa"/>
            <w:vAlign w:val="center"/>
          </w:tcPr>
          <w:p w14:paraId="081B4C4C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EtOH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/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80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˚C</w:t>
            </w:r>
          </w:p>
        </w:tc>
        <w:tc>
          <w:tcPr>
            <w:tcW w:w="1310" w:type="dxa"/>
            <w:vAlign w:val="center"/>
          </w:tcPr>
          <w:p w14:paraId="1A4AA53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15</w:t>
            </w:r>
          </w:p>
        </w:tc>
        <w:tc>
          <w:tcPr>
            <w:tcW w:w="1165" w:type="dxa"/>
            <w:vAlign w:val="center"/>
          </w:tcPr>
          <w:p w14:paraId="3CB15C9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94</w:t>
            </w:r>
          </w:p>
        </w:tc>
      </w:tr>
      <w:tr w:rsidR="00570C87" w:rsidRPr="00CF3F64" w14:paraId="79FABBAC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7687F58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4</w:t>
            </w:r>
          </w:p>
        </w:tc>
        <w:tc>
          <w:tcPr>
            <w:tcW w:w="1443" w:type="dxa"/>
            <w:vAlign w:val="center"/>
          </w:tcPr>
          <w:p w14:paraId="58E2BA7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0D186EA1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7D58D29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</w:p>
        </w:tc>
        <w:tc>
          <w:tcPr>
            <w:tcW w:w="1323" w:type="dxa"/>
            <w:vAlign w:val="center"/>
          </w:tcPr>
          <w:p w14:paraId="53936B8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59910C4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15</w:t>
            </w:r>
          </w:p>
        </w:tc>
        <w:tc>
          <w:tcPr>
            <w:tcW w:w="1165" w:type="dxa"/>
            <w:vAlign w:val="center"/>
          </w:tcPr>
          <w:p w14:paraId="2C920C9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94</w:t>
            </w:r>
          </w:p>
        </w:tc>
      </w:tr>
      <w:tr w:rsidR="00570C87" w:rsidRPr="00CF3F64" w14:paraId="6E53B0D7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22FEB11E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5</w:t>
            </w:r>
          </w:p>
        </w:tc>
        <w:tc>
          <w:tcPr>
            <w:tcW w:w="1443" w:type="dxa"/>
            <w:vAlign w:val="center"/>
          </w:tcPr>
          <w:p w14:paraId="1FDD9AA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1382A87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1685FF7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</w:p>
        </w:tc>
        <w:tc>
          <w:tcPr>
            <w:tcW w:w="1323" w:type="dxa"/>
            <w:vAlign w:val="center"/>
          </w:tcPr>
          <w:p w14:paraId="2DA5C24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r.t</w:t>
            </w:r>
          </w:p>
        </w:tc>
        <w:tc>
          <w:tcPr>
            <w:tcW w:w="1310" w:type="dxa"/>
            <w:vAlign w:val="center"/>
          </w:tcPr>
          <w:p w14:paraId="4B1B266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35</w:t>
            </w:r>
          </w:p>
        </w:tc>
        <w:tc>
          <w:tcPr>
            <w:tcW w:w="1165" w:type="dxa"/>
            <w:vAlign w:val="center"/>
          </w:tcPr>
          <w:p w14:paraId="6B9C82D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80</w:t>
            </w:r>
          </w:p>
        </w:tc>
      </w:tr>
      <w:tr w:rsidR="00570C87" w:rsidRPr="00CF3F64" w14:paraId="6D3F0330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1BB4205E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6</w:t>
            </w:r>
          </w:p>
        </w:tc>
        <w:tc>
          <w:tcPr>
            <w:tcW w:w="1443" w:type="dxa"/>
            <w:vAlign w:val="center"/>
          </w:tcPr>
          <w:p w14:paraId="684A7E2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0CD68D5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1DF9F18B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vertAlign w:val="subscript"/>
                <w:lang w:bidi="fa-IR"/>
              </w:rPr>
              <w:t>2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O</w:t>
            </w:r>
          </w:p>
        </w:tc>
        <w:tc>
          <w:tcPr>
            <w:tcW w:w="1323" w:type="dxa"/>
            <w:vAlign w:val="center"/>
          </w:tcPr>
          <w:p w14:paraId="18B4234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51BA6D6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25</w:t>
            </w:r>
          </w:p>
        </w:tc>
        <w:tc>
          <w:tcPr>
            <w:tcW w:w="1165" w:type="dxa"/>
            <w:vAlign w:val="center"/>
          </w:tcPr>
          <w:p w14:paraId="7804DA7E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85</w:t>
            </w:r>
          </w:p>
        </w:tc>
      </w:tr>
      <w:tr w:rsidR="00570C87" w:rsidRPr="00CF3F64" w14:paraId="18E49DF5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256A4C8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7</w:t>
            </w:r>
          </w:p>
        </w:tc>
        <w:tc>
          <w:tcPr>
            <w:tcW w:w="1443" w:type="dxa"/>
            <w:vAlign w:val="center"/>
          </w:tcPr>
          <w:p w14:paraId="7A07069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7A950BD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42F37B6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vertAlign w:val="subscript"/>
                <w:lang w:bidi="fa-IR"/>
              </w:rPr>
              <w:t>2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O</w:t>
            </w:r>
          </w:p>
        </w:tc>
        <w:tc>
          <w:tcPr>
            <w:tcW w:w="1323" w:type="dxa"/>
            <w:vAlign w:val="center"/>
          </w:tcPr>
          <w:p w14:paraId="11D167CC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r.t.</w:t>
            </w:r>
          </w:p>
        </w:tc>
        <w:tc>
          <w:tcPr>
            <w:tcW w:w="1310" w:type="dxa"/>
            <w:vAlign w:val="center"/>
          </w:tcPr>
          <w:p w14:paraId="2987C6FE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45</w:t>
            </w:r>
          </w:p>
        </w:tc>
        <w:tc>
          <w:tcPr>
            <w:tcW w:w="1165" w:type="dxa"/>
            <w:vAlign w:val="center"/>
          </w:tcPr>
          <w:p w14:paraId="58E9B57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65</w:t>
            </w:r>
          </w:p>
        </w:tc>
      </w:tr>
      <w:tr w:rsidR="00570C87" w:rsidRPr="00CF3F64" w14:paraId="39765313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158C8B2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8</w:t>
            </w:r>
          </w:p>
        </w:tc>
        <w:tc>
          <w:tcPr>
            <w:tcW w:w="1443" w:type="dxa"/>
            <w:vAlign w:val="center"/>
          </w:tcPr>
          <w:p w14:paraId="4BC35E7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210CBCE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00B7951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/ 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vertAlign w:val="subscript"/>
                <w:lang w:bidi="fa-IR"/>
              </w:rPr>
              <w:t>2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O</w:t>
            </w:r>
          </w:p>
          <w:p w14:paraId="1DDEEBB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(1:1)</w:t>
            </w:r>
          </w:p>
        </w:tc>
        <w:tc>
          <w:tcPr>
            <w:tcW w:w="1323" w:type="dxa"/>
            <w:vAlign w:val="center"/>
          </w:tcPr>
          <w:p w14:paraId="0C05C851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54E27B91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25</w:t>
            </w:r>
          </w:p>
        </w:tc>
        <w:tc>
          <w:tcPr>
            <w:tcW w:w="1165" w:type="dxa"/>
            <w:vAlign w:val="center"/>
          </w:tcPr>
          <w:p w14:paraId="0FAB4B5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75</w:t>
            </w:r>
          </w:p>
        </w:tc>
      </w:tr>
      <w:tr w:rsidR="00570C87" w:rsidRPr="00CF3F64" w14:paraId="7BE036E1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0B5DCD2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9</w:t>
            </w:r>
          </w:p>
        </w:tc>
        <w:tc>
          <w:tcPr>
            <w:tcW w:w="1443" w:type="dxa"/>
            <w:vAlign w:val="center"/>
          </w:tcPr>
          <w:p w14:paraId="2894356C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58D24B6C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1159" w:type="dxa"/>
            <w:vAlign w:val="center"/>
          </w:tcPr>
          <w:p w14:paraId="16A44A4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rtl/>
                <w:lang w:bidi="fa-IR"/>
              </w:rPr>
              <w:t xml:space="preserve"> 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/ H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vertAlign w:val="subscript"/>
                <w:lang w:bidi="fa-IR"/>
              </w:rPr>
              <w:t>2</w:t>
            </w: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O</w:t>
            </w:r>
          </w:p>
          <w:p w14:paraId="37C12ED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(1:1)</w:t>
            </w:r>
          </w:p>
        </w:tc>
        <w:tc>
          <w:tcPr>
            <w:tcW w:w="1323" w:type="dxa"/>
            <w:vAlign w:val="center"/>
          </w:tcPr>
          <w:p w14:paraId="092E29A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r.t.</w:t>
            </w:r>
          </w:p>
        </w:tc>
        <w:tc>
          <w:tcPr>
            <w:tcW w:w="1310" w:type="dxa"/>
            <w:vAlign w:val="center"/>
          </w:tcPr>
          <w:p w14:paraId="4AFF91D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60</w:t>
            </w:r>
          </w:p>
        </w:tc>
        <w:tc>
          <w:tcPr>
            <w:tcW w:w="1165" w:type="dxa"/>
            <w:vAlign w:val="center"/>
          </w:tcPr>
          <w:p w14:paraId="498B30E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55</w:t>
            </w:r>
          </w:p>
        </w:tc>
      </w:tr>
      <w:tr w:rsidR="00570C87" w:rsidRPr="00CF3F64" w14:paraId="547B2EDB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63A6469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  <w:t>10</w:t>
            </w:r>
          </w:p>
        </w:tc>
        <w:tc>
          <w:tcPr>
            <w:tcW w:w="1443" w:type="dxa"/>
            <w:vAlign w:val="center"/>
          </w:tcPr>
          <w:p w14:paraId="7CEE8AE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6652E84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0.007</w:t>
            </w:r>
          </w:p>
        </w:tc>
        <w:tc>
          <w:tcPr>
            <w:tcW w:w="1159" w:type="dxa"/>
            <w:vAlign w:val="center"/>
          </w:tcPr>
          <w:p w14:paraId="15A4CBA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EtOH</w:t>
            </w:r>
          </w:p>
        </w:tc>
        <w:tc>
          <w:tcPr>
            <w:tcW w:w="1323" w:type="dxa"/>
            <w:vAlign w:val="center"/>
          </w:tcPr>
          <w:p w14:paraId="6E2658F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502F6FD1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45</w:t>
            </w:r>
          </w:p>
        </w:tc>
        <w:tc>
          <w:tcPr>
            <w:tcW w:w="1165" w:type="dxa"/>
            <w:vAlign w:val="center"/>
          </w:tcPr>
          <w:p w14:paraId="46E1836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  <w:t>84</w:t>
            </w:r>
          </w:p>
        </w:tc>
      </w:tr>
      <w:tr w:rsidR="00570C87" w:rsidRPr="00CF3F64" w14:paraId="06251FDC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14C16DF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lastRenderedPageBreak/>
              <w:t>11</w:t>
            </w:r>
          </w:p>
        </w:tc>
        <w:tc>
          <w:tcPr>
            <w:tcW w:w="1443" w:type="dxa"/>
            <w:vAlign w:val="center"/>
          </w:tcPr>
          <w:p w14:paraId="5BA5420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6DE1D19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0.005</w:t>
            </w:r>
          </w:p>
        </w:tc>
        <w:tc>
          <w:tcPr>
            <w:tcW w:w="1159" w:type="dxa"/>
            <w:vAlign w:val="center"/>
          </w:tcPr>
          <w:p w14:paraId="0B3274A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</w:p>
        </w:tc>
        <w:tc>
          <w:tcPr>
            <w:tcW w:w="1323" w:type="dxa"/>
            <w:vAlign w:val="center"/>
          </w:tcPr>
          <w:p w14:paraId="29B232F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3459F0B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70</w:t>
            </w:r>
          </w:p>
        </w:tc>
        <w:tc>
          <w:tcPr>
            <w:tcW w:w="1165" w:type="dxa"/>
            <w:vAlign w:val="center"/>
          </w:tcPr>
          <w:p w14:paraId="7974852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70</w:t>
            </w:r>
          </w:p>
        </w:tc>
      </w:tr>
      <w:tr w:rsidR="00570C87" w:rsidRPr="00CF3F64" w14:paraId="7342F0D8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dxa"/>
            <w:vAlign w:val="center"/>
          </w:tcPr>
          <w:p w14:paraId="5943E39B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12</w:t>
            </w:r>
          </w:p>
        </w:tc>
        <w:tc>
          <w:tcPr>
            <w:tcW w:w="1443" w:type="dxa"/>
            <w:vAlign w:val="center"/>
          </w:tcPr>
          <w:p w14:paraId="1C7FA35A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TPMS</w:t>
            </w:r>
          </w:p>
        </w:tc>
        <w:tc>
          <w:tcPr>
            <w:tcW w:w="1156" w:type="dxa"/>
            <w:vAlign w:val="center"/>
          </w:tcPr>
          <w:p w14:paraId="67AA78B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0.003</w:t>
            </w:r>
          </w:p>
        </w:tc>
        <w:tc>
          <w:tcPr>
            <w:tcW w:w="1159" w:type="dxa"/>
            <w:vAlign w:val="center"/>
          </w:tcPr>
          <w:p w14:paraId="11E5766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EtOH</w:t>
            </w:r>
          </w:p>
        </w:tc>
        <w:tc>
          <w:tcPr>
            <w:tcW w:w="1323" w:type="dxa"/>
            <w:vAlign w:val="center"/>
          </w:tcPr>
          <w:p w14:paraId="2AFBD4D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Reflux</w:t>
            </w:r>
          </w:p>
        </w:tc>
        <w:tc>
          <w:tcPr>
            <w:tcW w:w="1310" w:type="dxa"/>
            <w:vAlign w:val="center"/>
          </w:tcPr>
          <w:p w14:paraId="1A20EEE9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110</w:t>
            </w:r>
          </w:p>
        </w:tc>
        <w:tc>
          <w:tcPr>
            <w:tcW w:w="1165" w:type="dxa"/>
            <w:vAlign w:val="center"/>
          </w:tcPr>
          <w:p w14:paraId="7C7A19F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24"/>
                <w:szCs w:val="24"/>
                <w:lang w:bidi="fa-IR"/>
              </w:rPr>
              <w:t>55</w:t>
            </w:r>
          </w:p>
        </w:tc>
      </w:tr>
    </w:tbl>
    <w:p w14:paraId="6A1E7FAF" w14:textId="77777777" w:rsidR="00570C87" w:rsidRPr="00382E56" w:rsidRDefault="00570C87" w:rsidP="00570C87">
      <w:pPr>
        <w:spacing w:line="360" w:lineRule="auto"/>
        <w:rPr>
          <w:rFonts w:asciiTheme="minorHAnsi" w:hAnsiTheme="minorHAnsi" w:cstheme="minorHAnsi"/>
          <w:sz w:val="22"/>
          <w:lang w:bidi="fa-IR"/>
        </w:rPr>
      </w:pPr>
    </w:p>
    <w:p w14:paraId="2F154819" w14:textId="77777777" w:rsidR="00570C87" w:rsidRPr="00511C65" w:rsidRDefault="00570C87" w:rsidP="00570C87">
      <w:pPr>
        <w:pStyle w:val="ListParagraph"/>
        <w:spacing w:line="360" w:lineRule="auto"/>
        <w:jc w:val="left"/>
        <w:rPr>
          <w:rFonts w:asciiTheme="majorBidi" w:hAnsiTheme="majorBidi" w:cstheme="majorBidi"/>
          <w:b/>
          <w:bCs/>
          <w:sz w:val="18"/>
          <w:szCs w:val="18"/>
          <w:lang w:bidi="fa-IR"/>
        </w:rPr>
      </w:pPr>
      <w:r w:rsidRPr="00511C65">
        <w:rPr>
          <w:rFonts w:asciiTheme="majorBidi" w:hAnsiTheme="majorBidi" w:cstheme="majorBidi"/>
          <w:b/>
          <w:bCs/>
          <w:sz w:val="18"/>
          <w:szCs w:val="18"/>
          <w:lang w:bidi="fa-IR"/>
        </w:rPr>
        <w:t>Table 2</w:t>
      </w:r>
      <w:r>
        <w:rPr>
          <w:rFonts w:asciiTheme="majorBidi" w:hAnsiTheme="majorBidi" w:cstheme="majorBidi"/>
          <w:b/>
          <w:bCs/>
          <w:sz w:val="18"/>
          <w:szCs w:val="18"/>
          <w:lang w:bidi="fa-IR"/>
        </w:rPr>
        <w:t>.</w:t>
      </w:r>
      <w:r w:rsidRPr="00511C65">
        <w:rPr>
          <w:rFonts w:asciiTheme="majorBidi" w:hAnsiTheme="majorBidi" w:cstheme="majorBidi"/>
          <w:b/>
          <w:bCs/>
          <w:sz w:val="18"/>
          <w:szCs w:val="18"/>
          <w:lang w:bidi="fa-IR"/>
        </w:rPr>
        <w:t xml:space="preserve"> </w:t>
      </w:r>
      <w:r>
        <w:rPr>
          <w:rFonts w:asciiTheme="majorBidi" w:hAnsiTheme="majorBidi" w:cstheme="majorBidi"/>
          <w:sz w:val="18"/>
          <w:szCs w:val="18"/>
        </w:rPr>
        <w:t>I</w:t>
      </w:r>
      <w:r w:rsidRPr="00511C65">
        <w:rPr>
          <w:rFonts w:asciiTheme="majorBidi" w:hAnsiTheme="majorBidi" w:cstheme="majorBidi"/>
          <w:sz w:val="18"/>
          <w:szCs w:val="18"/>
        </w:rPr>
        <w:t>nvestigation of the synthesis of desired products (</w:t>
      </w:r>
      <w:r w:rsidRPr="00E37DE2">
        <w:rPr>
          <w:rFonts w:asciiTheme="majorBidi" w:hAnsiTheme="majorBidi" w:cstheme="majorBidi"/>
          <w:b/>
          <w:bCs/>
          <w:sz w:val="18"/>
          <w:szCs w:val="18"/>
        </w:rPr>
        <w:t>5a-m</w:t>
      </w:r>
      <w:r w:rsidRPr="00511C65">
        <w:rPr>
          <w:rFonts w:asciiTheme="majorBidi" w:hAnsiTheme="majorBidi" w:cstheme="majorBidi"/>
          <w:sz w:val="18"/>
          <w:szCs w:val="18"/>
        </w:rPr>
        <w:t xml:space="preserve">) catalyzed by </w:t>
      </w:r>
      <w:r w:rsidRPr="00511C65">
        <w:rPr>
          <w:rFonts w:asciiTheme="majorBidi" w:hAnsiTheme="majorBidi" w:cstheme="majorBidi"/>
          <w:sz w:val="18"/>
          <w:szCs w:val="18"/>
          <w:shd w:val="clear" w:color="auto" w:fill="FFFFFF"/>
        </w:rPr>
        <w:t>The TPMS catalyst (</w:t>
      </w:r>
      <w:r w:rsidRPr="00511C65">
        <w:rPr>
          <w:rFonts w:asciiTheme="majorBidi" w:hAnsiTheme="majorBidi" w:cstheme="majorBidi"/>
          <w:b/>
          <w:bCs/>
          <w:sz w:val="18"/>
          <w:szCs w:val="18"/>
          <w:shd w:val="clear" w:color="auto" w:fill="FFFFFF"/>
        </w:rPr>
        <w:t>1</w:t>
      </w:r>
      <w:r w:rsidRPr="00511C65">
        <w:rPr>
          <w:rFonts w:asciiTheme="majorBidi" w:hAnsiTheme="majorBidi" w:cstheme="majorBidi"/>
          <w:sz w:val="18"/>
          <w:szCs w:val="18"/>
          <w:shd w:val="clear" w:color="auto" w:fill="FFFFFF"/>
        </w:rPr>
        <w:t xml:space="preserve">) (Tannic Acid / Polyethylene imine / Magnetic / Sulfone) </w:t>
      </w:r>
      <w:r w:rsidRPr="00511C65">
        <w:rPr>
          <w:rFonts w:asciiTheme="majorBidi" w:hAnsiTheme="majorBidi" w:cstheme="majorBidi"/>
          <w:sz w:val="18"/>
          <w:szCs w:val="18"/>
        </w:rPr>
        <w:t>under the optimized conditions.</w:t>
      </w:r>
      <w:r w:rsidRPr="00511C65">
        <w:rPr>
          <w:rFonts w:asciiTheme="majorBidi" w:hAnsiTheme="majorBidi" w:cstheme="majorBidi"/>
          <w:sz w:val="18"/>
          <w:szCs w:val="18"/>
          <w:vertAlign w:val="superscript"/>
        </w:rPr>
        <w:t>a</w:t>
      </w:r>
    </w:p>
    <w:tbl>
      <w:tblPr>
        <w:tblStyle w:val="GridTable6Colorful-Accent3"/>
        <w:tblpPr w:leftFromText="180" w:rightFromText="180" w:vertAnchor="page" w:horzAnchor="margin" w:tblpY="1"/>
        <w:tblW w:w="9765" w:type="dxa"/>
        <w:tblLook w:val="04A0" w:firstRow="1" w:lastRow="0" w:firstColumn="1" w:lastColumn="0" w:noHBand="0" w:noVBand="1"/>
      </w:tblPr>
      <w:tblGrid>
        <w:gridCol w:w="761"/>
        <w:gridCol w:w="2731"/>
        <w:gridCol w:w="2919"/>
        <w:gridCol w:w="821"/>
        <w:gridCol w:w="783"/>
        <w:gridCol w:w="898"/>
        <w:gridCol w:w="852"/>
      </w:tblGrid>
      <w:tr w:rsidR="00570C87" w:rsidRPr="008A6628" w14:paraId="26C94561" w14:textId="77777777" w:rsidTr="00241D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dxa"/>
            <w:vAlign w:val="center"/>
          </w:tcPr>
          <w:p w14:paraId="5E7BB3A8" w14:textId="77777777" w:rsidR="00570C87" w:rsidRPr="008A6628" w:rsidRDefault="00570C87" w:rsidP="00241D5F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731" w:type="dxa"/>
            <w:vAlign w:val="center"/>
          </w:tcPr>
          <w:p w14:paraId="4AA8264C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919" w:type="dxa"/>
            <w:vAlign w:val="center"/>
          </w:tcPr>
          <w:p w14:paraId="2FD20B86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21" w:type="dxa"/>
            <w:vAlign w:val="center"/>
          </w:tcPr>
          <w:p w14:paraId="2810EC52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83" w:type="dxa"/>
            <w:vAlign w:val="center"/>
          </w:tcPr>
          <w:p w14:paraId="2C46DB0F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98" w:type="dxa"/>
            <w:vAlign w:val="center"/>
          </w:tcPr>
          <w:p w14:paraId="354E9D0D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2" w:type="dxa"/>
            <w:vAlign w:val="center"/>
          </w:tcPr>
          <w:p w14:paraId="23EBC3F5" w14:textId="77777777" w:rsidR="00570C87" w:rsidRPr="008A6628" w:rsidRDefault="00570C87" w:rsidP="00241D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</w:p>
        </w:tc>
      </w:tr>
    </w:tbl>
    <w:tbl>
      <w:tblPr>
        <w:tblStyle w:val="GridTable6Colorful-Accent3"/>
        <w:tblW w:w="945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630"/>
        <w:gridCol w:w="2340"/>
        <w:gridCol w:w="2160"/>
        <w:gridCol w:w="1080"/>
        <w:gridCol w:w="990"/>
        <w:gridCol w:w="1170"/>
        <w:gridCol w:w="1080"/>
      </w:tblGrid>
      <w:tr w:rsidR="00570C87" w:rsidRPr="00CF3F64" w14:paraId="074347C4" w14:textId="77777777" w:rsidTr="00241D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0" w:type="dxa"/>
            <w:gridSpan w:val="7"/>
            <w:vAlign w:val="center"/>
          </w:tcPr>
          <w:p w14:paraId="127756A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b w:val="0"/>
                <w:bCs w:val="0"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 w:val="0"/>
                <w:bCs w:val="0"/>
                <w:noProof/>
              </w:rPr>
              <w:object w:dxaOrig="9291" w:dyaOrig="1946" w14:anchorId="1F6B6D16">
                <v:shape id="_x0000_i1026" type="#_x0000_t75" style="width:465.5pt;height:95.5pt" o:ole="">
                  <v:imagedata r:id="rId6" o:title=""/>
                </v:shape>
                <o:OLEObject Type="Embed" ProgID="ChemDraw.Document.6.0" ShapeID="_x0000_i1026" DrawAspect="Content" ObjectID="_1736931886" r:id="rId7"/>
              </w:object>
            </w:r>
          </w:p>
        </w:tc>
      </w:tr>
      <w:tr w:rsidR="00570C87" w:rsidRPr="00CF3F64" w14:paraId="437416DA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3B24E58C" w14:textId="77777777" w:rsidR="00570C87" w:rsidRPr="008D18DD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</w:pPr>
            <w:r w:rsidRPr="008D18DD">
              <w:rPr>
                <w:rFonts w:asciiTheme="majorBidi" w:hAnsiTheme="majorBidi" w:cstheme="majorBidi"/>
                <w:color w:val="auto"/>
                <w:sz w:val="16"/>
                <w:szCs w:val="16"/>
                <w:lang w:bidi="fa-IR"/>
              </w:rPr>
              <w:t>Entry</w:t>
            </w:r>
          </w:p>
        </w:tc>
        <w:tc>
          <w:tcPr>
            <w:tcW w:w="2340" w:type="dxa"/>
            <w:vAlign w:val="center"/>
          </w:tcPr>
          <w:p w14:paraId="1187004F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Aldehyde</w:t>
            </w:r>
          </w:p>
        </w:tc>
        <w:tc>
          <w:tcPr>
            <w:tcW w:w="2160" w:type="dxa"/>
            <w:vAlign w:val="center"/>
          </w:tcPr>
          <w:p w14:paraId="03237F04" w14:textId="77777777" w:rsidR="00570C87" w:rsidRPr="008D18DD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D18DD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  <w:t>Product</w:t>
            </w:r>
          </w:p>
        </w:tc>
        <w:tc>
          <w:tcPr>
            <w:tcW w:w="1080" w:type="dxa"/>
            <w:vAlign w:val="center"/>
          </w:tcPr>
          <w:p w14:paraId="03CC654B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Time (min)</w:t>
            </w:r>
          </w:p>
        </w:tc>
        <w:tc>
          <w:tcPr>
            <w:tcW w:w="990" w:type="dxa"/>
            <w:vAlign w:val="center"/>
          </w:tcPr>
          <w:p w14:paraId="5356A180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Yield</w:t>
            </w:r>
            <w:r w:rsidRPr="00385583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b</w:t>
            </w: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170" w:type="dxa"/>
            <w:vAlign w:val="center"/>
          </w:tcPr>
          <w:p w14:paraId="3D7E7F4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m.p. ˚C (Obs.)</w:t>
            </w:r>
          </w:p>
        </w:tc>
        <w:tc>
          <w:tcPr>
            <w:tcW w:w="1080" w:type="dxa"/>
            <w:vAlign w:val="center"/>
          </w:tcPr>
          <w:p w14:paraId="38E4FABE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8A66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m.p. °C (Lit.)</w:t>
            </w:r>
          </w:p>
        </w:tc>
      </w:tr>
      <w:tr w:rsidR="00570C87" w:rsidRPr="00CF3F64" w14:paraId="526B0F8E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579D7C24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</w:t>
            </w:r>
          </w:p>
        </w:tc>
        <w:tc>
          <w:tcPr>
            <w:tcW w:w="2340" w:type="dxa"/>
            <w:vAlign w:val="center"/>
          </w:tcPr>
          <w:p w14:paraId="4FB04DD7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8A6628">
              <w:rPr>
                <w:rFonts w:asciiTheme="majorBidi" w:eastAsia="Calibri" w:hAnsiTheme="majorBidi" w:cstheme="majorBidi"/>
                <w:noProof/>
                <w:color w:val="auto"/>
                <w:sz w:val="16"/>
                <w:szCs w:val="16"/>
                <w:lang w:bidi="en-US"/>
              </w:rPr>
              <w:object w:dxaOrig="1605" w:dyaOrig="1149" w14:anchorId="7744A474">
                <v:shape id="_x0000_i1027" type="#_x0000_t75" style="width:79.5pt;height:58pt" o:ole="">
                  <v:imagedata r:id="rId8" o:title=""/>
                </v:shape>
                <o:OLEObject Type="Embed" ProgID="ChemDraw.Document.6.0" ShapeID="_x0000_i1027" DrawAspect="Content" ObjectID="_1736931887" r:id="rId9"/>
              </w:object>
            </w:r>
          </w:p>
        </w:tc>
        <w:tc>
          <w:tcPr>
            <w:tcW w:w="2160" w:type="dxa"/>
            <w:vAlign w:val="center"/>
          </w:tcPr>
          <w:p w14:paraId="39A70600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186" w:dyaOrig="1769" w14:anchorId="1F65F093">
                <v:shape id="_x0000_i1028" type="#_x0000_t75" style="width:63.5pt;height:51pt" o:ole="">
                  <v:imagedata r:id="rId10" o:title=""/>
                </v:shape>
                <o:OLEObject Type="Embed" ProgID="ChemDraw.Document.6.0" ShapeID="_x0000_i1028" DrawAspect="Content" ObjectID="_1736931888" r:id="rId11"/>
              </w:object>
            </w:r>
          </w:p>
        </w:tc>
        <w:tc>
          <w:tcPr>
            <w:tcW w:w="1080" w:type="dxa"/>
            <w:vAlign w:val="center"/>
          </w:tcPr>
          <w:p w14:paraId="579E001F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15</w:t>
            </w:r>
          </w:p>
        </w:tc>
        <w:tc>
          <w:tcPr>
            <w:tcW w:w="990" w:type="dxa"/>
            <w:vAlign w:val="center"/>
          </w:tcPr>
          <w:p w14:paraId="63778219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94</w:t>
            </w:r>
          </w:p>
        </w:tc>
        <w:tc>
          <w:tcPr>
            <w:tcW w:w="1170" w:type="dxa"/>
            <w:vAlign w:val="center"/>
          </w:tcPr>
          <w:p w14:paraId="7AC6D4F1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201-202</w:t>
            </w:r>
          </w:p>
        </w:tc>
        <w:tc>
          <w:tcPr>
            <w:tcW w:w="1080" w:type="dxa"/>
            <w:vAlign w:val="center"/>
          </w:tcPr>
          <w:p w14:paraId="38E415EA" w14:textId="77777777" w:rsidR="00570C87" w:rsidRPr="003D54B6" w:rsidRDefault="00570C87" w:rsidP="00241D5F">
            <w:pPr>
              <w:ind w:left="75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D54B6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198-200</w:t>
            </w:r>
          </w:p>
          <w:p w14:paraId="21298F4C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eastAsia="Calibri" w:hAnsiTheme="majorBidi" w:cstheme="majorBidi"/>
                <w:b/>
                <w:bCs/>
                <w:color w:val="0070C0"/>
                <w:sz w:val="16"/>
                <w:szCs w:val="16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b/>
                <w:bCs/>
                <w:color w:val="0070C0"/>
                <w:sz w:val="16"/>
                <w:szCs w:val="16"/>
                <w:lang w:bidi="en-US"/>
              </w:rPr>
              <w:instrText xml:space="preserve"> ADDIN EN.CITE &lt;EndNote&gt;&lt;Cite&gt;&lt;Author&gt;Wang&lt;/Author&gt;&lt;Year&gt;2012&lt;/Year&gt;&lt;RecNum&gt;117&lt;/RecNum&gt;&lt;DisplayText&gt;&lt;style face="superscript"&gt;116&lt;/style&gt;&lt;/DisplayText&gt;&lt;record&gt;&lt;rec-number&gt;117&lt;/rec-number&gt;&lt;foreign-keys&gt;&lt;key app="EN" db-id="repafpwevpxwafewafupzrxnvvsfe2azw2fz" timestamp="1670916057"&gt;117&lt;/key&gt;&lt;/foreign-keys&gt;&lt;ref-type name="Journal Article"&gt;17&lt;/ref-type&gt;&lt;contributors&gt;&lt;authors&gt;&lt;author&gt;Wang, M&lt;/author&gt;&lt;author&gt;Zhang, TT&lt;/author&gt;&lt;author&gt;Gao, JJ&lt;/author&gt;&lt;author&gt;Liang, Y&lt;/author&gt;&lt;/authors&gt;&lt;/contributors&gt;&lt;titles&gt;&lt;title&gt;Cation-exchange resin as an efficient hetero-geneous catalyst for one-pot three-component synthesis of 2, 3-dihydro-4 (1H)-quinazolinones&lt;/title&gt;&lt;secondary-title&gt;Chemistry of Heterocyclic Compounds&lt;/secondary-title&gt;&lt;/titles&gt;&lt;periodical&gt;&lt;full-title&gt;Chemistry of Heterocyclic Compounds&lt;/full-title&gt;&lt;/periodical&gt;&lt;pages&gt;897-902&lt;/pages&gt;&lt;volume&gt;48&lt;/volume&gt;&lt;number&gt;6&lt;/number&gt;&lt;dates&gt;&lt;year&gt;2012&lt;/year&gt;&lt;/dates&gt;&lt;isbn&gt;0009-3122&lt;/isbn&gt;&lt;urls&gt;&lt;/urls&gt;&lt;/record&gt;&lt;/Cite&gt;&lt;/EndNote&gt;</w:instrText>
            </w:r>
            <w:r w:rsidRPr="003D54B6">
              <w:rPr>
                <w:rFonts w:asciiTheme="majorBidi" w:eastAsia="Calibri" w:hAnsiTheme="majorBidi" w:cstheme="majorBidi"/>
                <w:b/>
                <w:bCs/>
                <w:color w:val="0070C0"/>
                <w:sz w:val="16"/>
                <w:szCs w:val="16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b/>
                <w:bCs/>
                <w:noProof/>
                <w:color w:val="0070C0"/>
                <w:sz w:val="16"/>
                <w:szCs w:val="16"/>
                <w:vertAlign w:val="superscript"/>
                <w:lang w:bidi="en-US"/>
              </w:rPr>
              <w:t>116</w:t>
            </w:r>
            <w:r w:rsidRPr="003D54B6">
              <w:rPr>
                <w:rFonts w:asciiTheme="majorBidi" w:eastAsia="Calibri" w:hAnsiTheme="majorBidi" w:cstheme="majorBidi"/>
                <w:b/>
                <w:bCs/>
                <w:color w:val="0070C0"/>
                <w:sz w:val="16"/>
                <w:szCs w:val="16"/>
                <w:lang w:bidi="en-US"/>
              </w:rPr>
              <w:fldChar w:fldCharType="end"/>
            </w:r>
          </w:p>
        </w:tc>
      </w:tr>
      <w:tr w:rsidR="00570C87" w:rsidRPr="00CF3F64" w14:paraId="496F90AF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7040963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2</w:t>
            </w:r>
          </w:p>
        </w:tc>
        <w:tc>
          <w:tcPr>
            <w:tcW w:w="2340" w:type="dxa"/>
            <w:vAlign w:val="center"/>
          </w:tcPr>
          <w:p w14:paraId="78CFE82A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765" w:dyaOrig="1291" w14:anchorId="24CB09C0">
                <v:shape id="_x0000_i1029" type="#_x0000_t75" style="width:1in;height:49.5pt" o:ole="">
                  <v:imagedata r:id="rId12" o:title=""/>
                </v:shape>
                <o:OLEObject Type="Embed" ProgID="ChemDraw.Document.6.0" ShapeID="_x0000_i1029" DrawAspect="Content" ObjectID="_1736931889" r:id="rId13"/>
              </w:object>
            </w:r>
          </w:p>
        </w:tc>
        <w:tc>
          <w:tcPr>
            <w:tcW w:w="2160" w:type="dxa"/>
            <w:vAlign w:val="center"/>
          </w:tcPr>
          <w:p w14:paraId="5B0A7CFB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203" w:dyaOrig="1769" w14:anchorId="1C41D621">
                <v:shape id="_x0000_i1030" type="#_x0000_t75" style="width:1in;height:57.5pt" o:ole="">
                  <v:imagedata r:id="rId14" o:title=""/>
                </v:shape>
                <o:OLEObject Type="Embed" ProgID="ChemDraw.Document.6.0" ShapeID="_x0000_i1030" DrawAspect="Content" ObjectID="_1736931890" r:id="rId15"/>
              </w:object>
            </w:r>
          </w:p>
        </w:tc>
        <w:tc>
          <w:tcPr>
            <w:tcW w:w="1080" w:type="dxa"/>
            <w:vAlign w:val="center"/>
          </w:tcPr>
          <w:p w14:paraId="3C698E6A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30</w:t>
            </w:r>
          </w:p>
        </w:tc>
        <w:tc>
          <w:tcPr>
            <w:tcW w:w="990" w:type="dxa"/>
            <w:vAlign w:val="center"/>
          </w:tcPr>
          <w:p w14:paraId="38893B32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88</w:t>
            </w:r>
          </w:p>
        </w:tc>
        <w:tc>
          <w:tcPr>
            <w:tcW w:w="1170" w:type="dxa"/>
            <w:vAlign w:val="center"/>
          </w:tcPr>
          <w:p w14:paraId="03B0B9F8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210-217</w:t>
            </w:r>
          </w:p>
        </w:tc>
        <w:tc>
          <w:tcPr>
            <w:tcW w:w="1080" w:type="dxa"/>
            <w:vAlign w:val="center"/>
          </w:tcPr>
          <w:p w14:paraId="2DDB198A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208-210</w:t>
            </w:r>
          </w:p>
        </w:tc>
      </w:tr>
      <w:tr w:rsidR="00570C87" w:rsidRPr="00CF3F64" w14:paraId="4075D44A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580E635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  <w:t>3</w:t>
            </w:r>
          </w:p>
        </w:tc>
        <w:tc>
          <w:tcPr>
            <w:tcW w:w="2340" w:type="dxa"/>
            <w:vAlign w:val="center"/>
          </w:tcPr>
          <w:p w14:paraId="3B05CB4F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eastAsia="Calibri" w:hAnsiTheme="majorBidi" w:cstheme="majorBidi"/>
                <w:noProof/>
                <w:color w:val="auto"/>
                <w:sz w:val="16"/>
                <w:szCs w:val="16"/>
                <w:lang w:bidi="en-US"/>
              </w:rPr>
              <w:object w:dxaOrig="1660" w:dyaOrig="1130" w14:anchorId="24C07F7D">
                <v:shape id="_x0000_i1031" type="#_x0000_t75" style="width:86pt;height:58pt" o:ole="">
                  <v:imagedata r:id="rId16" o:title=""/>
                </v:shape>
                <o:OLEObject Type="Embed" ProgID="ChemDraw.Document.6.0" ShapeID="_x0000_i1031" DrawAspect="Content" ObjectID="_1736931891" r:id="rId17"/>
              </w:object>
            </w:r>
          </w:p>
        </w:tc>
        <w:tc>
          <w:tcPr>
            <w:tcW w:w="2160" w:type="dxa"/>
            <w:vAlign w:val="center"/>
          </w:tcPr>
          <w:p w14:paraId="68557335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263" w:dyaOrig="1675" w14:anchorId="07E7AD8A">
                <v:shape id="_x0000_i1032" type="#_x0000_t75" style="width:1in;height:50.5pt" o:ole="">
                  <v:imagedata r:id="rId18" o:title=""/>
                </v:shape>
                <o:OLEObject Type="Embed" ProgID="ChemDraw.Document.6.0" ShapeID="_x0000_i1032" DrawAspect="Content" ObjectID="_1736931892" r:id="rId19"/>
              </w:object>
            </w:r>
          </w:p>
        </w:tc>
        <w:tc>
          <w:tcPr>
            <w:tcW w:w="1080" w:type="dxa"/>
            <w:vAlign w:val="center"/>
          </w:tcPr>
          <w:p w14:paraId="3131AC78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20</w:t>
            </w:r>
          </w:p>
        </w:tc>
        <w:tc>
          <w:tcPr>
            <w:tcW w:w="990" w:type="dxa"/>
            <w:vAlign w:val="center"/>
          </w:tcPr>
          <w:p w14:paraId="59B246DE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90</w:t>
            </w:r>
          </w:p>
        </w:tc>
        <w:tc>
          <w:tcPr>
            <w:tcW w:w="1170" w:type="dxa"/>
            <w:vAlign w:val="center"/>
          </w:tcPr>
          <w:p w14:paraId="2755933C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232-235</w:t>
            </w:r>
          </w:p>
        </w:tc>
        <w:tc>
          <w:tcPr>
            <w:tcW w:w="1080" w:type="dxa"/>
            <w:vAlign w:val="center"/>
          </w:tcPr>
          <w:p w14:paraId="18FE1D72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233-234</w:t>
            </w:r>
          </w:p>
          <w:p w14:paraId="67BC5E2D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&lt;EndNote&gt;&lt;Cite&gt;&lt;Author&gt;Yale&lt;/Author&gt;&lt;Year&gt;1967&lt;/Year&gt;&lt;RecNum&gt;118&lt;/RecNum&gt;&lt;DisplayText&gt;&lt;style face="superscript"&gt;117&lt;/style&gt;&lt;/DisplayText&gt;&lt;record&gt;&lt;rec-number&gt;118&lt;/rec-number&gt;&lt;foreign-keys&gt;&lt;key app="EN" db-id="repafpwevpxwafewafupzrxnvvsfe2azw2fz" timestamp="1670916057"&gt;118&lt;/key&gt;&lt;/foreign-keys&gt;&lt;ref-type name="Journal Article"&gt;17&lt;/ref-type&gt;&lt;contributors&gt;&lt;authors&gt;&lt;author&gt;Yale, Harry L&lt;/author&gt;&lt;author&gt;Kalkstein, Marion&lt;/author&gt;&lt;/authors&gt;&lt;/contributors&gt;&lt;titles&gt;&lt;title&gt;Substituted 2, 3-dihydro-4 (1H)-quinazolinones. A new class of inhibitors of cell multiplication&lt;/title&gt;&lt;secondary-title&gt;Journal of medicinal chemistry&lt;/secondary-title&gt;&lt;/titles&gt;&lt;periodical&gt;&lt;full-title&gt;Journal of medicinal chemistry&lt;/full-title&gt;&lt;/periodical&gt;&lt;pages&gt;334-336&lt;/pages&gt;&lt;volume&gt;10&lt;/volume&gt;&lt;number&gt;3&lt;/number&gt;&lt;dates&gt;&lt;year&gt;1967&lt;/year&gt;&lt;/dates&gt;&lt;isbn&gt;0022-2623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117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62E1525C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035E02F6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4</w:t>
            </w:r>
          </w:p>
        </w:tc>
        <w:tc>
          <w:tcPr>
            <w:tcW w:w="2340" w:type="dxa"/>
            <w:vAlign w:val="center"/>
          </w:tcPr>
          <w:p w14:paraId="48A4564F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798" w:dyaOrig="1164" w14:anchorId="5DF9336A">
                <v:shape id="_x0000_i1033" type="#_x0000_t75" style="width:75pt;height:50.5pt" o:ole="">
                  <v:imagedata r:id="rId20" o:title=""/>
                </v:shape>
                <o:OLEObject Type="Embed" ProgID="ChemDraw.Document.6.0" ShapeID="_x0000_i1033" DrawAspect="Content" ObjectID="_1736931893" r:id="rId21"/>
              </w:object>
            </w:r>
          </w:p>
        </w:tc>
        <w:tc>
          <w:tcPr>
            <w:tcW w:w="2160" w:type="dxa"/>
            <w:vAlign w:val="center"/>
          </w:tcPr>
          <w:p w14:paraId="638FDE5A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525" w:dyaOrig="1675" w14:anchorId="3C3650C2">
                <v:shape id="_x0000_i1034" type="#_x0000_t75" style="width:86pt;height:58.5pt" o:ole="">
                  <v:imagedata r:id="rId22" o:title=""/>
                </v:shape>
                <o:OLEObject Type="Embed" ProgID="ChemDraw.Document.6.0" ShapeID="_x0000_i1034" DrawAspect="Content" ObjectID="_1736931894" r:id="rId23"/>
              </w:object>
            </w:r>
          </w:p>
        </w:tc>
        <w:tc>
          <w:tcPr>
            <w:tcW w:w="1080" w:type="dxa"/>
            <w:vAlign w:val="center"/>
          </w:tcPr>
          <w:p w14:paraId="215211BE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20</w:t>
            </w:r>
          </w:p>
        </w:tc>
        <w:tc>
          <w:tcPr>
            <w:tcW w:w="990" w:type="dxa"/>
            <w:vAlign w:val="center"/>
          </w:tcPr>
          <w:p w14:paraId="647F60D7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88</w:t>
            </w:r>
          </w:p>
        </w:tc>
        <w:tc>
          <w:tcPr>
            <w:tcW w:w="1170" w:type="dxa"/>
            <w:vAlign w:val="center"/>
          </w:tcPr>
          <w:p w14:paraId="05B30880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193-195</w:t>
            </w:r>
          </w:p>
        </w:tc>
        <w:tc>
          <w:tcPr>
            <w:tcW w:w="1080" w:type="dxa"/>
            <w:vAlign w:val="center"/>
          </w:tcPr>
          <w:p w14:paraId="4059DBA9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192-193</w:t>
            </w:r>
          </w:p>
          <w:p w14:paraId="524CAEF8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&lt;EndNote&gt;&lt;Cite&gt;&lt;Author&gt;Salehi&lt;/Author&gt;&lt;Year&gt;2005&lt;/Year&gt;&lt;RecNum&gt;119&lt;/RecNum&gt;&lt;DisplayText&gt;&lt;style face="superscript"&gt;118&lt;/style&gt;&lt;/DisplayText&gt;&lt;record&gt;&lt;rec-number&gt;119&lt;/rec-number&gt;&lt;foreign-keys&gt;&lt;key app="EN" db-id="repafpwevpxwafewafupzrxnvvsfe2azw2fz" timestamp="1670916057"&gt;119&lt;/key&gt;&lt;/foreign-keys&gt;&lt;ref-type name="Journal Article"&gt;17&lt;/ref-type&gt;&lt;contributors&gt;&lt;authors&gt;&lt;author&gt;Salehi, Peyman&lt;/author&gt;&lt;author&gt;Dabiri, Minoo&lt;/author&gt;&lt;author&gt;Zolfigol, Mohammad Ali&lt;/author&gt;&lt;author&gt;Baghbanzadeh, Mostafa&lt;/author&gt;&lt;/authors&gt;&lt;/contributors&gt;&lt;titles&gt;&lt;title&gt;A novel method for the one-pot three-component synthesis of 2, 3-dihydroquinazolin-4 (1H)-ones&lt;/title&gt;&lt;secondary-title&gt;Synlett&lt;/secondary-title&gt;&lt;/titles&gt;&lt;periodical&gt;&lt;full-title&gt;Synlett&lt;/full-title&gt;&lt;/periodical&gt;&lt;pages&gt;1155-1157&lt;/pages&gt;&lt;volume&gt;2005&lt;/volume&gt;&lt;number&gt;07&lt;/number&gt;&lt;dates&gt;&lt;year&gt;2005&lt;/year&gt;&lt;/dates&gt;&lt;isbn&gt;0936-5214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118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0A5BC0BC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79216D55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5</w:t>
            </w:r>
          </w:p>
        </w:tc>
        <w:tc>
          <w:tcPr>
            <w:tcW w:w="2340" w:type="dxa"/>
            <w:vAlign w:val="center"/>
          </w:tcPr>
          <w:p w14:paraId="126C54E3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195" w:dyaOrig="1161" w14:anchorId="0AC507DC">
                <v:shape id="_x0000_i1035" type="#_x0000_t75" style="width:49.5pt;height:50.5pt" o:ole="">
                  <v:imagedata r:id="rId24" o:title=""/>
                </v:shape>
                <o:OLEObject Type="Embed" ProgID="ChemDraw.Document.6.0" ShapeID="_x0000_i1035" DrawAspect="Content" ObjectID="_1736931895" r:id="rId25"/>
              </w:object>
            </w:r>
          </w:p>
        </w:tc>
        <w:tc>
          <w:tcPr>
            <w:tcW w:w="2160" w:type="dxa"/>
            <w:vAlign w:val="center"/>
          </w:tcPr>
          <w:p w14:paraId="61013771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824" w:dyaOrig="1678" w14:anchorId="43CB2D2E">
                <v:shape id="_x0000_i1036" type="#_x0000_t75" style="width:64pt;height:58pt" o:ole="">
                  <v:imagedata r:id="rId26" o:title=""/>
                </v:shape>
                <o:OLEObject Type="Embed" ProgID="ChemDraw.Document.6.0" ShapeID="_x0000_i1036" DrawAspect="Content" ObjectID="_1736931896" r:id="rId27"/>
              </w:object>
            </w:r>
          </w:p>
        </w:tc>
        <w:tc>
          <w:tcPr>
            <w:tcW w:w="1080" w:type="dxa"/>
            <w:vAlign w:val="center"/>
          </w:tcPr>
          <w:p w14:paraId="06B8E5FC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15</w:t>
            </w:r>
          </w:p>
        </w:tc>
        <w:tc>
          <w:tcPr>
            <w:tcW w:w="990" w:type="dxa"/>
            <w:vAlign w:val="center"/>
          </w:tcPr>
          <w:p w14:paraId="7E5BB8A7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92</w:t>
            </w:r>
          </w:p>
        </w:tc>
        <w:tc>
          <w:tcPr>
            <w:tcW w:w="1170" w:type="dxa"/>
            <w:vAlign w:val="center"/>
          </w:tcPr>
          <w:p w14:paraId="1FC7E325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219-220</w:t>
            </w:r>
          </w:p>
        </w:tc>
        <w:tc>
          <w:tcPr>
            <w:tcW w:w="1080" w:type="dxa"/>
            <w:vAlign w:val="center"/>
          </w:tcPr>
          <w:p w14:paraId="5261BB50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218-220</w:t>
            </w:r>
          </w:p>
        </w:tc>
      </w:tr>
      <w:tr w:rsidR="00570C87" w:rsidRPr="00CF3F64" w14:paraId="6F6C09FF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7CFDA983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lastRenderedPageBreak/>
              <w:t>6</w:t>
            </w:r>
          </w:p>
        </w:tc>
        <w:tc>
          <w:tcPr>
            <w:tcW w:w="2340" w:type="dxa"/>
            <w:vAlign w:val="center"/>
          </w:tcPr>
          <w:p w14:paraId="2A5CEFCA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499" w:dyaOrig="1161" w14:anchorId="649128A2">
                <v:shape id="_x0000_i1037" type="#_x0000_t75" style="width:64.5pt;height:50.5pt" o:ole="">
                  <v:imagedata r:id="rId28" o:title=""/>
                </v:shape>
                <o:OLEObject Type="Embed" ProgID="ChemDraw.Document.6.0" ShapeID="_x0000_i1037" DrawAspect="Content" ObjectID="_1736931897" r:id="rId29"/>
              </w:object>
            </w:r>
          </w:p>
        </w:tc>
        <w:tc>
          <w:tcPr>
            <w:tcW w:w="2160" w:type="dxa"/>
            <w:vAlign w:val="center"/>
          </w:tcPr>
          <w:p w14:paraId="4A67F31F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131" w:dyaOrig="1767" w14:anchorId="2FD0B069">
                <v:shape id="_x0000_i1038" type="#_x0000_t75" style="width:79pt;height:64.5pt" o:ole="">
                  <v:imagedata r:id="rId30" o:title=""/>
                </v:shape>
                <o:OLEObject Type="Embed" ProgID="ChemDraw.Document.6.0" ShapeID="_x0000_i1038" DrawAspect="Content" ObjectID="_1736931898" r:id="rId31"/>
              </w:object>
            </w:r>
          </w:p>
        </w:tc>
        <w:tc>
          <w:tcPr>
            <w:tcW w:w="1080" w:type="dxa"/>
            <w:vAlign w:val="center"/>
          </w:tcPr>
          <w:p w14:paraId="10E6C4D5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15</w:t>
            </w:r>
          </w:p>
        </w:tc>
        <w:tc>
          <w:tcPr>
            <w:tcW w:w="990" w:type="dxa"/>
            <w:vAlign w:val="center"/>
          </w:tcPr>
          <w:p w14:paraId="0019C752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94</w:t>
            </w:r>
          </w:p>
        </w:tc>
        <w:tc>
          <w:tcPr>
            <w:tcW w:w="1170" w:type="dxa"/>
            <w:vAlign w:val="center"/>
          </w:tcPr>
          <w:p w14:paraId="78004125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200-202</w:t>
            </w:r>
          </w:p>
        </w:tc>
        <w:tc>
          <w:tcPr>
            <w:tcW w:w="1080" w:type="dxa"/>
            <w:vAlign w:val="center"/>
          </w:tcPr>
          <w:p w14:paraId="3CD016AA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199-200</w:t>
            </w:r>
          </w:p>
          <w:p w14:paraId="1602405E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&lt;EndNote&gt;&lt;Cite&gt;&lt;Author&gt;Chen&lt;/Author&gt;&lt;Year&gt;2008&lt;/Year&gt;&lt;RecNum&gt;120&lt;/RecNum&gt;&lt;DisplayText&gt;&lt;style face="superscript"&gt;119&lt;/style&gt;&lt;/DisplayText&gt;&lt;record&gt;&lt;rec-number&gt;120&lt;/rec-number&gt;&lt;foreign-keys&gt;&lt;key app="EN" db-id="repafpwevpxwafewafupzrxnvvsfe2azw2fz" timestamp="1670916057"&gt;120&lt;/key&gt;&lt;/foreign-keys&gt;&lt;ref-type name="Journal Article"&gt;17&lt;/ref-type&gt;&lt;contributors&gt;&lt;authors&gt;&lt;author&gt;Chen, Jiuxi&lt;/author&gt;&lt;author&gt;Wu, Dengze&lt;/author&gt;&lt;author&gt;He, Fei&lt;/author&gt;&lt;author&gt;Liu, Miaochang&lt;/author&gt;&lt;author&gt;Wu, Huayue&lt;/author&gt;&lt;author&gt;Ding, Jinchang&lt;/author&gt;&lt;author&gt;Su, Weike&lt;/author&gt;&lt;/authors&gt;&lt;/contributors&gt;&lt;titles&gt;&lt;title&gt;Gallium (III) triflate-catalyzed one-pot selective synthesis of 2, 3-dihydroquinazolin-4 (1H)-ones and quinazolin-4 (3H)-ones&lt;/title&gt;&lt;secondary-title&gt;Tetrahedron Letters&lt;/secondary-title&gt;&lt;/titles&gt;&lt;periodical&gt;&lt;full-title&gt;Tetrahedron Letters&lt;/full-title&gt;&lt;/periodical&gt;&lt;pages&gt;3814-3818&lt;/pages&gt;&lt;volume&gt;49&lt;/volume&gt;&lt;number&gt;23&lt;/number&gt;&lt;dates&gt;&lt;year&gt;2008&lt;/year&gt;&lt;/dates&gt;&lt;isbn&gt;0040-4039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119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56A3EF10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1EC87027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7</w:t>
            </w:r>
          </w:p>
        </w:tc>
        <w:tc>
          <w:tcPr>
            <w:tcW w:w="2340" w:type="dxa"/>
            <w:vAlign w:val="center"/>
          </w:tcPr>
          <w:p w14:paraId="0A834D08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1690" w:dyaOrig="1161" w14:anchorId="740C72A6">
                <v:shape id="_x0000_i1039" type="#_x0000_t75" style="width:68.5pt;height:43.5pt" o:ole="">
                  <v:imagedata r:id="rId32" o:title=""/>
                </v:shape>
                <o:OLEObject Type="Embed" ProgID="ChemDraw.Document.6.0" ShapeID="_x0000_i1039" DrawAspect="Content" ObjectID="_1736931899" r:id="rId33"/>
              </w:object>
            </w:r>
          </w:p>
        </w:tc>
        <w:tc>
          <w:tcPr>
            <w:tcW w:w="2160" w:type="dxa"/>
            <w:vAlign w:val="center"/>
          </w:tcPr>
          <w:p w14:paraId="6A2EDC9B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  <w:sz w:val="16"/>
                <w:szCs w:val="16"/>
              </w:rPr>
              <w:object w:dxaOrig="2323" w:dyaOrig="1767" w14:anchorId="1C974796">
                <v:shape id="_x0000_i1040" type="#_x0000_t75" style="width:79.5pt;height:58pt" o:ole="">
                  <v:imagedata r:id="rId34" o:title=""/>
                </v:shape>
                <o:OLEObject Type="Embed" ProgID="ChemDraw.Document.6.0" ShapeID="_x0000_i1040" DrawAspect="Content" ObjectID="_1736931900" r:id="rId35"/>
              </w:object>
            </w:r>
          </w:p>
        </w:tc>
        <w:tc>
          <w:tcPr>
            <w:tcW w:w="1080" w:type="dxa"/>
            <w:vAlign w:val="center"/>
          </w:tcPr>
          <w:p w14:paraId="22D22910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35</w:t>
            </w:r>
          </w:p>
        </w:tc>
        <w:tc>
          <w:tcPr>
            <w:tcW w:w="990" w:type="dxa"/>
            <w:vAlign w:val="center"/>
          </w:tcPr>
          <w:p w14:paraId="737DFCDD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1170" w:type="dxa"/>
            <w:vAlign w:val="center"/>
          </w:tcPr>
          <w:p w14:paraId="435A9103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229-230</w:t>
            </w:r>
          </w:p>
        </w:tc>
        <w:tc>
          <w:tcPr>
            <w:tcW w:w="1080" w:type="dxa"/>
            <w:vAlign w:val="center"/>
          </w:tcPr>
          <w:p w14:paraId="0479FB22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228-229</w:t>
            </w:r>
          </w:p>
        </w:tc>
      </w:tr>
      <w:tr w:rsidR="00570C87" w:rsidRPr="00CF3F64" w14:paraId="756D478D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6A171CFD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8</w:t>
            </w:r>
          </w:p>
        </w:tc>
        <w:tc>
          <w:tcPr>
            <w:tcW w:w="2340" w:type="dxa"/>
            <w:vAlign w:val="center"/>
          </w:tcPr>
          <w:p w14:paraId="13C0107F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653" w:dyaOrig="1235" w14:anchorId="72A213F0">
                <v:shape id="_x0000_i1041" type="#_x0000_t75" style="width:64.5pt;height:49.5pt" o:ole="">
                  <v:imagedata r:id="rId36" o:title=""/>
                </v:shape>
                <o:OLEObject Type="Embed" ProgID="ChemDraw.Document.6.0" ShapeID="_x0000_i1041" DrawAspect="Content" ObjectID="_1736931901" r:id="rId37"/>
              </w:object>
            </w:r>
          </w:p>
        </w:tc>
        <w:tc>
          <w:tcPr>
            <w:tcW w:w="2160" w:type="dxa"/>
            <w:vAlign w:val="center"/>
          </w:tcPr>
          <w:p w14:paraId="4A4591E8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2285" w:dyaOrig="1617" w14:anchorId="4EE3E535">
                <v:shape id="_x0000_i1042" type="#_x0000_t75" style="width:80pt;height:58pt" o:ole="">
                  <v:imagedata r:id="rId38" o:title=""/>
                </v:shape>
                <o:OLEObject Type="Embed" ProgID="ChemDraw.Document.6.0" ShapeID="_x0000_i1042" DrawAspect="Content" ObjectID="_1736931902" r:id="rId39"/>
              </w:object>
            </w:r>
          </w:p>
        </w:tc>
        <w:tc>
          <w:tcPr>
            <w:tcW w:w="1080" w:type="dxa"/>
            <w:vAlign w:val="center"/>
          </w:tcPr>
          <w:p w14:paraId="69FB4CD7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20</w:t>
            </w:r>
          </w:p>
        </w:tc>
        <w:tc>
          <w:tcPr>
            <w:tcW w:w="990" w:type="dxa"/>
            <w:vAlign w:val="center"/>
          </w:tcPr>
          <w:p w14:paraId="68BFD2F5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89</w:t>
            </w:r>
          </w:p>
        </w:tc>
        <w:tc>
          <w:tcPr>
            <w:tcW w:w="1170" w:type="dxa"/>
            <w:vAlign w:val="center"/>
          </w:tcPr>
          <w:p w14:paraId="220CEEB3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350-352</w:t>
            </w:r>
          </w:p>
        </w:tc>
        <w:tc>
          <w:tcPr>
            <w:tcW w:w="1080" w:type="dxa"/>
            <w:vAlign w:val="center"/>
          </w:tcPr>
          <w:p w14:paraId="652E1FDE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351-352</w:t>
            </w:r>
          </w:p>
          <w:p w14:paraId="3589757F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&lt;EndNote&gt;&lt;Cite&gt;&lt;Author&gt;Chen&lt;/Author&gt;&lt;Year&gt;2008&lt;/Year&gt;&lt;RecNum&gt;120&lt;/RecNum&gt;&lt;DisplayText&gt;&lt;style face="superscript"&gt;119&lt;/style&gt;&lt;/DisplayText&gt;&lt;record&gt;&lt;rec-number&gt;120&lt;/rec-number&gt;&lt;foreign-keys&gt;&lt;key app="EN" db-id="repafpwevpxwafewafupzrxnvvsfe2azw2fz" timestamp="1670916057"&gt;120&lt;/key&gt;&lt;/foreign-keys&gt;&lt;ref-type name="Journal Article"&gt;17&lt;/ref-type&gt;&lt;contributors&gt;&lt;authors&gt;&lt;author&gt;Chen, Jiuxi&lt;/author&gt;&lt;author&gt;Wu, Dengze&lt;/author&gt;&lt;author&gt;He, Fei&lt;/author&gt;&lt;author&gt;Liu, Miaochang&lt;/author&gt;&lt;author&gt;Wu, Huayue&lt;/author&gt;&lt;author&gt;Ding, Jinchang&lt;/author&gt;&lt;author&gt;Su, Weike&lt;/author&gt;&lt;/authors&gt;&lt;/contributors&gt;&lt;titles&gt;&lt;title&gt;Gallium (III) triflate-catalyzed one-pot selective synthesis of 2, 3-dihydroquinazolin-4 (1H)-ones and quinazolin-4 (3H)-ones&lt;/title&gt;&lt;secondary-title&gt;Tetrahedron Letters&lt;/secondary-title&gt;&lt;/titles&gt;&lt;periodical&gt;&lt;full-title&gt;Tetrahedron Letters&lt;/full-title&gt;&lt;/periodical&gt;&lt;pages&gt;3814-3818&lt;/pages&gt;&lt;volume&gt;49&lt;/volume&gt;&lt;number&gt;23&lt;/number&gt;&lt;dates&gt;&lt;year&gt;2008&lt;/year&gt;&lt;/dates&gt;&lt;isbn&gt;0040-4039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119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5460830D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7C5ED1D2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9</w:t>
            </w:r>
          </w:p>
        </w:tc>
        <w:tc>
          <w:tcPr>
            <w:tcW w:w="2340" w:type="dxa"/>
            <w:vAlign w:val="center"/>
          </w:tcPr>
          <w:p w14:paraId="5CA4712E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694" w:dyaOrig="1132" w14:anchorId="17DD0862">
                <v:shape id="_x0000_i1043" type="#_x0000_t75" style="width:1in;height:50pt" o:ole="">
                  <v:imagedata r:id="rId40" o:title=""/>
                </v:shape>
                <o:OLEObject Type="Embed" ProgID="ChemDraw.Document.6.0" ShapeID="_x0000_i1043" DrawAspect="Content" ObjectID="_1736931903" r:id="rId41"/>
              </w:object>
            </w:r>
          </w:p>
        </w:tc>
        <w:tc>
          <w:tcPr>
            <w:tcW w:w="2160" w:type="dxa"/>
            <w:vAlign w:val="center"/>
          </w:tcPr>
          <w:p w14:paraId="2B96D059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2381" w:dyaOrig="1632" w14:anchorId="1597612F">
                <v:shape id="_x0000_i1044" type="#_x0000_t75" style="width:79.5pt;height:58pt" o:ole="">
                  <v:imagedata r:id="rId42" o:title=""/>
                </v:shape>
                <o:OLEObject Type="Embed" ProgID="ChemDraw.Document.6.0" ShapeID="_x0000_i1044" DrawAspect="Content" ObjectID="_1736931904" r:id="rId43"/>
              </w:object>
            </w:r>
          </w:p>
        </w:tc>
        <w:tc>
          <w:tcPr>
            <w:tcW w:w="1080" w:type="dxa"/>
            <w:vAlign w:val="center"/>
          </w:tcPr>
          <w:p w14:paraId="53C3A99E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20</w:t>
            </w:r>
          </w:p>
        </w:tc>
        <w:tc>
          <w:tcPr>
            <w:tcW w:w="990" w:type="dxa"/>
            <w:vAlign w:val="center"/>
          </w:tcPr>
          <w:p w14:paraId="144EF096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86</w:t>
            </w:r>
          </w:p>
        </w:tc>
        <w:tc>
          <w:tcPr>
            <w:tcW w:w="1170" w:type="dxa"/>
            <w:vAlign w:val="center"/>
          </w:tcPr>
          <w:p w14:paraId="33706A55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217-219</w:t>
            </w:r>
          </w:p>
        </w:tc>
        <w:tc>
          <w:tcPr>
            <w:tcW w:w="1080" w:type="dxa"/>
            <w:vAlign w:val="center"/>
          </w:tcPr>
          <w:p w14:paraId="7AAC0F6C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216-217</w:t>
            </w:r>
          </w:p>
          <w:p w14:paraId="35D8AC8E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&lt;EndNote&gt;&lt;Cite&gt;&lt;Author&gt;Chen&lt;/Author&gt;&lt;Year&gt;2008&lt;/Year&gt;&lt;RecNum&gt;120&lt;/RecNum&gt;&lt;DisplayText&gt;&lt;style face="superscript"&gt;119&lt;/style&gt;&lt;/DisplayText&gt;&lt;record&gt;&lt;rec-number&gt;120&lt;/rec-number&gt;&lt;foreign-keys&gt;&lt;key app="EN" db-id="repafpwevpxwafewafupzrxnvvsfe2azw2fz" timestamp="1670916057"&gt;120&lt;/key&gt;&lt;/foreign-keys&gt;&lt;ref-type name="Journal Article"&gt;17&lt;/ref-type&gt;&lt;contributors&gt;&lt;authors&gt;&lt;author&gt;Chen, Jiuxi&lt;/author&gt;&lt;author&gt;Wu, Dengze&lt;/author&gt;&lt;author&gt;He, Fei&lt;/author&gt;&lt;author&gt;Liu, Miaochang&lt;/author&gt;&lt;author&gt;Wu, Huayue&lt;/author&gt;&lt;author&gt;Ding, Jinchang&lt;/author&gt;&lt;author&gt;Su, Weike&lt;/author&gt;&lt;/authors&gt;&lt;/contributors&gt;&lt;titles&gt;&lt;title&gt;Gallium (III) triflate-catalyzed one-pot selective synthesis of 2, 3-dihydroquinazolin-4 (1H)-ones and quinazolin-4 (3H)-ones&lt;/title&gt;&lt;secondary-title&gt;Tetrahedron Letters&lt;/secondary-title&gt;&lt;/titles&gt;&lt;periodical&gt;&lt;full-title&gt;Tetrahedron Letters&lt;/full-title&gt;&lt;/periodical&gt;&lt;pages&gt;3814-3818&lt;/pages&gt;&lt;volume&gt;49&lt;/volume&gt;&lt;number&gt;23&lt;/number&gt;&lt;dates&gt;&lt;year&gt;2008&lt;/year&gt;&lt;/dates&gt;&lt;isbn&gt;0040-4039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119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0AF9C38F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15905DCC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Cs w:val="18"/>
                <w:lang w:bidi="fa-IR"/>
              </w:rPr>
              <w:t>10</w:t>
            </w:r>
          </w:p>
        </w:tc>
        <w:tc>
          <w:tcPr>
            <w:tcW w:w="2340" w:type="dxa"/>
            <w:vAlign w:val="center"/>
          </w:tcPr>
          <w:p w14:paraId="5E6B06F1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192" w:dyaOrig="1446" w14:anchorId="6B7809C9">
                <v:shape id="_x0000_i1045" type="#_x0000_t75" style="width:50pt;height:58.5pt" o:ole="">
                  <v:imagedata r:id="rId44" o:title=""/>
                </v:shape>
                <o:OLEObject Type="Embed" ProgID="ChemDraw.Document.6.0" ShapeID="_x0000_i1045" DrawAspect="Content" ObjectID="_1736931905" r:id="rId45"/>
              </w:object>
            </w:r>
          </w:p>
        </w:tc>
        <w:tc>
          <w:tcPr>
            <w:tcW w:w="2160" w:type="dxa"/>
            <w:vAlign w:val="center"/>
          </w:tcPr>
          <w:p w14:paraId="4AF62F5B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2381" w:dyaOrig="1738" w14:anchorId="771C4952">
                <v:shape id="_x0000_i1046" type="#_x0000_t75" style="width:86pt;height:58pt" o:ole="">
                  <v:imagedata r:id="rId46" o:title=""/>
                </v:shape>
                <o:OLEObject Type="Embed" ProgID="ChemDraw.Document.6.0" ShapeID="_x0000_i1046" DrawAspect="Content" ObjectID="_1736931906" r:id="rId47"/>
              </w:object>
            </w:r>
          </w:p>
        </w:tc>
        <w:tc>
          <w:tcPr>
            <w:tcW w:w="1080" w:type="dxa"/>
            <w:vAlign w:val="center"/>
          </w:tcPr>
          <w:p w14:paraId="61838DCC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30</w:t>
            </w:r>
          </w:p>
        </w:tc>
        <w:tc>
          <w:tcPr>
            <w:tcW w:w="990" w:type="dxa"/>
            <w:vAlign w:val="center"/>
          </w:tcPr>
          <w:p w14:paraId="0EE3BFDA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Cs w:val="18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85</w:t>
            </w:r>
          </w:p>
        </w:tc>
        <w:tc>
          <w:tcPr>
            <w:tcW w:w="1170" w:type="dxa"/>
            <w:vAlign w:val="center"/>
          </w:tcPr>
          <w:p w14:paraId="5243C185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214-216</w:t>
            </w:r>
          </w:p>
        </w:tc>
        <w:tc>
          <w:tcPr>
            <w:tcW w:w="1080" w:type="dxa"/>
            <w:vAlign w:val="center"/>
          </w:tcPr>
          <w:p w14:paraId="0C63F56B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216-217</w:t>
            </w:r>
          </w:p>
          <w:p w14:paraId="71CAC523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&lt;EndNote&gt;&lt;Cite&gt;&lt;Author&gt;Chen&lt;/Author&gt;&lt;Year&gt;2008&lt;/Year&gt;&lt;RecNum&gt;120&lt;/RecNum&gt;&lt;DisplayText&gt;&lt;style face="superscript"&gt;119&lt;/style&gt;&lt;/DisplayText&gt;&lt;record&gt;&lt;rec-number&gt;120&lt;/rec-number&gt;&lt;foreign-keys&gt;&lt;key app="EN" db-id="repafpwevpxwafewafupzrxnvvsfe2azw2fz" timestamp="1670916057"&gt;120&lt;/key&gt;&lt;/foreign-keys&gt;&lt;ref-type name="Journal Article"&gt;17&lt;/ref-type&gt;&lt;contributors&gt;&lt;authors&gt;&lt;author&gt;Chen, Jiuxi&lt;/author&gt;&lt;author&gt;Wu, Dengze&lt;/author&gt;&lt;author&gt;He, Fei&lt;/author&gt;&lt;author&gt;Liu, Miaochang&lt;/author&gt;&lt;author&gt;Wu, Huayue&lt;/author&gt;&lt;author&gt;Ding, Jinchang&lt;/author&gt;&lt;author&gt;Su, Weike&lt;/author&gt;&lt;/authors&gt;&lt;/contributors&gt;&lt;titles&gt;&lt;title&gt;Gallium (III) triflate-catalyzed one-pot selective synthesis of 2, 3-dihydroquinazolin-4 (1H)-ones and quinazolin-4 (3H)-ones&lt;/title&gt;&lt;secondary-title&gt;Tetrahedron Letters&lt;/secondary-title&gt;&lt;/titles&gt;&lt;periodical&gt;&lt;full-title&gt;Tetrahedron Letters&lt;/full-title&gt;&lt;/periodical&gt;&lt;pages&gt;3814-3818&lt;/pages&gt;&lt;volume&gt;49&lt;/volume&gt;&lt;number&gt;23&lt;/number&gt;&lt;dates&gt;&lt;year&gt;2008&lt;/year&gt;&lt;/dates&gt;&lt;isbn&gt;0040-4039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119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23F46394" w14:textId="77777777" w:rsidTr="00241D5F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2ACFF18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11</w:t>
            </w:r>
          </w:p>
        </w:tc>
        <w:tc>
          <w:tcPr>
            <w:tcW w:w="2340" w:type="dxa"/>
            <w:vAlign w:val="center"/>
          </w:tcPr>
          <w:p w14:paraId="0671CB2C" w14:textId="77777777" w:rsidR="00570C87" w:rsidRPr="008A6628" w:rsidRDefault="00570C87" w:rsidP="00241D5F">
            <w:pPr>
              <w:ind w:left="167" w:right="-13" w:firstLine="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195" w:dyaOrig="1178" w14:anchorId="1335BECF">
                <v:shape id="_x0000_i1047" type="#_x0000_t75" style="width:49.5pt;height:50pt" o:ole="">
                  <v:imagedata r:id="rId48" o:title=""/>
                </v:shape>
                <o:OLEObject Type="Embed" ProgID="ChemDraw.Document.6.0" ShapeID="_x0000_i1047" DrawAspect="Content" ObjectID="_1736931907" r:id="rId49"/>
              </w:object>
            </w:r>
          </w:p>
        </w:tc>
        <w:tc>
          <w:tcPr>
            <w:tcW w:w="2160" w:type="dxa"/>
            <w:vAlign w:val="center"/>
          </w:tcPr>
          <w:p w14:paraId="568C0584" w14:textId="77777777" w:rsidR="00570C87" w:rsidRPr="008A6628" w:rsidRDefault="00570C87" w:rsidP="00241D5F">
            <w:pPr>
              <w:ind w:left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824" w:dyaOrig="1692" w14:anchorId="0FE5D3F5">
                <v:shape id="_x0000_i1048" type="#_x0000_t75" style="width:1in;height:64pt" o:ole="">
                  <v:imagedata r:id="rId50" o:title=""/>
                </v:shape>
                <o:OLEObject Type="Embed" ProgID="ChemDraw.Document.6.0" ShapeID="_x0000_i1048" DrawAspect="Content" ObjectID="_1736931908" r:id="rId51"/>
              </w:object>
            </w:r>
          </w:p>
        </w:tc>
        <w:tc>
          <w:tcPr>
            <w:tcW w:w="1080" w:type="dxa"/>
            <w:vAlign w:val="center"/>
          </w:tcPr>
          <w:p w14:paraId="54BC6B13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25</w:t>
            </w:r>
          </w:p>
        </w:tc>
        <w:tc>
          <w:tcPr>
            <w:tcW w:w="990" w:type="dxa"/>
            <w:vAlign w:val="center"/>
          </w:tcPr>
          <w:p w14:paraId="5B6494BD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92</w:t>
            </w:r>
          </w:p>
        </w:tc>
        <w:tc>
          <w:tcPr>
            <w:tcW w:w="1170" w:type="dxa"/>
            <w:vAlign w:val="center"/>
          </w:tcPr>
          <w:p w14:paraId="3CAAF286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203-205</w:t>
            </w:r>
          </w:p>
        </w:tc>
        <w:tc>
          <w:tcPr>
            <w:tcW w:w="1080" w:type="dxa"/>
            <w:vAlign w:val="center"/>
          </w:tcPr>
          <w:p w14:paraId="0526CCAF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202-204</w:t>
            </w:r>
          </w:p>
          <w:p w14:paraId="3C870C6C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&lt;EndNote&gt;&lt;Cite&gt;&lt;Author&gt;Wang&lt;/Author&gt;&lt;Year&gt;2012&lt;/Year&gt;&lt;RecNum&gt;117&lt;/RecNum&gt;&lt;DisplayText&gt;&lt;style face="superscript"&gt;116&lt;/style&gt;&lt;/DisplayText&gt;&lt;record&gt;&lt;rec-number&gt;117&lt;/rec-number&gt;&lt;foreign-keys&gt;&lt;key app="EN" db-id="repafpwevpxwafewafupzrxnvvsfe2azw2fz" timestamp="1670916057"&gt;117&lt;/key&gt;&lt;/foreign-keys&gt;&lt;ref-type name="Journal Article"&gt;17&lt;/ref-type&gt;&lt;contributors&gt;&lt;authors&gt;&lt;author&gt;Wang, M&lt;/author&gt;&lt;author&gt;Zhang, TT&lt;/author&gt;&lt;author&gt;Gao, JJ&lt;/author&gt;&lt;author&gt;Liang, Y&lt;/author&gt;&lt;/authors&gt;&lt;/contributors&gt;&lt;titles&gt;&lt;title&gt;Cation-exchange resin as an efficient hetero-geneous catalyst for one-pot three-component synthesis of 2, 3-dihydro-4 (1H)-quinazolinones&lt;/title&gt;&lt;secondary-title&gt;Chemistry of Heterocyclic Compounds&lt;/secondary-title&gt;&lt;/titles&gt;&lt;periodical&gt;&lt;full-title&gt;Chemistry of Heterocyclic Compounds&lt;/full-title&gt;&lt;/periodical&gt;&lt;pages&gt;897-902&lt;/pages&gt;&lt;volume&gt;48&lt;/volume&gt;&lt;number&gt;6&lt;/number&gt;&lt;dates&gt;&lt;year&gt;2012&lt;/year&gt;&lt;/dates&gt;&lt;isbn&gt;0009-3122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116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  <w:tr w:rsidR="00570C87" w:rsidRPr="00CF3F64" w14:paraId="43FD9188" w14:textId="77777777" w:rsidTr="00241D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719CDE28" w14:textId="77777777" w:rsidR="00570C87" w:rsidRPr="00CF3F64" w:rsidRDefault="00570C87" w:rsidP="00241D5F">
            <w:pPr>
              <w:spacing w:after="200" w:line="480" w:lineRule="auto"/>
              <w:ind w:left="0" w:right="0" w:firstLine="0"/>
              <w:jc w:val="center"/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</w:pPr>
            <w:r w:rsidRPr="00CF3F64">
              <w:rPr>
                <w:rFonts w:asciiTheme="majorBidi" w:hAnsiTheme="majorBidi" w:cstheme="majorBidi"/>
                <w:color w:val="7B7B7B" w:themeColor="accent3" w:themeShade="BF"/>
                <w:sz w:val="16"/>
                <w:szCs w:val="16"/>
                <w:lang w:bidi="fa-IR"/>
              </w:rPr>
              <w:t>12</w:t>
            </w:r>
          </w:p>
        </w:tc>
        <w:tc>
          <w:tcPr>
            <w:tcW w:w="2340" w:type="dxa"/>
            <w:vAlign w:val="center"/>
          </w:tcPr>
          <w:p w14:paraId="2A03A9FB" w14:textId="77777777" w:rsidR="00570C87" w:rsidRPr="008A6628" w:rsidRDefault="00570C87" w:rsidP="00241D5F">
            <w:pPr>
              <w:ind w:left="167" w:right="-13" w:firstLine="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198" w:dyaOrig="1162" w14:anchorId="7F011FCA">
                <v:shape id="_x0000_i1049" type="#_x0000_t75" style="width:60.5pt;height:58.5pt" o:ole="">
                  <v:imagedata r:id="rId52" o:title=""/>
                </v:shape>
                <o:OLEObject Type="Embed" ProgID="ChemDraw.Document.6.0" ShapeID="_x0000_i1049" DrawAspect="Content" ObjectID="_1736931909" r:id="rId53"/>
              </w:object>
            </w:r>
          </w:p>
        </w:tc>
        <w:tc>
          <w:tcPr>
            <w:tcW w:w="2160" w:type="dxa"/>
            <w:vAlign w:val="center"/>
          </w:tcPr>
          <w:p w14:paraId="699CC8FD" w14:textId="77777777" w:rsidR="00570C87" w:rsidRPr="008A6628" w:rsidRDefault="00570C87" w:rsidP="00241D5F">
            <w:pPr>
              <w:ind w:left="7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A6628">
              <w:rPr>
                <w:rFonts w:asciiTheme="majorBidi" w:hAnsiTheme="majorBidi" w:cstheme="majorBidi"/>
                <w:noProof/>
                <w:color w:val="auto"/>
              </w:rPr>
              <w:object w:dxaOrig="1925" w:dyaOrig="1617" w14:anchorId="692D74A7">
                <v:shape id="_x0000_i1050" type="#_x0000_t75" style="width:78.5pt;height:64.5pt" o:ole="">
                  <v:imagedata r:id="rId54" o:title=""/>
                </v:shape>
                <o:OLEObject Type="Embed" ProgID="ChemDraw.Document.6.0" ShapeID="_x0000_i1050" DrawAspect="Content" ObjectID="_1736931910" r:id="rId55"/>
              </w:object>
            </w:r>
          </w:p>
        </w:tc>
        <w:tc>
          <w:tcPr>
            <w:tcW w:w="1080" w:type="dxa"/>
            <w:vAlign w:val="center"/>
          </w:tcPr>
          <w:p w14:paraId="3ED784B3" w14:textId="77777777" w:rsidR="00570C87" w:rsidRPr="004F6D7E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</w:pPr>
            <w:r w:rsidRPr="004F6D7E">
              <w:rPr>
                <w:rFonts w:asciiTheme="majorBidi" w:hAnsiTheme="majorBidi" w:cstheme="majorBidi"/>
                <w:b/>
                <w:bCs/>
                <w:color w:val="auto"/>
                <w:szCs w:val="18"/>
                <w:lang w:bidi="fa-IR"/>
              </w:rPr>
              <w:t>35</w:t>
            </w:r>
          </w:p>
        </w:tc>
        <w:tc>
          <w:tcPr>
            <w:tcW w:w="990" w:type="dxa"/>
            <w:vAlign w:val="center"/>
          </w:tcPr>
          <w:p w14:paraId="6D0AAB5B" w14:textId="77777777" w:rsidR="00570C87" w:rsidRPr="00441418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44141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87</w:t>
            </w:r>
          </w:p>
        </w:tc>
        <w:tc>
          <w:tcPr>
            <w:tcW w:w="1170" w:type="dxa"/>
            <w:vAlign w:val="center"/>
          </w:tcPr>
          <w:p w14:paraId="4D5CA437" w14:textId="77777777" w:rsidR="00570C87" w:rsidRPr="00920992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bidi="fa-IR"/>
              </w:rPr>
            </w:pPr>
            <w:r w:rsidRPr="00920992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</w:rPr>
              <w:t>167-169</w:t>
            </w:r>
          </w:p>
        </w:tc>
        <w:tc>
          <w:tcPr>
            <w:tcW w:w="1080" w:type="dxa"/>
            <w:vAlign w:val="center"/>
          </w:tcPr>
          <w:p w14:paraId="7614AA05" w14:textId="77777777" w:rsidR="00570C87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3D54B6"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  <w:t>165-167</w:t>
            </w:r>
          </w:p>
          <w:p w14:paraId="11CB6C11" w14:textId="77777777" w:rsidR="00570C87" w:rsidRPr="003D54B6" w:rsidRDefault="00570C87" w:rsidP="00241D5F">
            <w:pPr>
              <w:spacing w:after="200" w:line="480" w:lineRule="auto"/>
              <w:ind w:left="0" w:right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7B7B7B" w:themeColor="accent3" w:themeShade="BF"/>
                <w:sz w:val="16"/>
                <w:szCs w:val="16"/>
                <w:lang w:bidi="fa-IR"/>
              </w:rPr>
            </w:pP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begin"/>
            </w:r>
            <w:r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instrText xml:space="preserve"> ADDIN EN.CITE &lt;EndNote&gt;&lt;Cite&gt;&lt;Author&gt;Shaterian&lt;/Author&gt;&lt;Year&gt;2015&lt;/Year&gt;&lt;RecNum&gt;109&lt;/RecNum&gt;&lt;DisplayText&gt;&lt;style face="superscript"&gt;105&lt;/style&gt;&lt;/DisplayText&gt;&lt;record&gt;&lt;rec-number&gt;109&lt;/rec-number&gt;&lt;foreign-keys&gt;&lt;key app="EN" db-id="repafpwevpxwafewafupzrxnvvsfe2azw2fz" timestamp="1670916056"&gt;109&lt;/key&gt;&lt;/foreign-keys&gt;&lt;ref-type name="Journal Article"&gt;17&lt;/ref-type&gt;&lt;contributors&gt;&lt;authors&gt;&lt;author&gt;Shaterian, Hamid Reza&lt;/author&gt;&lt;author&gt;Rigi, Fatemeh&lt;/author&gt;&lt;/authors&gt;&lt;/contributors&gt;&lt;titles&gt;&lt;title&gt;An efficient synthesis of quinazoline and xanthene derivatives using starch sulfate as a biodegradable solid acid catalyst&lt;/title&gt;&lt;secondary-title&gt;Research on Chemical Intermediates&lt;/secondary-title&gt;&lt;/titles&gt;&lt;periodical&gt;&lt;full-title&gt;Research on Chemical Intermediates&lt;/full-title&gt;&lt;/periodical&gt;&lt;pages&gt;721-738&lt;/pages&gt;&lt;volume&gt;41&lt;/volume&gt;&lt;number&gt;2&lt;/number&gt;&lt;dates&gt;&lt;year&gt;2015&lt;/year&gt;&lt;/dates&gt;&lt;isbn&gt;0922-6168&lt;/isbn&gt;&lt;urls&gt;&lt;/urls&gt;&lt;/record&gt;&lt;/Cite&gt;&lt;/EndNote&gt;</w:instrTex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separate"/>
            </w:r>
            <w:r w:rsidRPr="00EE67F8">
              <w:rPr>
                <w:rFonts w:asciiTheme="majorBidi" w:eastAsia="Calibri" w:hAnsiTheme="majorBidi" w:cstheme="majorBidi"/>
                <w:noProof/>
                <w:color w:val="0070C0"/>
                <w:szCs w:val="18"/>
                <w:vertAlign w:val="superscript"/>
                <w:lang w:bidi="en-US"/>
              </w:rPr>
              <w:t>105</w:t>
            </w:r>
            <w:r w:rsidRPr="00E026F6">
              <w:rPr>
                <w:rFonts w:asciiTheme="majorBidi" w:eastAsia="Calibri" w:hAnsiTheme="majorBidi" w:cstheme="majorBidi"/>
                <w:color w:val="0070C0"/>
                <w:szCs w:val="18"/>
                <w:lang w:bidi="en-US"/>
              </w:rPr>
              <w:fldChar w:fldCharType="end"/>
            </w:r>
          </w:p>
        </w:tc>
      </w:tr>
    </w:tbl>
    <w:p w14:paraId="71C4E193" w14:textId="77777777" w:rsidR="00570C87" w:rsidRDefault="00570C87" w:rsidP="00570C87">
      <w:pPr>
        <w:spacing w:line="360" w:lineRule="auto"/>
        <w:rPr>
          <w:rFonts w:asciiTheme="majorBidi" w:hAnsiTheme="majorBidi" w:cstheme="majorBidi"/>
          <w:noProof/>
          <w:color w:val="auto"/>
          <w:szCs w:val="18"/>
        </w:rPr>
      </w:pPr>
    </w:p>
    <w:p w14:paraId="290EB612" w14:textId="77777777" w:rsidR="00570C87" w:rsidRPr="00784DD8" w:rsidRDefault="00570C87" w:rsidP="00570C87">
      <w:pPr>
        <w:spacing w:line="360" w:lineRule="auto"/>
        <w:rPr>
          <w:rFonts w:asciiTheme="majorBidi" w:hAnsiTheme="majorBidi" w:cstheme="majorBidi"/>
          <w:noProof/>
          <w:color w:val="auto"/>
          <w:szCs w:val="18"/>
        </w:rPr>
      </w:pPr>
      <w:r w:rsidRPr="00784DD8">
        <w:rPr>
          <w:rFonts w:asciiTheme="majorBidi" w:hAnsiTheme="majorBidi" w:cstheme="majorBidi"/>
          <w:noProof/>
          <w:color w:val="auto"/>
          <w:szCs w:val="18"/>
          <w:vertAlign w:val="superscript"/>
        </w:rPr>
        <w:t xml:space="preserve">a 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>Isatoic anhydride (</w:t>
      </w:r>
      <w:r w:rsidRPr="00784DD8">
        <w:rPr>
          <w:rFonts w:asciiTheme="majorBidi" w:hAnsiTheme="majorBidi" w:cstheme="majorBidi"/>
          <w:b/>
          <w:bCs/>
          <w:noProof/>
          <w:color w:val="auto"/>
          <w:szCs w:val="18"/>
        </w:rPr>
        <w:t>2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>, 1 mmol), ammonium acetate (</w:t>
      </w:r>
      <w:r w:rsidRPr="00784DD8">
        <w:rPr>
          <w:rFonts w:asciiTheme="majorBidi" w:hAnsiTheme="majorBidi" w:cstheme="majorBidi"/>
          <w:b/>
          <w:bCs/>
          <w:noProof/>
          <w:color w:val="auto"/>
          <w:szCs w:val="18"/>
        </w:rPr>
        <w:t>3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>,</w:t>
      </w:r>
      <w:r>
        <w:rPr>
          <w:rFonts w:asciiTheme="majorBidi" w:hAnsiTheme="majorBidi" w:cstheme="majorBidi"/>
          <w:noProof/>
          <w:color w:val="auto"/>
          <w:szCs w:val="18"/>
        </w:rPr>
        <w:t xml:space="preserve"> 1 mmol), 4-chlorobenzaldehyde 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>(</w:t>
      </w:r>
      <w:r w:rsidRPr="00784DD8">
        <w:rPr>
          <w:rFonts w:asciiTheme="majorBidi" w:hAnsiTheme="majorBidi" w:cstheme="majorBidi"/>
          <w:b/>
          <w:bCs/>
          <w:noProof/>
          <w:color w:val="auto"/>
          <w:szCs w:val="18"/>
        </w:rPr>
        <w:t>4a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 xml:space="preserve"> , 1 mmol) and 0.01g of TPMS for </w:t>
      </w:r>
      <w:r>
        <w:rPr>
          <w:rFonts w:asciiTheme="majorBidi" w:hAnsiTheme="majorBidi" w:cstheme="majorBidi"/>
          <w:noProof/>
          <w:color w:val="auto"/>
          <w:szCs w:val="18"/>
        </w:rPr>
        <w:t xml:space="preserve">the 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 xml:space="preserve">synthesis of </w:t>
      </w:r>
      <w:r w:rsidRPr="00784DD8">
        <w:rPr>
          <w:rFonts w:asciiTheme="majorBidi" w:hAnsiTheme="majorBidi" w:cstheme="majorBidi"/>
          <w:b/>
          <w:bCs/>
          <w:noProof/>
          <w:color w:val="auto"/>
          <w:szCs w:val="18"/>
        </w:rPr>
        <w:t xml:space="preserve">5a 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>in EtOH at reflux condition</w:t>
      </w:r>
      <w:r>
        <w:rPr>
          <w:rFonts w:asciiTheme="majorBidi" w:hAnsiTheme="majorBidi" w:cstheme="majorBidi"/>
          <w:noProof/>
          <w:color w:val="auto"/>
          <w:szCs w:val="18"/>
        </w:rPr>
        <w:t>s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 xml:space="preserve">. </w:t>
      </w:r>
    </w:p>
    <w:p w14:paraId="346B9925" w14:textId="77777777" w:rsidR="00570C87" w:rsidRDefault="00570C87" w:rsidP="00570C87">
      <w:pPr>
        <w:spacing w:line="360" w:lineRule="auto"/>
        <w:rPr>
          <w:rFonts w:asciiTheme="majorBidi" w:hAnsiTheme="majorBidi" w:cstheme="majorBidi"/>
          <w:noProof/>
          <w:color w:val="auto"/>
          <w:szCs w:val="18"/>
        </w:rPr>
      </w:pPr>
      <w:r w:rsidRPr="00784DD8">
        <w:rPr>
          <w:rFonts w:asciiTheme="majorBidi" w:hAnsiTheme="majorBidi" w:cstheme="majorBidi"/>
          <w:noProof/>
          <w:color w:val="auto"/>
          <w:szCs w:val="18"/>
          <w:vertAlign w:val="superscript"/>
        </w:rPr>
        <w:t>b</w:t>
      </w:r>
      <w:r w:rsidRPr="00784DD8">
        <w:rPr>
          <w:rFonts w:asciiTheme="majorBidi" w:hAnsiTheme="majorBidi" w:cstheme="majorBidi"/>
          <w:noProof/>
          <w:color w:val="auto"/>
          <w:szCs w:val="18"/>
        </w:rPr>
        <w:t xml:space="preserve"> Isolated yields.</w:t>
      </w:r>
    </w:p>
    <w:p w14:paraId="54A187A9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C87"/>
    <w:rsid w:val="000D4074"/>
    <w:rsid w:val="001E4B73"/>
    <w:rsid w:val="005314AC"/>
    <w:rsid w:val="00570C87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29021"/>
  <w15:chartTrackingRefBased/>
  <w15:docId w15:val="{DAAD5226-EB60-48C1-863F-F2937AFD8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C87"/>
    <w:pPr>
      <w:spacing w:after="4" w:line="241" w:lineRule="auto"/>
      <w:ind w:left="1243" w:right="2" w:hanging="10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-Accent3">
    <w:name w:val="Grid Table 6 Colorful Accent 3"/>
    <w:basedOn w:val="TableNormal"/>
    <w:uiPriority w:val="51"/>
    <w:rsid w:val="00570C8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570C87"/>
    <w:pPr>
      <w:spacing w:after="200" w:line="240" w:lineRule="auto"/>
      <w:ind w:left="720" w:right="0" w:firstLine="0"/>
      <w:contextualSpacing/>
    </w:pPr>
    <w:rPr>
      <w:rFonts w:ascii="Times" w:hAnsi="Times"/>
      <w:color w:val="auto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theme" Target="theme/theme1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1663</Words>
  <Characters>9485</Characters>
  <Application>Microsoft Office Word</Application>
  <DocSecurity>0</DocSecurity>
  <Lines>79</Lines>
  <Paragraphs>22</Paragraphs>
  <ScaleCrop>false</ScaleCrop>
  <Company>Springer Nature</Company>
  <LinksUpToDate>false</LinksUpToDate>
  <CharactersWithSpaces>11126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2023-02-03T06:47:00Z</dcterms:created>
  <dcterms:modified xsi:type="dcterms:W3CDTF">2023-02-03T06:48:00Z</dcterms:modified>
</cp:coreProperties>
</file>