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jc w:val="both"/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4"/>
          <w:szCs w:val="24"/>
          <w:lang w:val="en-US" w:eastAsia="zh-CN"/>
        </w:rPr>
        <w:t xml:space="preserve">eTable1.  </w:t>
      </w:r>
      <w:r>
        <w:rPr>
          <w:rFonts w:hint="default"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  <w:t>The Change-in-Estimate（CIE）is used for variable selection.</w:t>
      </w:r>
    </w:p>
    <w:tbl>
      <w:tblPr>
        <w:tblStyle w:val="4"/>
        <w:tblpPr w:leftFromText="180" w:rightFromText="180" w:vertAnchor="text" w:horzAnchor="page" w:tblpX="860" w:tblpY="548"/>
        <w:tblOverlap w:val="never"/>
        <w:tblW w:w="102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5"/>
        <w:gridCol w:w="893"/>
        <w:gridCol w:w="1008"/>
        <w:gridCol w:w="823"/>
        <w:gridCol w:w="950"/>
        <w:gridCol w:w="920"/>
        <w:gridCol w:w="900"/>
        <w:gridCol w:w="1027"/>
        <w:gridCol w:w="828"/>
        <w:gridCol w:w="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</w:trPr>
        <w:tc>
          <w:tcPr>
            <w:tcW w:w="2095" w:type="dxa"/>
            <w:tcBorders>
              <w:left w:val="nil"/>
              <w:right w:val="nil"/>
            </w:tcBorders>
            <w:vAlign w:val="center"/>
            <mc:AlternateContent>
              <mc:Choice Requires="wpsCustomData">
                <wpsCustomData:diagonals>
                  <wpsCustomData:diagonal from="30000" to="6300">
                    <wpsCustomData:border w:val="single" w:color="auto" w:sz="4" w:space="0"/>
                  </wpsCustomData:diagonal>
                  <wpsCustomData:diagonal from="15000" to="30000">
                    <wpsCustomData:border w:val="single" w:color="auto" w:sz="4" w:space="0"/>
                  </wpsCustomData:diagonal>
                </wpsCustomData:diagonals>
              </mc:Choice>
            </mc:AlternateContent>
          </w:tcPr>
          <w:p>
            <w:pPr>
              <w:snapToGrid w:val="0"/>
              <mc:AlternateContent>
                <mc:Choice Requires="wpsCustomData">
                  <wpsCustomData:diagonalParaType/>
                </mc:Choice>
              </mc:AlternateContent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Variables</w:t>
            </w:r>
          </w:p>
          <w:p>
            <w:pPr>
              <w:snapToGrid w:val="0"/>
              <mc:AlternateContent>
                <mc:Choice Requires="wpsCustomData">
                  <wpsCustomData:diagonalParaType/>
                </mc:Choice>
              </mc:AlternateContent>
              <w:rPr>
                <w:rFonts w:hint="default" w:eastAsiaTheme="minorEastAsia"/>
                <w:lang w:val="en-US" w:eastAsia="zh-CN"/>
              </w:rPr>
            </w:pPr>
            <w:r>
              <w:rPr>
                <w:rFonts w:hint="default" w:eastAsiaTheme="minorEastAsia"/>
                <w:lang w:val="en-US" w:eastAsia="zh-CN"/>
              </w:rPr>
              <w:t>Odds ratio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both"/>
              <w:rPr>
                <w:rFonts w:ascii="Arial" w:hAnsi="Arial" w:cs="Arial"/>
                <w:spacing w:val="12"/>
                <w:sz w:val="19"/>
                <w:szCs w:val="19"/>
              </w:rPr>
            </w:pPr>
            <w:r>
              <w:rPr>
                <w:rFonts w:hint="default" w:ascii="Arial" w:hAnsi="Arial" w:cs="Arial"/>
                <w:spacing w:val="12"/>
                <w:sz w:val="19"/>
                <w:szCs w:val="19"/>
              </w:rPr>
              <w:t>Times</w:t>
            </w:r>
          </w:p>
          <w:p>
            <w:pPr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893" w:type="dxa"/>
            <w:tcBorders>
              <w:left w:val="nil"/>
              <w:right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both"/>
              <w:rPr>
                <w:rFonts w:hint="eastAsia" w:ascii="Arial" w:hAnsi="Arial" w:cs="Arial"/>
                <w:spacing w:val="12"/>
                <w:sz w:val="19"/>
                <w:szCs w:val="19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both"/>
              <w:rPr>
                <w:rFonts w:hint="default" w:ascii="Arial" w:hAnsi="Arial" w:cs="Arial"/>
                <w:spacing w:val="12"/>
                <w:sz w:val="19"/>
                <w:szCs w:val="19"/>
              </w:rPr>
            </w:pPr>
            <w:r>
              <w:rPr>
                <w:rFonts w:hint="eastAsia" w:ascii="Arial" w:hAnsi="Arial" w:cs="Arial"/>
                <w:spacing w:val="12"/>
                <w:sz w:val="19"/>
                <w:szCs w:val="19"/>
                <w:lang w:val="en-US" w:eastAsia="zh-CN"/>
              </w:rPr>
              <w:t>F</w:t>
            </w:r>
            <w:r>
              <w:rPr>
                <w:rFonts w:hint="default" w:ascii="Arial" w:hAnsi="Arial" w:cs="Arial"/>
                <w:spacing w:val="12"/>
                <w:sz w:val="19"/>
                <w:szCs w:val="19"/>
              </w:rPr>
              <w:t>irst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both"/>
              <w:rPr>
                <w:rFonts w:hint="eastAsia" w:ascii="Arial" w:hAnsi="Arial" w:cs="Arial"/>
                <w:spacing w:val="12"/>
                <w:sz w:val="19"/>
                <w:szCs w:val="19"/>
                <w:lang w:eastAsia="zh-CN"/>
              </w:rPr>
            </w:pPr>
          </w:p>
        </w:tc>
        <w:tc>
          <w:tcPr>
            <w:tcW w:w="1008" w:type="dxa"/>
            <w:tcBorders>
              <w:left w:val="nil"/>
              <w:right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both"/>
              <w:rPr>
                <w:rFonts w:hint="default" w:ascii="Arial" w:hAnsi="Arial" w:cs="Arial"/>
                <w:spacing w:val="12"/>
                <w:sz w:val="19"/>
                <w:szCs w:val="19"/>
                <w:lang w:val="en-US"/>
              </w:rPr>
            </w:pPr>
            <w:r>
              <w:rPr>
                <w:rFonts w:hint="eastAsia" w:ascii="Arial" w:hAnsi="Arial" w:cs="Arial"/>
                <w:spacing w:val="12"/>
                <w:sz w:val="19"/>
                <w:szCs w:val="19"/>
                <w:lang w:val="en-US" w:eastAsia="zh-CN"/>
              </w:rPr>
              <w:t>Second</w:t>
            </w:r>
          </w:p>
        </w:tc>
        <w:tc>
          <w:tcPr>
            <w:tcW w:w="823" w:type="dxa"/>
            <w:tcBorders>
              <w:left w:val="nil"/>
              <w:right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both"/>
              <w:rPr>
                <w:rFonts w:hint="default" w:ascii="Arial" w:hAnsi="Arial" w:cs="Arial"/>
                <w:spacing w:val="12"/>
                <w:sz w:val="19"/>
                <w:szCs w:val="19"/>
                <w:lang w:val="en-US"/>
              </w:rPr>
            </w:pPr>
            <w:r>
              <w:rPr>
                <w:rFonts w:hint="eastAsia" w:ascii="Arial" w:hAnsi="Arial" w:cs="Arial"/>
                <w:spacing w:val="12"/>
                <w:sz w:val="19"/>
                <w:szCs w:val="19"/>
                <w:lang w:val="en-US" w:eastAsia="zh-CN"/>
              </w:rPr>
              <w:t>Third</w:t>
            </w:r>
          </w:p>
        </w:tc>
        <w:tc>
          <w:tcPr>
            <w:tcW w:w="950" w:type="dxa"/>
            <w:tcBorders>
              <w:left w:val="nil"/>
              <w:right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both"/>
              <w:rPr>
                <w:rFonts w:hint="default" w:ascii="Arial" w:hAnsi="Arial" w:cs="Arial"/>
                <w:spacing w:val="12"/>
                <w:sz w:val="19"/>
                <w:szCs w:val="19"/>
                <w:lang w:val="en-US"/>
              </w:rPr>
            </w:pPr>
            <w:r>
              <w:rPr>
                <w:rFonts w:hint="eastAsia" w:ascii="Arial" w:hAnsi="Arial" w:cs="Arial"/>
                <w:spacing w:val="12"/>
                <w:sz w:val="19"/>
                <w:szCs w:val="19"/>
                <w:lang w:val="en-US" w:eastAsia="zh-CN"/>
              </w:rPr>
              <w:t>Fourth</w:t>
            </w:r>
          </w:p>
        </w:tc>
        <w:tc>
          <w:tcPr>
            <w:tcW w:w="920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both"/>
              <w:rPr>
                <w:rFonts w:hint="default" w:ascii="Arial" w:hAnsi="Arial" w:cs="Arial"/>
                <w:spacing w:val="12"/>
                <w:sz w:val="19"/>
                <w:szCs w:val="19"/>
                <w:lang w:val="en-US"/>
              </w:rPr>
            </w:pPr>
            <w:r>
              <w:rPr>
                <w:rFonts w:hint="eastAsia" w:ascii="Arial" w:hAnsi="Arial" w:cs="Arial"/>
                <w:spacing w:val="12"/>
                <w:sz w:val="19"/>
                <w:szCs w:val="19"/>
                <w:lang w:val="en-US" w:eastAsia="zh-CN"/>
              </w:rPr>
              <w:t>Fifth</w:t>
            </w:r>
          </w:p>
        </w:tc>
        <w:tc>
          <w:tcPr>
            <w:tcW w:w="900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both"/>
              <w:rPr>
                <w:rFonts w:hint="eastAsia" w:ascii="Arial" w:hAnsi="Arial" w:cs="Arial"/>
                <w:spacing w:val="12"/>
                <w:sz w:val="19"/>
                <w:szCs w:val="19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both"/>
              <w:rPr>
                <w:rFonts w:hint="eastAsia" w:ascii="Arial" w:hAnsi="Arial" w:cs="Arial"/>
                <w:spacing w:val="12"/>
                <w:sz w:val="19"/>
                <w:szCs w:val="19"/>
                <w:lang w:val="en-US" w:eastAsia="zh-CN"/>
              </w:rPr>
            </w:pPr>
            <w:r>
              <w:rPr>
                <w:rFonts w:hint="eastAsia" w:ascii="Arial" w:hAnsi="Arial" w:cs="Arial"/>
                <w:spacing w:val="12"/>
                <w:sz w:val="19"/>
                <w:szCs w:val="19"/>
                <w:lang w:val="en-US" w:eastAsia="zh-CN"/>
              </w:rPr>
              <w:t>Sixth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both"/>
              <w:rPr>
                <w:rFonts w:hint="eastAsia" w:ascii="Arial" w:hAnsi="Arial" w:cs="Arial"/>
                <w:spacing w:val="12"/>
                <w:sz w:val="19"/>
                <w:szCs w:val="19"/>
                <w:lang w:val="en-US" w:eastAsia="zh-CN"/>
              </w:rPr>
            </w:pPr>
          </w:p>
        </w:tc>
        <w:tc>
          <w:tcPr>
            <w:tcW w:w="1027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both"/>
              <w:rPr>
                <w:rFonts w:hint="default" w:ascii="Arial" w:hAnsi="Arial" w:cs="Arial"/>
                <w:spacing w:val="12"/>
                <w:sz w:val="19"/>
                <w:szCs w:val="19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both"/>
              <w:rPr>
                <w:rFonts w:hint="default" w:ascii="Arial" w:hAnsi="Arial" w:cs="Arial"/>
                <w:spacing w:val="12"/>
                <w:sz w:val="19"/>
                <w:szCs w:val="19"/>
              </w:rPr>
            </w:pPr>
            <w:r>
              <w:rPr>
                <w:rFonts w:hint="default" w:ascii="Arial" w:hAnsi="Arial" w:cs="Arial"/>
                <w:spacing w:val="12"/>
                <w:sz w:val="19"/>
                <w:szCs w:val="19"/>
              </w:rPr>
              <w:t>Seventh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both"/>
              <w:rPr>
                <w:rFonts w:hint="eastAsia" w:ascii="Arial" w:hAnsi="Arial" w:cs="Arial"/>
                <w:spacing w:val="12"/>
                <w:sz w:val="19"/>
                <w:szCs w:val="19"/>
                <w:lang w:val="en-US" w:eastAsia="zh-CN"/>
              </w:rPr>
            </w:pPr>
          </w:p>
        </w:tc>
        <w:tc>
          <w:tcPr>
            <w:tcW w:w="828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both"/>
              <w:rPr>
                <w:rFonts w:hint="default" w:ascii="Arial" w:hAnsi="Arial" w:cs="Arial"/>
                <w:spacing w:val="12"/>
                <w:sz w:val="19"/>
                <w:szCs w:val="19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both"/>
              <w:rPr>
                <w:rFonts w:hint="default" w:ascii="Arial" w:hAnsi="Arial" w:cs="Arial"/>
                <w:spacing w:val="12"/>
                <w:sz w:val="19"/>
                <w:szCs w:val="19"/>
              </w:rPr>
            </w:pPr>
            <w:r>
              <w:rPr>
                <w:rFonts w:hint="default" w:ascii="Arial" w:hAnsi="Arial" w:cs="Arial"/>
                <w:spacing w:val="12"/>
                <w:sz w:val="19"/>
                <w:szCs w:val="19"/>
              </w:rPr>
              <w:t>Eighth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both"/>
              <w:rPr>
                <w:rFonts w:hint="eastAsia" w:ascii="Arial" w:hAnsi="Arial" w:cs="Arial"/>
                <w:spacing w:val="12"/>
                <w:sz w:val="19"/>
                <w:szCs w:val="19"/>
                <w:lang w:val="en-US" w:eastAsia="zh-CN"/>
              </w:rPr>
            </w:pPr>
          </w:p>
        </w:tc>
        <w:tc>
          <w:tcPr>
            <w:tcW w:w="845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both"/>
              <w:rPr>
                <w:rFonts w:hint="default" w:ascii="Arial" w:hAnsi="Arial" w:cs="Arial"/>
                <w:spacing w:val="12"/>
                <w:sz w:val="19"/>
                <w:szCs w:val="19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both"/>
              <w:rPr>
                <w:rFonts w:hint="default" w:ascii="Arial" w:hAnsi="Arial" w:cs="Arial"/>
                <w:spacing w:val="12"/>
                <w:sz w:val="19"/>
                <w:szCs w:val="19"/>
              </w:rPr>
            </w:pPr>
            <w:r>
              <w:rPr>
                <w:rFonts w:hint="default" w:ascii="Arial" w:hAnsi="Arial" w:cs="Arial"/>
                <w:spacing w:val="12"/>
                <w:sz w:val="19"/>
                <w:szCs w:val="19"/>
              </w:rPr>
              <w:t>Ninth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both"/>
              <w:rPr>
                <w:rFonts w:hint="eastAsia" w:ascii="Arial" w:hAnsi="Arial" w:cs="Arial"/>
                <w:spacing w:val="12"/>
                <w:sz w:val="19"/>
                <w:szCs w:val="19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95" w:type="dxa"/>
            <w:tcBorders>
              <w:left w:val="nil"/>
              <w:bottom w:val="nil"/>
              <w:right w:val="nil"/>
            </w:tcBorders>
            <w:vAlign w:val="center"/>
          </w:tcPr>
          <w:p>
            <w:r>
              <w:rPr>
                <w:rFonts w:hint="eastAsia" w:eastAsia="宋体"/>
                <w:lang w:eastAsia="zh-CN"/>
              </w:rPr>
              <w:t>Dyspnea</w:t>
            </w:r>
          </w:p>
        </w:tc>
        <w:tc>
          <w:tcPr>
            <w:tcW w:w="893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2.10</w:t>
            </w:r>
          </w:p>
        </w:tc>
        <w:tc>
          <w:tcPr>
            <w:tcW w:w="1008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2.38</w:t>
            </w:r>
          </w:p>
        </w:tc>
        <w:tc>
          <w:tcPr>
            <w:tcW w:w="823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2.51</w:t>
            </w:r>
          </w:p>
        </w:tc>
        <w:tc>
          <w:tcPr>
            <w:tcW w:w="950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2.50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3.96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4.39</w:t>
            </w:r>
          </w:p>
        </w:tc>
        <w:tc>
          <w:tcPr>
            <w:tcW w:w="102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3.91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84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Incubation period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0.84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0.86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0.83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Age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1.07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1.07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1.06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1.08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Lymphocyte count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0.10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0.08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0.09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0.09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D-dimer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5.43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8.01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8.44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8.40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C-reactive protein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1.02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1.02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1.02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Blood urea nitrogen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0.88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Blood Glucose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1.04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Procalcitonin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125.76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5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Semi</w:t>
            </w:r>
            <w:r>
              <w:rPr>
                <w:rFonts w:hint="eastAsia"/>
                <w:lang w:val="en-US" w:eastAsia="zh-CN"/>
              </w:rPr>
              <w:t>-</w:t>
            </w:r>
            <w:r>
              <w:rPr>
                <w:rFonts w:hint="eastAsia"/>
              </w:rPr>
              <w:t>quantitative</w:t>
            </w:r>
            <w:r>
              <w:rPr>
                <w:rFonts w:hint="eastAsia"/>
                <w:lang w:val="en-US" w:eastAsia="zh-CN"/>
              </w:rPr>
              <w:t xml:space="preserve"> chest </w:t>
            </w:r>
            <w:r>
              <w:rPr>
                <w:rFonts w:hint="eastAsia"/>
              </w:rPr>
              <w:t>CT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score</w:t>
            </w:r>
          </w:p>
        </w:tc>
        <w:tc>
          <w:tcPr>
            <w:tcW w:w="893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1.66</w:t>
            </w:r>
          </w:p>
        </w:tc>
        <w:tc>
          <w:tcPr>
            <w:tcW w:w="1008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1.64</w:t>
            </w:r>
          </w:p>
        </w:tc>
        <w:tc>
          <w:tcPr>
            <w:tcW w:w="823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1.66</w:t>
            </w:r>
          </w:p>
        </w:tc>
        <w:tc>
          <w:tcPr>
            <w:tcW w:w="950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1.66</w:t>
            </w:r>
          </w:p>
        </w:tc>
        <w:tc>
          <w:tcPr>
            <w:tcW w:w="920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1.59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1.62</w:t>
            </w:r>
          </w:p>
        </w:tc>
        <w:tc>
          <w:tcPr>
            <w:tcW w:w="1027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1.59</w:t>
            </w:r>
          </w:p>
        </w:tc>
        <w:tc>
          <w:tcPr>
            <w:tcW w:w="828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1.67</w:t>
            </w:r>
          </w:p>
        </w:tc>
        <w:tc>
          <w:tcPr>
            <w:tcW w:w="845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1.59</w:t>
            </w:r>
          </w:p>
        </w:tc>
      </w:tr>
    </w:tbl>
    <w:p/>
    <w:p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jc w:val="both"/>
        <w:rPr>
          <w:rFonts w:hint="default" w:ascii="Arial" w:hAnsi="Arial" w:cs="Arial"/>
          <w:spacing w:val="12"/>
          <w:sz w:val="15"/>
          <w:szCs w:val="15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jc w:val="both"/>
        <w:rPr>
          <w:rFonts w:hint="default" w:ascii="Arial" w:hAnsi="Arial" w:cs="Arial"/>
          <w:spacing w:val="12"/>
          <w:sz w:val="15"/>
          <w:szCs w:val="15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jc w:val="both"/>
        <w:rPr>
          <w:rFonts w:hint="default" w:ascii="Arial" w:hAnsi="Arial" w:cs="Arial"/>
          <w:spacing w:val="12"/>
          <w:sz w:val="15"/>
          <w:szCs w:val="15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jc w:val="both"/>
        <w:rPr>
          <w:rFonts w:hint="default" w:ascii="Arial" w:hAnsi="Arial" w:cs="Arial"/>
          <w:spacing w:val="12"/>
          <w:sz w:val="15"/>
          <w:szCs w:val="15"/>
        </w:rPr>
      </w:pP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jc w:val="both"/>
        <w:rPr>
          <w:rFonts w:hint="default" w:ascii="Arial" w:hAnsi="Arial" w:cs="Arial"/>
          <w:spacing w:val="12"/>
          <w:sz w:val="15"/>
          <w:szCs w:val="15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jc w:val="both"/>
        <w:rPr>
          <w:rFonts w:hint="default" w:ascii="Arial" w:hAnsi="Arial" w:cs="Arial"/>
          <w:spacing w:val="12"/>
          <w:sz w:val="15"/>
          <w:szCs w:val="15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jc w:val="both"/>
        <w:rPr>
          <w:rFonts w:ascii="Arial" w:hAnsi="Arial" w:cs="Arial"/>
          <w:spacing w:val="12"/>
          <w:sz w:val="15"/>
          <w:szCs w:val="15"/>
        </w:rPr>
      </w:pPr>
      <w:r>
        <w:rPr>
          <w:rFonts w:hint="default" w:ascii="Arial" w:hAnsi="Arial" w:cs="Arial"/>
          <w:spacing w:val="12"/>
          <w:sz w:val="15"/>
          <w:szCs w:val="15"/>
        </w:rPr>
        <w:t xml:space="preserve">The gradual elimination of PCT, GLU, BUN, and </w:t>
      </w:r>
      <w:r>
        <w:rPr>
          <w:rFonts w:hint="eastAsia" w:ascii="Arial" w:hAnsi="Arial" w:cs="Arial"/>
          <w:spacing w:val="12"/>
          <w:sz w:val="15"/>
          <w:szCs w:val="15"/>
          <w:lang w:val="en-US" w:eastAsia="zh-CN"/>
        </w:rPr>
        <w:t>D</w:t>
      </w:r>
      <w:r>
        <w:rPr>
          <w:rFonts w:hint="default" w:ascii="Arial" w:hAnsi="Arial" w:cs="Arial"/>
          <w:spacing w:val="12"/>
          <w:sz w:val="15"/>
          <w:szCs w:val="15"/>
        </w:rPr>
        <w:t xml:space="preserve">-dimer had little influence on the OR value of lymphocyte count in the logistic regression model, and the subtraction of CRP, dyspnoia, </w:t>
      </w:r>
      <w:r>
        <w:rPr>
          <w:rFonts w:hint="eastAsia"/>
          <w:sz w:val="15"/>
          <w:szCs w:val="15"/>
          <w:lang w:val="en-US" w:eastAsia="zh-CN"/>
        </w:rPr>
        <w:t>incubation period</w:t>
      </w:r>
      <w:r>
        <w:rPr>
          <w:rFonts w:hint="default" w:ascii="Arial" w:hAnsi="Arial" w:cs="Arial"/>
          <w:spacing w:val="12"/>
          <w:sz w:val="15"/>
          <w:szCs w:val="15"/>
        </w:rPr>
        <w:t>, and age successively had an influence of &gt;20% on OR value. Therefore, the remaining six variables were all included in the final risk score.</w:t>
      </w:r>
    </w:p>
    <w:p>
      <w:pPr>
        <w:rPr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365F86"/>
    <w:rsid w:val="0E9438C7"/>
    <w:rsid w:val="62365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2021-01-12T15:47:00Z</dcterms:created>
  <dc:creator>彭医师  呼吸科</dc:creator>
  <cp:lastModifiedBy>彭医师  呼吸科</cp:lastModifiedBy>
  <dcterms:modified xsi:type="dcterms:W3CDTF">2021-02-02T14:25:34Z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