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D0BCB3" w14:textId="77777777" w:rsidR="00065F91" w:rsidRDefault="00065F91" w:rsidP="00065F91">
      <w:pPr>
        <w:jc w:val="both"/>
        <w:rPr>
          <w:rFonts w:ascii="Times New Roman" w:eastAsia="Times New Roman" w:hAnsi="Times New Roman" w:cs="Times New Roman"/>
        </w:rPr>
      </w:pPr>
      <w:r>
        <w:rPr>
          <w:rFonts w:ascii="Times New Roman" w:eastAsia="Times New Roman" w:hAnsi="Times New Roman" w:cs="Times New Roman"/>
          <w:b/>
        </w:rPr>
        <w:t xml:space="preserve">File S1: </w:t>
      </w:r>
      <w:r>
        <w:rPr>
          <w:rFonts w:ascii="Times New Roman" w:eastAsia="Times New Roman" w:hAnsi="Times New Roman" w:cs="Times New Roman"/>
        </w:rPr>
        <w:t xml:space="preserve">Alignment of CHKIV </w:t>
      </w:r>
      <w:r>
        <w:rPr>
          <w:rFonts w:ascii="Times New Roman" w:eastAsia="Times New Roman" w:hAnsi="Times New Roman" w:cs="Times New Roman"/>
          <w:sz w:val="24"/>
          <w:szCs w:val="24"/>
        </w:rPr>
        <w:t>consensus sequences used to identify target regions.</w:t>
      </w:r>
    </w:p>
    <w:p w14:paraId="4EE405AE" w14:textId="77777777" w:rsidR="00065F91" w:rsidRDefault="00065F91" w:rsidP="00065F91"/>
    <w:p w14:paraId="1CBAB835" w14:textId="77777777" w:rsidR="00065F91" w:rsidRDefault="00065F91" w:rsidP="00065F91"/>
    <w:p w14:paraId="4239947B" w14:textId="77777777" w:rsidR="00065F91" w:rsidRDefault="00065F91" w:rsidP="00065F91"/>
    <w:p w14:paraId="36021A9C" w14:textId="77777777" w:rsidR="00065F91" w:rsidRDefault="00065F91" w:rsidP="00065F91"/>
    <w:p w14:paraId="09C3AA0B" w14:textId="77777777" w:rsidR="00065F91" w:rsidRDefault="00065F91" w:rsidP="00065F91">
      <w:pPr>
        <w:rPr>
          <w:rFonts w:ascii="Times New Roman" w:eastAsia="Times New Roman" w:hAnsi="Times New Roman" w:cs="Times New Roman"/>
          <w:b/>
          <w:sz w:val="20"/>
          <w:szCs w:val="20"/>
        </w:rPr>
      </w:pPr>
    </w:p>
    <w:p w14:paraId="325F1388" w14:textId="77777777" w:rsidR="00065F91" w:rsidRDefault="00065F91" w:rsidP="00065F91">
      <w:pPr>
        <w:rPr>
          <w:rFonts w:ascii="Times New Roman" w:eastAsia="Times New Roman" w:hAnsi="Times New Roman" w:cs="Times New Roman"/>
          <w:b/>
          <w:sz w:val="20"/>
          <w:szCs w:val="20"/>
        </w:rPr>
      </w:pPr>
    </w:p>
    <w:p w14:paraId="047D1057" w14:textId="77777777" w:rsidR="00065F91" w:rsidRDefault="00065F91" w:rsidP="00065F91">
      <w:pPr>
        <w:rPr>
          <w:rFonts w:ascii="Times New Roman" w:eastAsia="Times New Roman" w:hAnsi="Times New Roman" w:cs="Times New Roman"/>
          <w:b/>
          <w:sz w:val="20"/>
          <w:szCs w:val="20"/>
        </w:rPr>
      </w:pPr>
    </w:p>
    <w:p w14:paraId="4CE89B78" w14:textId="77777777" w:rsidR="00065F91" w:rsidRDefault="00065F91" w:rsidP="00065F91">
      <w:pPr>
        <w:rPr>
          <w:rFonts w:ascii="Times New Roman" w:eastAsia="Times New Roman" w:hAnsi="Times New Roman" w:cs="Times New Roman"/>
          <w:b/>
          <w:sz w:val="20"/>
          <w:szCs w:val="20"/>
        </w:rPr>
      </w:pPr>
    </w:p>
    <w:p w14:paraId="12A11779" w14:textId="77777777" w:rsidR="00065F91" w:rsidRDefault="00065F91" w:rsidP="00065F91">
      <w:pPr>
        <w:rPr>
          <w:rFonts w:ascii="Times New Roman" w:eastAsia="Times New Roman" w:hAnsi="Times New Roman" w:cs="Times New Roman"/>
          <w:sz w:val="20"/>
          <w:szCs w:val="20"/>
        </w:rPr>
      </w:pPr>
    </w:p>
    <w:p w14:paraId="490E3E5F" w14:textId="77777777" w:rsidR="00065F91" w:rsidRDefault="00065F91" w:rsidP="00065F91">
      <w:pPr>
        <w:rPr>
          <w:rFonts w:ascii="Times New Roman" w:eastAsia="Times New Roman" w:hAnsi="Times New Roman" w:cs="Times New Roman"/>
          <w:b/>
          <w:sz w:val="20"/>
          <w:szCs w:val="20"/>
        </w:rPr>
      </w:pPr>
      <w:r>
        <w:rPr>
          <w:noProof/>
        </w:rPr>
        <w:drawing>
          <wp:inline distT="114300" distB="114300" distL="114300" distR="114300" wp14:anchorId="76B69F44" wp14:editId="5708F5A1">
            <wp:extent cx="5943600" cy="2540000"/>
            <wp:effectExtent l="0" t="0" r="0" b="0"/>
            <wp:docPr id="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
                    <a:srcRect/>
                    <a:stretch>
                      <a:fillRect/>
                    </a:stretch>
                  </pic:blipFill>
                  <pic:spPr>
                    <a:xfrm>
                      <a:off x="0" y="0"/>
                      <a:ext cx="5943600" cy="2540000"/>
                    </a:xfrm>
                    <a:prstGeom prst="rect">
                      <a:avLst/>
                    </a:prstGeom>
                    <a:ln/>
                  </pic:spPr>
                </pic:pic>
              </a:graphicData>
            </a:graphic>
          </wp:inline>
        </w:drawing>
      </w:r>
    </w:p>
    <w:p w14:paraId="427B8BF1" w14:textId="77777777" w:rsidR="00065F91" w:rsidRDefault="00065F91" w:rsidP="00065F91">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 S1</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Schematic representation of constructs generated for this study.</w:t>
      </w:r>
      <w:r>
        <w:rPr>
          <w:rFonts w:ascii="Times New Roman" w:eastAsia="Times New Roman" w:hAnsi="Times New Roman" w:cs="Times New Roman"/>
          <w:sz w:val="20"/>
          <w:szCs w:val="20"/>
        </w:rPr>
        <w:t xml:space="preserve"> </w:t>
      </w:r>
    </w:p>
    <w:p w14:paraId="18B476B1" w14:textId="77777777" w:rsidR="00065F91" w:rsidRDefault="00065F91" w:rsidP="00065F91">
      <w:pPr>
        <w:rPr>
          <w:rFonts w:ascii="Times New Roman" w:eastAsia="Times New Roman" w:hAnsi="Times New Roman" w:cs="Times New Roman"/>
          <w:sz w:val="20"/>
          <w:szCs w:val="20"/>
        </w:rPr>
      </w:pPr>
    </w:p>
    <w:p w14:paraId="5E3A2B7B" w14:textId="77777777" w:rsidR="00065F91" w:rsidRDefault="00065F91" w:rsidP="00065F91">
      <w:pPr>
        <w:rPr>
          <w:rFonts w:ascii="Times New Roman" w:eastAsia="Times New Roman" w:hAnsi="Times New Roman" w:cs="Times New Roman"/>
          <w:b/>
          <w:sz w:val="20"/>
          <w:szCs w:val="20"/>
        </w:rPr>
      </w:pPr>
    </w:p>
    <w:p w14:paraId="78A2FCF3" w14:textId="77777777" w:rsidR="00065F91" w:rsidRDefault="00065F91" w:rsidP="00065F91">
      <w:pPr>
        <w:jc w:val="center"/>
        <w:rPr>
          <w:rFonts w:ascii="Times New Roman" w:eastAsia="Times New Roman" w:hAnsi="Times New Roman" w:cs="Times New Roman"/>
          <w:b/>
          <w:sz w:val="20"/>
          <w:szCs w:val="20"/>
        </w:rPr>
      </w:pPr>
      <w:r>
        <w:rPr>
          <w:noProof/>
        </w:rPr>
        <w:drawing>
          <wp:inline distT="114300" distB="114300" distL="114300" distR="114300" wp14:anchorId="0DC3FA22" wp14:editId="325F9942">
            <wp:extent cx="3279775" cy="2919800"/>
            <wp:effectExtent l="0" t="0" r="0" b="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l="1265" t="4156" r="7068" b="8393"/>
                    <a:stretch>
                      <a:fillRect/>
                    </a:stretch>
                  </pic:blipFill>
                  <pic:spPr>
                    <a:xfrm>
                      <a:off x="0" y="0"/>
                      <a:ext cx="3279775" cy="2919800"/>
                    </a:xfrm>
                    <a:prstGeom prst="rect">
                      <a:avLst/>
                    </a:prstGeom>
                    <a:ln/>
                  </pic:spPr>
                </pic:pic>
              </a:graphicData>
            </a:graphic>
          </wp:inline>
        </w:drawing>
      </w:r>
    </w:p>
    <w:p w14:paraId="1FCEEC5E" w14:textId="77777777" w:rsidR="00065F91" w:rsidRDefault="00065F91" w:rsidP="00065F91">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 S2:</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qPCR data validating RNAseq results.</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(A)</w:t>
      </w:r>
      <w:r>
        <w:rPr>
          <w:rFonts w:ascii="Times New Roman" w:eastAsia="Times New Roman" w:hAnsi="Times New Roman" w:cs="Times New Roman"/>
          <w:sz w:val="20"/>
          <w:szCs w:val="20"/>
        </w:rPr>
        <w:t xml:space="preserve"> qPCR result for</w:t>
      </w:r>
      <w:r>
        <w:rPr>
          <w:rFonts w:ascii="Times New Roman" w:eastAsia="Times New Roman" w:hAnsi="Times New Roman" w:cs="Times New Roman"/>
          <w:i/>
          <w:sz w:val="20"/>
          <w:szCs w:val="20"/>
        </w:rPr>
        <w:t xml:space="preserve"> yellow</w:t>
      </w:r>
      <w:r>
        <w:rPr>
          <w:rFonts w:ascii="Times New Roman" w:eastAsia="Times New Roman" w:hAnsi="Times New Roman" w:cs="Times New Roman"/>
          <w:sz w:val="20"/>
          <w:szCs w:val="20"/>
        </w:rPr>
        <w:t xml:space="preserve"> gene in 24–hr-old embryos and surviving larvae. </w:t>
      </w:r>
      <w:r>
        <w:rPr>
          <w:rFonts w:ascii="Times New Roman" w:eastAsia="Times New Roman" w:hAnsi="Times New Roman" w:cs="Times New Roman"/>
          <w:b/>
          <w:sz w:val="20"/>
          <w:szCs w:val="20"/>
        </w:rPr>
        <w:t>(B)</w:t>
      </w:r>
      <w:r>
        <w:rPr>
          <w:rFonts w:ascii="Times New Roman" w:eastAsia="Times New Roman" w:hAnsi="Times New Roman" w:cs="Times New Roman"/>
          <w:sz w:val="20"/>
          <w:szCs w:val="20"/>
        </w:rPr>
        <w:t xml:space="preserve"> GFP expression comparison in controls and transheterozygote larvae with and without visual </w:t>
      </w:r>
      <w:r>
        <w:rPr>
          <w:rFonts w:ascii="Times New Roman" w:eastAsia="Times New Roman" w:hAnsi="Times New Roman" w:cs="Times New Roman"/>
          <w:sz w:val="20"/>
          <w:szCs w:val="20"/>
        </w:rPr>
        <w:lastRenderedPageBreak/>
        <w:t>reduction in GFP. Asterisks indicate significant reduction in hatching rate in transheterozygotes by one-way ANOVA with Tukey’s multiple-comparison test (***</w:t>
      </w:r>
      <w:r>
        <w:rPr>
          <w:rFonts w:ascii="Times New Roman" w:eastAsia="Times New Roman" w:hAnsi="Times New Roman" w:cs="Times New Roman"/>
          <w:i/>
          <w:sz w:val="20"/>
          <w:szCs w:val="20"/>
        </w:rPr>
        <w:t xml:space="preserve">P </w:t>
      </w:r>
      <w:r>
        <w:rPr>
          <w:rFonts w:ascii="Times New Roman" w:eastAsia="Times New Roman" w:hAnsi="Times New Roman" w:cs="Times New Roman"/>
          <w:sz w:val="20"/>
          <w:szCs w:val="20"/>
        </w:rPr>
        <w:t xml:space="preserve">&lt; 0.001). </w:t>
      </w:r>
    </w:p>
    <w:p w14:paraId="604E8FD0" w14:textId="77777777" w:rsidR="00065F91" w:rsidRDefault="00065F91" w:rsidP="00065F91"/>
    <w:p w14:paraId="40F00B35" w14:textId="77777777" w:rsidR="00065F91" w:rsidRDefault="00065F91" w:rsidP="00065F91">
      <w:r>
        <w:rPr>
          <w:noProof/>
        </w:rPr>
        <w:drawing>
          <wp:inline distT="114300" distB="114300" distL="114300" distR="114300" wp14:anchorId="18874794" wp14:editId="18D1C100">
            <wp:extent cx="5886450" cy="274002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l="908" t="625" b="2422"/>
                    <a:stretch>
                      <a:fillRect/>
                    </a:stretch>
                  </pic:blipFill>
                  <pic:spPr>
                    <a:xfrm>
                      <a:off x="0" y="0"/>
                      <a:ext cx="5886450" cy="2740025"/>
                    </a:xfrm>
                    <a:prstGeom prst="rect">
                      <a:avLst/>
                    </a:prstGeom>
                    <a:ln/>
                  </pic:spPr>
                </pic:pic>
              </a:graphicData>
            </a:graphic>
          </wp:inline>
        </w:drawing>
      </w:r>
    </w:p>
    <w:p w14:paraId="53EAD8A1" w14:textId="77777777" w:rsidR="00065F91" w:rsidRDefault="00065F91" w:rsidP="00065F91">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 S3</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Hatching rate from bidirectional crosses.</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(A)</w:t>
      </w:r>
      <w:r>
        <w:rPr>
          <w:rFonts w:ascii="Times New Roman" w:eastAsia="Times New Roman" w:hAnsi="Times New Roman" w:cs="Times New Roman"/>
          <w:sz w:val="20"/>
          <w:szCs w:val="20"/>
        </w:rPr>
        <w:t xml:space="preserve"> when targeting </w:t>
      </w:r>
      <w:r>
        <w:rPr>
          <w:rFonts w:ascii="Times New Roman" w:eastAsia="Times New Roman" w:hAnsi="Times New Roman" w:cs="Times New Roman"/>
          <w:i/>
          <w:sz w:val="20"/>
          <w:szCs w:val="20"/>
        </w:rPr>
        <w:t>yellow</w:t>
      </w:r>
      <w:r>
        <w:rPr>
          <w:rFonts w:ascii="Times New Roman" w:eastAsia="Times New Roman" w:hAnsi="Times New Roman" w:cs="Times New Roman"/>
          <w:sz w:val="20"/>
          <w:szCs w:val="20"/>
        </w:rPr>
        <w:t xml:space="preserve"> gene and </w:t>
      </w:r>
      <w:r>
        <w:rPr>
          <w:rFonts w:ascii="Times New Roman" w:eastAsia="Times New Roman" w:hAnsi="Times New Roman" w:cs="Times New Roman"/>
          <w:b/>
          <w:sz w:val="20"/>
          <w:szCs w:val="20"/>
        </w:rPr>
        <w:t>(B)</w:t>
      </w:r>
      <w:r>
        <w:rPr>
          <w:rFonts w:ascii="Times New Roman" w:eastAsia="Times New Roman" w:hAnsi="Times New Roman" w:cs="Times New Roman"/>
          <w:sz w:val="20"/>
          <w:szCs w:val="20"/>
        </w:rPr>
        <w:t xml:space="preserve"> when targeting GFP transgene. Phenotype penetrance is depicted by green shading in the box plot, with colors ranging from light green (low EGFP levels) to dark green (high EGFP levels). Red dots represent dead individuals and thus non quantifiable EGFP. Asterisks indicate significant reduction in hatching rate in transheterozygotes by one-way ANOVA with Tukey’s multiple-comparison test (***</w:t>
      </w:r>
      <w:r>
        <w:rPr>
          <w:rFonts w:ascii="Times New Roman" w:eastAsia="Times New Roman" w:hAnsi="Times New Roman" w:cs="Times New Roman"/>
          <w:i/>
          <w:sz w:val="20"/>
          <w:szCs w:val="20"/>
        </w:rPr>
        <w:t xml:space="preserve">P </w:t>
      </w:r>
      <w:r>
        <w:rPr>
          <w:rFonts w:ascii="Times New Roman" w:eastAsia="Times New Roman" w:hAnsi="Times New Roman" w:cs="Times New Roman"/>
          <w:sz w:val="20"/>
          <w:szCs w:val="20"/>
        </w:rPr>
        <w:t>&lt; 0.001).</w:t>
      </w:r>
    </w:p>
    <w:p w14:paraId="7385734C" w14:textId="77777777" w:rsidR="00065F91" w:rsidRDefault="00065F91" w:rsidP="00065F91"/>
    <w:p w14:paraId="61A53081" w14:textId="77777777" w:rsidR="00065F91" w:rsidRDefault="00065F91" w:rsidP="00065F91">
      <w:pPr>
        <w:jc w:val="both"/>
        <w:rPr>
          <w:rFonts w:ascii="Times New Roman" w:eastAsia="Times New Roman" w:hAnsi="Times New Roman" w:cs="Times New Roman"/>
          <w:sz w:val="20"/>
          <w:szCs w:val="20"/>
        </w:rPr>
      </w:pPr>
      <w:r>
        <w:rPr>
          <w:rFonts w:ascii="Times New Roman" w:eastAsia="Times New Roman" w:hAnsi="Times New Roman" w:cs="Times New Roman"/>
          <w:noProof/>
        </w:rPr>
        <w:lastRenderedPageBreak/>
        <w:drawing>
          <wp:inline distT="114300" distB="114300" distL="114300" distR="114300" wp14:anchorId="41E5D45F" wp14:editId="29112345">
            <wp:extent cx="5943600" cy="5635625"/>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t="591" b="591"/>
                    <a:stretch>
                      <a:fillRect/>
                    </a:stretch>
                  </pic:blipFill>
                  <pic:spPr>
                    <a:xfrm>
                      <a:off x="0" y="0"/>
                      <a:ext cx="5943600" cy="5635625"/>
                    </a:xfrm>
                    <a:prstGeom prst="rect">
                      <a:avLst/>
                    </a:prstGeom>
                    <a:ln/>
                  </pic:spPr>
                </pic:pic>
              </a:graphicData>
            </a:graphic>
          </wp:inline>
        </w:drawing>
      </w:r>
      <w:r>
        <w:rPr>
          <w:rFonts w:ascii="Times New Roman" w:eastAsia="Times New Roman" w:hAnsi="Times New Roman" w:cs="Times New Roman"/>
          <w:b/>
          <w:sz w:val="20"/>
          <w:szCs w:val="20"/>
        </w:rPr>
        <w:t>Fig. S4</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Assessment of yellow and GFP transcript reduction mediated by Ub:AeCasRx-NES</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(A)</w:t>
      </w:r>
      <w:r>
        <w:rPr>
          <w:rFonts w:ascii="Times New Roman" w:eastAsia="Times New Roman" w:hAnsi="Times New Roman" w:cs="Times New Roman"/>
          <w:sz w:val="20"/>
          <w:szCs w:val="20"/>
        </w:rPr>
        <w:t xml:space="preserve"> qPCR result for</w:t>
      </w:r>
      <w:r>
        <w:rPr>
          <w:rFonts w:ascii="Times New Roman" w:eastAsia="Times New Roman" w:hAnsi="Times New Roman" w:cs="Times New Roman"/>
          <w:i/>
          <w:sz w:val="20"/>
          <w:szCs w:val="20"/>
        </w:rPr>
        <w:t xml:space="preserve"> yellow</w:t>
      </w:r>
      <w:r>
        <w:rPr>
          <w:rFonts w:ascii="Times New Roman" w:eastAsia="Times New Roman" w:hAnsi="Times New Roman" w:cs="Times New Roman"/>
          <w:sz w:val="20"/>
          <w:szCs w:val="20"/>
        </w:rPr>
        <w:t xml:space="preserve"> gene in 24–hr-old embryos, </w:t>
      </w:r>
      <w:r>
        <w:rPr>
          <w:rFonts w:ascii="Times New Roman" w:eastAsia="Times New Roman" w:hAnsi="Times New Roman" w:cs="Times New Roman"/>
          <w:b/>
          <w:sz w:val="20"/>
          <w:szCs w:val="20"/>
        </w:rPr>
        <w:t>(B)</w:t>
      </w:r>
      <w:r>
        <w:rPr>
          <w:rFonts w:ascii="Times New Roman" w:eastAsia="Times New Roman" w:hAnsi="Times New Roman" w:cs="Times New Roman"/>
          <w:sz w:val="20"/>
          <w:szCs w:val="20"/>
        </w:rPr>
        <w:t xml:space="preserve"> Hatching rate from bidirectional crosses using the three Ub:CasRx-NES lines A, B and C (</w:t>
      </w:r>
      <w:r>
        <w:rPr>
          <w:rFonts w:ascii="Times New Roman" w:eastAsia="Times New Roman" w:hAnsi="Times New Roman" w:cs="Times New Roman"/>
          <w:b/>
          <w:sz w:val="20"/>
          <w:szCs w:val="20"/>
        </w:rPr>
        <w:t>table S2</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 xml:space="preserve">(C) </w:t>
      </w:r>
      <w:r>
        <w:rPr>
          <w:rFonts w:ascii="Times New Roman" w:eastAsia="Times New Roman" w:hAnsi="Times New Roman" w:cs="Times New Roman"/>
          <w:sz w:val="20"/>
          <w:szCs w:val="20"/>
        </w:rPr>
        <w:t>qPCR result for</w:t>
      </w:r>
      <w:r>
        <w:rPr>
          <w:rFonts w:ascii="Times New Roman" w:eastAsia="Times New Roman" w:hAnsi="Times New Roman" w:cs="Times New Roman"/>
          <w:i/>
          <w:sz w:val="20"/>
          <w:szCs w:val="20"/>
        </w:rPr>
        <w:t xml:space="preserve"> GFP</w:t>
      </w:r>
      <w:r>
        <w:rPr>
          <w:rFonts w:ascii="Times New Roman" w:eastAsia="Times New Roman" w:hAnsi="Times New Roman" w:cs="Times New Roman"/>
          <w:sz w:val="20"/>
          <w:szCs w:val="20"/>
        </w:rPr>
        <w:t xml:space="preserve"> gene in surviving larvae showing visual reduction in GFP expression. </w:t>
      </w:r>
      <w:r>
        <w:rPr>
          <w:rFonts w:ascii="Times New Roman" w:eastAsia="Times New Roman" w:hAnsi="Times New Roman" w:cs="Times New Roman"/>
          <w:b/>
          <w:sz w:val="20"/>
          <w:szCs w:val="20"/>
        </w:rPr>
        <w:t xml:space="preserve">(D) </w:t>
      </w:r>
      <w:r>
        <w:rPr>
          <w:rFonts w:ascii="Times New Roman" w:eastAsia="Times New Roman" w:hAnsi="Times New Roman" w:cs="Times New Roman"/>
          <w:sz w:val="20"/>
          <w:szCs w:val="20"/>
        </w:rPr>
        <w:t>Hatching rate from bidirectional crosses using the three Ub:CasRx-NES lines. Phenotype penetrance is depicted by green shading in the box plot, with colors ranging from light green (low EGFP levels) to dark green (high EGFP levels). Red dots represent dead individuals and thus non quantifiable EGFP</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 xml:space="preserve">Asterisks indicate significant differences by one-way ANOVA with Tukey’s multiple-comparison test (*** </w:t>
      </w:r>
      <w:r>
        <w:rPr>
          <w:rFonts w:ascii="Times New Roman" w:eastAsia="Times New Roman" w:hAnsi="Times New Roman" w:cs="Times New Roman"/>
          <w:i/>
          <w:sz w:val="20"/>
          <w:szCs w:val="20"/>
        </w:rPr>
        <w:t xml:space="preserve">P </w:t>
      </w:r>
      <w:r>
        <w:rPr>
          <w:rFonts w:ascii="Times New Roman" w:eastAsia="Times New Roman" w:hAnsi="Times New Roman" w:cs="Times New Roman"/>
          <w:sz w:val="20"/>
          <w:szCs w:val="20"/>
        </w:rPr>
        <w:t>&lt; 0.001).</w:t>
      </w:r>
    </w:p>
    <w:p w14:paraId="1942B57C" w14:textId="77777777" w:rsidR="00065F91" w:rsidRDefault="00065F91" w:rsidP="00065F91">
      <w:pPr>
        <w:jc w:val="both"/>
        <w:rPr>
          <w:rFonts w:ascii="Times New Roman" w:eastAsia="Times New Roman" w:hAnsi="Times New Roman" w:cs="Times New Roman"/>
          <w:sz w:val="20"/>
          <w:szCs w:val="20"/>
        </w:rPr>
      </w:pPr>
    </w:p>
    <w:p w14:paraId="2F3909C0" w14:textId="77777777" w:rsidR="00065F91" w:rsidRDefault="00065F91" w:rsidP="00065F91">
      <w:pPr>
        <w:jc w:val="both"/>
        <w:rPr>
          <w:rFonts w:ascii="Times New Roman" w:eastAsia="Times New Roman" w:hAnsi="Times New Roman" w:cs="Times New Roman"/>
          <w:sz w:val="20"/>
          <w:szCs w:val="20"/>
        </w:rPr>
      </w:pPr>
    </w:p>
    <w:p w14:paraId="3A37CAF7" w14:textId="77777777" w:rsidR="00065F91" w:rsidRDefault="00065F91" w:rsidP="00065F91">
      <w:pPr>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114300" distB="114300" distL="114300" distR="114300" wp14:anchorId="1182D0FB" wp14:editId="6297E886">
            <wp:extent cx="4659866" cy="5005388"/>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4659866" cy="5005388"/>
                    </a:xfrm>
                    <a:prstGeom prst="rect">
                      <a:avLst/>
                    </a:prstGeom>
                    <a:ln/>
                  </pic:spPr>
                </pic:pic>
              </a:graphicData>
            </a:graphic>
          </wp:inline>
        </w:drawing>
      </w:r>
    </w:p>
    <w:p w14:paraId="097232C3" w14:textId="77777777" w:rsidR="00065F91" w:rsidRDefault="00065F91" w:rsidP="00065F91">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 S5: CHIKV consensus sequences of the target sites</w:t>
      </w:r>
      <w:r>
        <w:rPr>
          <w:rFonts w:ascii="Times New Roman" w:eastAsia="Times New Roman" w:hAnsi="Times New Roman" w:cs="Times New Roman"/>
          <w:sz w:val="20"/>
          <w:szCs w:val="20"/>
        </w:rPr>
        <w:t>. Consensus sequences were generated from conserved CHIKV genome regions aligned to the lab strain. They contain the 30nt target region (yellow highlight) used to design the gRNA employed in the study.</w:t>
      </w:r>
    </w:p>
    <w:p w14:paraId="7D120BD2" w14:textId="77777777" w:rsidR="00065F91" w:rsidRDefault="00065F91" w:rsidP="00065F91">
      <w:pPr>
        <w:rPr>
          <w:rFonts w:ascii="Times New Roman" w:eastAsia="Times New Roman" w:hAnsi="Times New Roman" w:cs="Times New Roman"/>
          <w:sz w:val="20"/>
          <w:szCs w:val="20"/>
        </w:rPr>
      </w:pPr>
    </w:p>
    <w:p w14:paraId="385C8534" w14:textId="77777777" w:rsidR="00065F91" w:rsidRDefault="00065F91" w:rsidP="00065F91">
      <w:pPr>
        <w:rPr>
          <w:rFonts w:ascii="Times New Roman" w:eastAsia="Times New Roman" w:hAnsi="Times New Roman" w:cs="Times New Roman"/>
          <w:b/>
          <w:sz w:val="20"/>
          <w:szCs w:val="20"/>
        </w:rPr>
      </w:pPr>
    </w:p>
    <w:p w14:paraId="506EF6EE" w14:textId="77777777" w:rsidR="00065F91" w:rsidRDefault="00065F91" w:rsidP="00065F91">
      <w:pPr>
        <w:jc w:val="both"/>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rPr>
        <w:lastRenderedPageBreak/>
        <w:drawing>
          <wp:inline distT="114300" distB="114300" distL="114300" distR="114300" wp14:anchorId="78C0577C" wp14:editId="05E92517">
            <wp:extent cx="5943600" cy="31623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943600" cy="3162300"/>
                    </a:xfrm>
                    <a:prstGeom prst="rect">
                      <a:avLst/>
                    </a:prstGeom>
                    <a:ln/>
                  </pic:spPr>
                </pic:pic>
              </a:graphicData>
            </a:graphic>
          </wp:inline>
        </w:drawing>
      </w:r>
      <w:r>
        <w:rPr>
          <w:rFonts w:ascii="Times New Roman" w:eastAsia="Times New Roman" w:hAnsi="Times New Roman" w:cs="Times New Roman"/>
          <w:b/>
          <w:sz w:val="20"/>
          <w:szCs w:val="20"/>
        </w:rPr>
        <w:t xml:space="preserve">Fig. S6: Virus challenge assays using Ub:CasRx-NLS. (A) </w:t>
      </w:r>
      <w:r>
        <w:rPr>
          <w:rFonts w:ascii="Times New Roman" w:eastAsia="Times New Roman" w:hAnsi="Times New Roman" w:cs="Times New Roman"/>
          <w:sz w:val="20"/>
          <w:szCs w:val="20"/>
        </w:rPr>
        <w:t>Adult survival curves (log-rank Mantel-Cox test) of CHIKV exposed females per treatment. No significant differences were found between Survival curves. (</w:t>
      </w:r>
      <w:r>
        <w:rPr>
          <w:rFonts w:ascii="Times New Roman" w:eastAsia="Times New Roman" w:hAnsi="Times New Roman" w:cs="Times New Roman"/>
          <w:b/>
          <w:sz w:val="20"/>
          <w:szCs w:val="20"/>
        </w:rPr>
        <w:t>B</w:t>
      </w:r>
      <w:r>
        <w:rPr>
          <w:rFonts w:ascii="Times New Roman" w:eastAsia="Times New Roman" w:hAnsi="Times New Roman" w:cs="Times New Roman"/>
          <w:sz w:val="20"/>
          <w:szCs w:val="20"/>
        </w:rPr>
        <w:t>)</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The viral genome copy number and infection prevalence of CHIKV were measured after an infected blood meal challenge (n = 30). qRT-PCR was used to assess genome copy number and infection prevalence in individual mosquitoes, with each dot representing the viral load from individual mosquitoes. Each pie-chart indicates the percentage of mosquitos that died by day 5 (in red)</w:t>
      </w:r>
      <w:r>
        <w:rPr>
          <w:rFonts w:ascii="Gungsuh" w:eastAsia="Gungsuh" w:hAnsi="Gungsuh" w:cs="Gungsuh"/>
          <w:sz w:val="20"/>
          <w:szCs w:val="20"/>
        </w:rPr>
        <w:t>, that are alive but with lower virus level of ≤10</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xml:space="preserve"> (blue), or that have an high virus level (black). Horizontal red lines indicate the median of the viral loads. Considering the non-normal distribution of viral titers, the median was used to describe central tendency. The non-parametric Mann-Whitney test was used to compare median viral titers, and Fisher’s exact test was used to compare infection prevalence. *</w:t>
      </w:r>
      <w:r>
        <w:rPr>
          <w:rFonts w:ascii="Times New Roman" w:eastAsia="Times New Roman" w:hAnsi="Times New Roman" w:cs="Times New Roman"/>
          <w:i/>
          <w:sz w:val="20"/>
          <w:szCs w:val="20"/>
        </w:rPr>
        <w:t>P</w:t>
      </w:r>
      <w:r>
        <w:rPr>
          <w:rFonts w:ascii="Times New Roman" w:eastAsia="Times New Roman" w:hAnsi="Times New Roman" w:cs="Times New Roman"/>
          <w:sz w:val="20"/>
          <w:szCs w:val="20"/>
        </w:rPr>
        <w:t xml:space="preserve"> &lt; 0.05, **</w:t>
      </w:r>
      <w:r>
        <w:rPr>
          <w:rFonts w:ascii="Times New Roman" w:eastAsia="Times New Roman" w:hAnsi="Times New Roman" w:cs="Times New Roman"/>
          <w:i/>
          <w:sz w:val="20"/>
          <w:szCs w:val="20"/>
        </w:rPr>
        <w:t>P</w:t>
      </w:r>
      <w:r>
        <w:rPr>
          <w:rFonts w:ascii="Times New Roman" w:eastAsia="Times New Roman" w:hAnsi="Times New Roman" w:cs="Times New Roman"/>
          <w:sz w:val="20"/>
          <w:szCs w:val="20"/>
        </w:rPr>
        <w:t xml:space="preserve"> &lt; 0.01, ****</w:t>
      </w:r>
      <w:r>
        <w:rPr>
          <w:rFonts w:ascii="Times New Roman" w:eastAsia="Times New Roman" w:hAnsi="Times New Roman" w:cs="Times New Roman"/>
          <w:i/>
          <w:sz w:val="20"/>
          <w:szCs w:val="20"/>
        </w:rPr>
        <w:t>P</w:t>
      </w:r>
      <w:r>
        <w:rPr>
          <w:rFonts w:ascii="Times New Roman" w:eastAsia="Times New Roman" w:hAnsi="Times New Roman" w:cs="Times New Roman"/>
          <w:sz w:val="20"/>
          <w:szCs w:val="20"/>
        </w:rPr>
        <w:t xml:space="preserve"> &lt; 0.0001. </w:t>
      </w:r>
    </w:p>
    <w:p w14:paraId="4C03D689" w14:textId="77777777" w:rsidR="00065F91" w:rsidRDefault="00065F91" w:rsidP="00065F91">
      <w:pPr>
        <w:spacing w:line="240" w:lineRule="auto"/>
        <w:jc w:val="both"/>
        <w:rPr>
          <w:rFonts w:ascii="Times New Roman" w:eastAsia="Times New Roman" w:hAnsi="Times New Roman" w:cs="Times New Roman"/>
          <w:b/>
          <w:sz w:val="20"/>
          <w:szCs w:val="20"/>
        </w:rPr>
      </w:pPr>
    </w:p>
    <w:p w14:paraId="4A4A29F3" w14:textId="77777777" w:rsidR="00065F91" w:rsidRDefault="00065F91" w:rsidP="00065F91">
      <w:pPr>
        <w:spacing w:line="240" w:lineRule="auto"/>
        <w:jc w:val="both"/>
        <w:rPr>
          <w:rFonts w:ascii="Times New Roman" w:eastAsia="Times New Roman" w:hAnsi="Times New Roman" w:cs="Times New Roman"/>
          <w:b/>
          <w:sz w:val="20"/>
          <w:szCs w:val="20"/>
        </w:rPr>
      </w:pPr>
    </w:p>
    <w:p w14:paraId="1A382380" w14:textId="77777777" w:rsidR="00065F91" w:rsidRDefault="00065F91" w:rsidP="00065F91">
      <w:pPr>
        <w:spacing w:line="240" w:lineRule="auto"/>
        <w:jc w:val="both"/>
        <w:rPr>
          <w:rFonts w:ascii="Times New Roman" w:eastAsia="Times New Roman" w:hAnsi="Times New Roman" w:cs="Times New Roman"/>
          <w:b/>
          <w:sz w:val="24"/>
          <w:szCs w:val="24"/>
        </w:rPr>
      </w:pPr>
      <w:r>
        <w:br w:type="page"/>
      </w:r>
    </w:p>
    <w:p w14:paraId="02BBC2C2" w14:textId="77777777" w:rsidR="001760E5" w:rsidRDefault="00065F91"/>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ungsuh">
    <w:altName w:val="Gungsuh"/>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F91"/>
    <w:rsid w:val="00065F91"/>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78796"/>
  <w15:chartTrackingRefBased/>
  <w15:docId w15:val="{8C2BDF69-360F-4EF4-B43D-03C46DB2A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5F91"/>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465</Words>
  <Characters>2656</Characters>
  <Application>Microsoft Office Word</Application>
  <DocSecurity>0</DocSecurity>
  <Lines>22</Lines>
  <Paragraphs>6</Paragraphs>
  <ScaleCrop>false</ScaleCrop>
  <Company>Springer Nature</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2023-02-02T05:21:00Z</dcterms:created>
  <dcterms:modified xsi:type="dcterms:W3CDTF">2023-02-02T05:21:00Z</dcterms:modified>
</cp:coreProperties>
</file>