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BDDC7" w14:textId="56FED612" w:rsidR="00AF1518" w:rsidRDefault="00721891" w:rsidP="00721891">
      <w:pPr>
        <w:spacing w:line="480" w:lineRule="auto"/>
        <w:jc w:val="both"/>
        <w:rPr>
          <w:b/>
          <w:bCs/>
        </w:rPr>
      </w:pPr>
      <w:r>
        <w:rPr>
          <w:b/>
          <w:bCs/>
        </w:rPr>
        <w:t>Supplemental methods</w:t>
      </w:r>
    </w:p>
    <w:p w14:paraId="66D82175" w14:textId="244171FC" w:rsidR="00721891" w:rsidRPr="00721891" w:rsidRDefault="00721891" w:rsidP="00721891">
      <w:pPr>
        <w:spacing w:line="360" w:lineRule="auto"/>
        <w:jc w:val="both"/>
        <w:rPr>
          <w:b/>
          <w:bCs/>
          <w:u w:val="single"/>
        </w:rPr>
      </w:pPr>
      <w:r w:rsidRPr="00721891">
        <w:rPr>
          <w:b/>
          <w:bCs/>
          <w:u w:val="single"/>
        </w:rPr>
        <w:t>Mosquito rearing</w:t>
      </w:r>
    </w:p>
    <w:p w14:paraId="5F9E5EFE" w14:textId="59AF0DDD" w:rsidR="00721891" w:rsidRDefault="00721891" w:rsidP="00721891">
      <w:pPr>
        <w:spacing w:line="360" w:lineRule="auto"/>
        <w:jc w:val="both"/>
      </w:pPr>
      <w:r>
        <w:t>A full protocol with reagents, materials, and methods is available at:</w:t>
      </w:r>
    </w:p>
    <w:p w14:paraId="7453482A" w14:textId="2DB0E87A" w:rsidR="00721891" w:rsidRDefault="00721891" w:rsidP="00721891">
      <w:pPr>
        <w:spacing w:line="360" w:lineRule="auto"/>
        <w:jc w:val="both"/>
      </w:pPr>
      <w:hyperlink r:id="rId4" w:history="1">
        <w:r w:rsidRPr="00562F42">
          <w:rPr>
            <w:rStyle w:val="Hyperlink"/>
          </w:rPr>
          <w:t>https://assets.researchsquare.com/files/pex-771/v1/e73143e2-175a-4fc5-86c0-298d250fa496.pdf?c=1637242420</w:t>
        </w:r>
      </w:hyperlink>
    </w:p>
    <w:p w14:paraId="299033ED" w14:textId="76D351E1" w:rsidR="00721891" w:rsidRDefault="00721891" w:rsidP="00721891">
      <w:pPr>
        <w:spacing w:line="480" w:lineRule="auto"/>
        <w:jc w:val="both"/>
      </w:pPr>
    </w:p>
    <w:p w14:paraId="12799473" w14:textId="5F47BF7A" w:rsidR="00721891" w:rsidRDefault="00721891" w:rsidP="00721891">
      <w:pPr>
        <w:spacing w:line="480" w:lineRule="auto"/>
        <w:jc w:val="both"/>
        <w:rPr>
          <w:b/>
          <w:bCs/>
          <w:u w:val="single"/>
        </w:rPr>
      </w:pPr>
      <w:r w:rsidRPr="00721891">
        <w:rPr>
          <w:b/>
          <w:bCs/>
          <w:u w:val="single"/>
        </w:rPr>
        <w:t>16S rRNA gene PCR for Illumina sequencing.</w:t>
      </w:r>
    </w:p>
    <w:p w14:paraId="383156CE" w14:textId="77777777" w:rsidR="00721891" w:rsidRDefault="00721891" w:rsidP="00721891">
      <w:pPr>
        <w:spacing w:line="480" w:lineRule="auto"/>
        <w:jc w:val="both"/>
      </w:pPr>
      <w:r w:rsidRPr="00721891">
        <w:t xml:space="preserve">The midgut homogenate stored at -20 °C underwent a quick thaw at 55 °C for 1 minute prior to extraction of DNA using the </w:t>
      </w:r>
      <w:proofErr w:type="spellStart"/>
      <w:r w:rsidRPr="00721891">
        <w:t>DNeasy</w:t>
      </w:r>
      <w:proofErr w:type="spellEnd"/>
      <w:r w:rsidRPr="00721891">
        <w:t xml:space="preserve"> </w:t>
      </w:r>
      <w:proofErr w:type="spellStart"/>
      <w:r w:rsidRPr="00721891">
        <w:t>PowerSoil</w:t>
      </w:r>
      <w:proofErr w:type="spellEnd"/>
      <w:r w:rsidRPr="00721891">
        <w:t xml:space="preserve"> Kit (Qiagen) with the following modification, samples were homogenized in a mixer mill (</w:t>
      </w:r>
      <w:proofErr w:type="spellStart"/>
      <w:r w:rsidRPr="00721891">
        <w:t>Quigen</w:t>
      </w:r>
      <w:proofErr w:type="spellEnd"/>
      <w:r w:rsidRPr="00721891">
        <w:t xml:space="preserve"> </w:t>
      </w:r>
      <w:proofErr w:type="spellStart"/>
      <w:r w:rsidRPr="00721891">
        <w:t>TissueLyser</w:t>
      </w:r>
      <w:proofErr w:type="spellEnd"/>
      <w:r w:rsidRPr="00721891">
        <w:t xml:space="preserve"> Retch MM301) for 1 min at 30.0 1/s frequency. Because of the low recovery of bacterial DNA from individual mosquito midguts, we employed a nested PCR strategy. </w:t>
      </w:r>
    </w:p>
    <w:p w14:paraId="2E08CBB5" w14:textId="77777777" w:rsidR="00721891" w:rsidRDefault="00721891" w:rsidP="00721891">
      <w:pPr>
        <w:spacing w:line="480" w:lineRule="auto"/>
        <w:jc w:val="both"/>
      </w:pPr>
    </w:p>
    <w:p w14:paraId="587B7A79" w14:textId="57DC006A" w:rsidR="00721891" w:rsidRDefault="00721891" w:rsidP="00721891">
      <w:pPr>
        <w:spacing w:line="480" w:lineRule="auto"/>
        <w:jc w:val="both"/>
      </w:pPr>
      <w:r w:rsidRPr="00721891">
        <w:t xml:space="preserve">The initial PCR to amplify the 16S rRNA genes was performed with the primer pair 27F (AGAGTTTGATCMTGGCTCAG) and 1492R (TACGGYTACCTTGTTACGACTT) (17) at 10 µM and the following components: PCR Buffer 2.5 µl, dNTPs 0.5 µl, MgSO4 1 µl, Platinum Taq Polymerase (Invitrogen) 0.1 µl, 0.75 µl forward primer, 0.75 µl reverse primer, 14.4 µl nuclease free diH2O, and 5 µl of DNA sample per reaction. </w:t>
      </w:r>
    </w:p>
    <w:p w14:paraId="3651A12E" w14:textId="77777777" w:rsidR="00721891" w:rsidRDefault="00721891" w:rsidP="00721891">
      <w:pPr>
        <w:spacing w:line="480" w:lineRule="auto"/>
        <w:jc w:val="both"/>
      </w:pPr>
    </w:p>
    <w:p w14:paraId="03E2D2B2" w14:textId="7E817972" w:rsidR="00721891" w:rsidRDefault="00721891" w:rsidP="00721891">
      <w:pPr>
        <w:spacing w:line="480" w:lineRule="auto"/>
        <w:jc w:val="both"/>
      </w:pPr>
      <w:r w:rsidRPr="00721891">
        <w:t>Therm</w:t>
      </w:r>
      <w:r>
        <w:t>al</w:t>
      </w:r>
      <w:r w:rsidRPr="00721891">
        <w:t xml:space="preserve"> cycler program: 95°C for 3 min, 10 cycles of 95 °C for 45 sec, 55°C for 45 sec, 72°C for 1 min and 45 sec followed by 72°C for 10 min and 4°C for infinite hold. Initial PCR products were then purified using the E.Z.N.A. Cycle Pure Kit (Omega). A secondary PCR of the purified initial amplicons was carried out using the V4 amplifying primers 515 F (5'-GTGCCAGCMGCCGCGGTAA) </w:t>
      </w:r>
      <w:r w:rsidRPr="00721891">
        <w:lastRenderedPageBreak/>
        <w:t>and 806 R (5'-GGACTACHVHHHTWTCTAAT) using dual barcoded Illumina primers</w:t>
      </w:r>
      <w:r>
        <w:t>.</w:t>
      </w:r>
      <w:r w:rsidRPr="00721891">
        <w:t xml:space="preserve"> The reactions were run as described for the initial PCR above. Both PCR reactions were run with negative controls consisting of sterile water replacing the template DNA.</w:t>
      </w:r>
    </w:p>
    <w:p w14:paraId="481D0BD1" w14:textId="1D5B1F14" w:rsidR="00721891" w:rsidRDefault="00721891" w:rsidP="00721891">
      <w:pPr>
        <w:spacing w:line="480" w:lineRule="auto"/>
        <w:jc w:val="both"/>
      </w:pPr>
    </w:p>
    <w:p w14:paraId="4BC4070D" w14:textId="0DB88425" w:rsidR="00721891" w:rsidRDefault="00721891" w:rsidP="00721891">
      <w:pPr>
        <w:spacing w:line="480" w:lineRule="auto"/>
        <w:jc w:val="both"/>
      </w:pPr>
      <w:r w:rsidRPr="00721891">
        <w:t xml:space="preserve">Prior to sequencing, the final PCR reactions were normalized using Invitrogen </w:t>
      </w:r>
      <w:proofErr w:type="spellStart"/>
      <w:r w:rsidRPr="00721891">
        <w:t>SequalPrep</w:t>
      </w:r>
      <w:proofErr w:type="spellEnd"/>
      <w:r w:rsidRPr="00721891">
        <w:t xml:space="preserve"> Normalization kit (Invitrogen) and 10 µl of each sample was pooled. A Qubit assay was used to confirm concentration of pooled DNA. The DNA, including negative controls, were sequenced at the University of Connecticut Microbial Analysis, Resources, and Services facility on the Illumina </w:t>
      </w:r>
      <w:proofErr w:type="spellStart"/>
      <w:r w:rsidRPr="00721891">
        <w:t>MiSeq</w:t>
      </w:r>
      <w:proofErr w:type="spellEnd"/>
      <w:r w:rsidRPr="00721891">
        <w:t xml:space="preserve"> v2.2.0 platform, using standard protocols.</w:t>
      </w:r>
    </w:p>
    <w:p w14:paraId="7F87EF56" w14:textId="1CF5AAE8" w:rsidR="00721891" w:rsidRDefault="00721891" w:rsidP="00721891">
      <w:pPr>
        <w:spacing w:line="480" w:lineRule="auto"/>
        <w:jc w:val="both"/>
      </w:pPr>
    </w:p>
    <w:p w14:paraId="07D7067F" w14:textId="384FDAE3" w:rsidR="00721891" w:rsidRDefault="00721891" w:rsidP="00721891">
      <w:pPr>
        <w:spacing w:line="480" w:lineRule="auto"/>
        <w:jc w:val="both"/>
        <w:rPr>
          <w:b/>
          <w:bCs/>
          <w:u w:val="single"/>
        </w:rPr>
      </w:pPr>
      <w:r>
        <w:rPr>
          <w:b/>
          <w:bCs/>
          <w:u w:val="single"/>
        </w:rPr>
        <w:t>Bacterial culturing and characterization</w:t>
      </w:r>
      <w:r w:rsidRPr="00721891">
        <w:rPr>
          <w:b/>
          <w:bCs/>
          <w:u w:val="single"/>
        </w:rPr>
        <w:t>.</w:t>
      </w:r>
    </w:p>
    <w:p w14:paraId="69CCEF19" w14:textId="615551D3" w:rsidR="00721891" w:rsidRPr="00D950DF" w:rsidRDefault="00721891" w:rsidP="00721891">
      <w:pPr>
        <w:spacing w:line="480" w:lineRule="auto"/>
        <w:jc w:val="both"/>
        <w:rPr>
          <w:rFonts w:ascii="Times New Roman" w:hAnsi="Times New Roman" w:cs="Times New Roman"/>
        </w:rPr>
      </w:pPr>
      <w:r w:rsidRPr="00EE38E3">
        <w:rPr>
          <w:rFonts w:ascii="Times New Roman" w:hAnsi="Times New Roman" w:cs="Times New Roman"/>
        </w:rPr>
        <w:t>Serial dilutions of 100 µl</w:t>
      </w:r>
      <w:r>
        <w:rPr>
          <w:rFonts w:ascii="Times New Roman" w:hAnsi="Times New Roman" w:cs="Times New Roman"/>
        </w:rPr>
        <w:t xml:space="preserve"> of each</w:t>
      </w:r>
      <w:r w:rsidRPr="00EE38E3">
        <w:rPr>
          <w:rFonts w:ascii="Times New Roman" w:hAnsi="Times New Roman" w:cs="Times New Roman"/>
        </w:rPr>
        <w:t xml:space="preserve"> midgut homogenate were spread plated on Tryptic Soy Agar</w:t>
      </w:r>
      <w:r>
        <w:rPr>
          <w:rFonts w:ascii="Times New Roman" w:hAnsi="Times New Roman" w:cs="Times New Roman"/>
        </w:rPr>
        <w:t xml:space="preserve"> (TSA)</w:t>
      </w:r>
      <w:r w:rsidRPr="00EE38E3">
        <w:rPr>
          <w:rFonts w:ascii="Times New Roman" w:hAnsi="Times New Roman" w:cs="Times New Roman"/>
        </w:rPr>
        <w:t xml:space="preserve"> in triplicate</w:t>
      </w:r>
      <w:r>
        <w:rPr>
          <w:rFonts w:ascii="Times New Roman" w:hAnsi="Times New Roman" w:cs="Times New Roman"/>
        </w:rPr>
        <w:t xml:space="preserve"> and</w:t>
      </w:r>
      <w:r w:rsidRPr="00EE38E3">
        <w:rPr>
          <w:rFonts w:ascii="Times New Roman" w:hAnsi="Times New Roman" w:cs="Times New Roman"/>
        </w:rPr>
        <w:t xml:space="preserve"> incubated at 30˚C for 48 hours. To identify the most prevalent bacterial isolates for each individual mosquito, one of the replicate plates with well-separated colonies was used for isolate selection and culturing. </w:t>
      </w:r>
      <w:r>
        <w:rPr>
          <w:rFonts w:ascii="Times New Roman" w:hAnsi="Times New Roman" w:cs="Times New Roman"/>
        </w:rPr>
        <w:t>A</w:t>
      </w:r>
      <w:r w:rsidRPr="00EE38E3">
        <w:rPr>
          <w:rFonts w:ascii="Times New Roman" w:hAnsi="Times New Roman" w:cs="Times New Roman"/>
        </w:rPr>
        <w:t xml:space="preserve"> randomized selection of isolated colonies was performed using a numbered plate grid (10 x 10) and randomized number generator. Five colony isolates from each plate were selected for DNA extraction and sequencing</w:t>
      </w:r>
      <w:r>
        <w:rPr>
          <w:rFonts w:ascii="Times New Roman" w:hAnsi="Times New Roman" w:cs="Times New Roman"/>
        </w:rPr>
        <w:t xml:space="preserve">. </w:t>
      </w:r>
      <w:r w:rsidRPr="00EE38E3">
        <w:rPr>
          <w:rFonts w:ascii="Times New Roman" w:hAnsi="Times New Roman" w:cs="Times New Roman"/>
        </w:rPr>
        <w:t xml:space="preserve">To increase the diversity of recovered colonies, if a colony differed from other colonies through morphological features a representative was additionally selected for isolation. In this manner a low-resolution profile of the culturable microbial community was generated that would identify the numerically abundant populations while still recovering a wide selection of the total diversity of cultured bacteria. A pure culture was obtained for each selected isolate by serially streaking the isolate to single colonies over three generations. Bacterial pellets for DNA Extraction were obtained by </w:t>
      </w:r>
      <w:r w:rsidRPr="00EE38E3">
        <w:rPr>
          <w:rFonts w:ascii="Times New Roman" w:hAnsi="Times New Roman" w:cs="Times New Roman"/>
        </w:rPr>
        <w:lastRenderedPageBreak/>
        <w:t>centrifugation of 1 ml</w:t>
      </w:r>
      <w:r>
        <w:rPr>
          <w:rFonts w:ascii="Times New Roman" w:hAnsi="Times New Roman" w:cs="Times New Roman"/>
        </w:rPr>
        <w:t xml:space="preserve"> of a</w:t>
      </w:r>
      <w:r w:rsidRPr="00EE38E3">
        <w:rPr>
          <w:rFonts w:ascii="Times New Roman" w:hAnsi="Times New Roman" w:cs="Times New Roman"/>
        </w:rPr>
        <w:t xml:space="preserve"> liquid culture. The remaining 500 µl liquid cultures were combined with 500 µl sterile 80% glycerol to make permanent frozen stocks, and stored at -80˚C.</w:t>
      </w:r>
    </w:p>
    <w:p w14:paraId="75FD8432" w14:textId="16711538" w:rsidR="00721891" w:rsidRDefault="00721891" w:rsidP="00721891">
      <w:pPr>
        <w:spacing w:line="480" w:lineRule="auto"/>
        <w:ind w:firstLine="720"/>
        <w:jc w:val="both"/>
        <w:rPr>
          <w:rFonts w:ascii="Times New Roman" w:hAnsi="Times New Roman" w:cs="Times New Roman"/>
        </w:rPr>
      </w:pPr>
      <w:r w:rsidRPr="00EE38E3">
        <w:rPr>
          <w:rFonts w:ascii="Times New Roman" w:hAnsi="Times New Roman" w:cs="Times New Roman"/>
        </w:rPr>
        <w:t>All isolates underwent initial DNA extraction by a boiling lysis procedure and the DNA was subjected to 16S rRNA gene PCR amplification. Those isolates that could not be successfully amplified on first pass were subsequently regrown and DNA was extracted using the EZNA Bacterial DNA Kit (Omeg</w:t>
      </w:r>
      <w:r>
        <w:rPr>
          <w:rFonts w:ascii="Times New Roman" w:hAnsi="Times New Roman" w:cs="Times New Roman"/>
        </w:rPr>
        <w:t>a</w:t>
      </w:r>
      <w:r w:rsidRPr="00EE38E3">
        <w:rPr>
          <w:rFonts w:ascii="Times New Roman" w:hAnsi="Times New Roman" w:cs="Times New Roman"/>
        </w:rPr>
        <w:t>) with manufacturer’s protocol. To amplify the V4 region of the 16S rRNA</w:t>
      </w:r>
      <w:r>
        <w:rPr>
          <w:rFonts w:ascii="Times New Roman" w:hAnsi="Times New Roman" w:cs="Times New Roman"/>
        </w:rPr>
        <w:t xml:space="preserve"> </w:t>
      </w:r>
      <w:r w:rsidRPr="00EE38E3">
        <w:rPr>
          <w:rFonts w:ascii="Times New Roman" w:hAnsi="Times New Roman" w:cs="Times New Roman"/>
        </w:rPr>
        <w:t xml:space="preserve">the 515 F and 806 R primer pair were employed. Cycling parameters were as described above for the second step of the nested PCR protocol. Gel electrophoresis confirmed amplicons of ~250 bp in length.  PCR products were purified using the Mag-Bind PCR </w:t>
      </w:r>
      <w:proofErr w:type="spellStart"/>
      <w:r w:rsidRPr="00EE38E3">
        <w:rPr>
          <w:rFonts w:ascii="Times New Roman" w:hAnsi="Times New Roman" w:cs="Times New Roman"/>
        </w:rPr>
        <w:t>RxnPure</w:t>
      </w:r>
      <w:proofErr w:type="spellEnd"/>
      <w:r w:rsidRPr="00EE38E3">
        <w:rPr>
          <w:rFonts w:ascii="Times New Roman" w:hAnsi="Times New Roman" w:cs="Times New Roman"/>
        </w:rPr>
        <w:t xml:space="preserve"> Plus (Omega Bio-</w:t>
      </w:r>
      <w:proofErr w:type="spellStart"/>
      <w:r w:rsidRPr="00EE38E3">
        <w:rPr>
          <w:rFonts w:ascii="Times New Roman" w:hAnsi="Times New Roman" w:cs="Times New Roman"/>
        </w:rPr>
        <w:t>tek</w:t>
      </w:r>
      <w:proofErr w:type="spellEnd"/>
      <w:r w:rsidRPr="00EE38E3">
        <w:rPr>
          <w:rFonts w:ascii="Times New Roman" w:hAnsi="Times New Roman" w:cs="Times New Roman"/>
        </w:rPr>
        <w:t>) kit. Plates were sent to the Keck DNA Sequencing Center for Sanger sequencing with the 515F primer (New Haven, CT).</w:t>
      </w:r>
      <w:r>
        <w:rPr>
          <w:rFonts w:ascii="Times New Roman" w:hAnsi="Times New Roman" w:cs="Times New Roman"/>
        </w:rPr>
        <w:t xml:space="preserve"> </w:t>
      </w:r>
    </w:p>
    <w:p w14:paraId="17AA5914" w14:textId="77777777" w:rsidR="00721891" w:rsidRPr="00721891" w:rsidRDefault="00721891" w:rsidP="00721891">
      <w:pPr>
        <w:spacing w:line="480" w:lineRule="auto"/>
        <w:jc w:val="both"/>
      </w:pPr>
    </w:p>
    <w:p w14:paraId="171451D6" w14:textId="2DE7198D" w:rsidR="00721891" w:rsidRPr="00721891" w:rsidRDefault="00721891" w:rsidP="00721891">
      <w:pPr>
        <w:spacing w:line="480" w:lineRule="auto"/>
        <w:jc w:val="both"/>
      </w:pPr>
    </w:p>
    <w:sectPr w:rsidR="00721891" w:rsidRPr="007218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891"/>
    <w:rsid w:val="0065306F"/>
    <w:rsid w:val="00721891"/>
    <w:rsid w:val="00843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FAD349"/>
  <w15:chartTrackingRefBased/>
  <w15:docId w15:val="{AF2AFACA-248D-054A-B043-5797DF197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1891"/>
    <w:rPr>
      <w:color w:val="0563C1" w:themeColor="hyperlink"/>
      <w:u w:val="single"/>
    </w:rPr>
  </w:style>
  <w:style w:type="character" w:styleId="UnresolvedMention">
    <w:name w:val="Unresolved Mention"/>
    <w:basedOn w:val="DefaultParagraphFont"/>
    <w:uiPriority w:val="99"/>
    <w:semiHidden/>
    <w:unhideWhenUsed/>
    <w:rsid w:val="007218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ssets.researchsquare.com/files/pex-771/v1/e73143e2-175a-4fc5-86c0-298d250fa496.pdf?c=16372424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631</Words>
  <Characters>3733</Characters>
  <Application>Microsoft Office Word</Application>
  <DocSecurity>0</DocSecurity>
  <Lines>61</Lines>
  <Paragraphs>12</Paragraphs>
  <ScaleCrop>false</ScaleCrop>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Blaire</dc:creator>
  <cp:keywords/>
  <dc:description/>
  <cp:lastModifiedBy>Steven, Blaire</cp:lastModifiedBy>
  <cp:revision>1</cp:revision>
  <dcterms:created xsi:type="dcterms:W3CDTF">2023-01-23T16:17:00Z</dcterms:created>
  <dcterms:modified xsi:type="dcterms:W3CDTF">2023-01-24T17:30:00Z</dcterms:modified>
</cp:coreProperties>
</file>