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38E14" w14:textId="00A44F16" w:rsidR="005A3854" w:rsidRPr="004264B0" w:rsidRDefault="004264B0" w:rsidP="004264B0">
      <w:pPr>
        <w:spacing w:line="360" w:lineRule="auto"/>
        <w:ind w:firstLine="708"/>
        <w:rPr>
          <w:lang w:val="en-US"/>
        </w:rPr>
      </w:pPr>
      <w:r w:rsidRPr="00E14888">
        <w:rPr>
          <w:lang w:val="en-US"/>
        </w:rPr>
        <w:t>Table 1: Quality indicators of general internal medicine of inpatient care</w:t>
      </w:r>
      <w:r w:rsidRPr="00E14888">
        <w:rPr>
          <w:vertAlign w:val="superscript"/>
          <w:lang w:val="en-GB"/>
        </w:rPr>
        <w:t>32</w:t>
      </w:r>
      <w:r w:rsidRPr="004264B0">
        <w:rPr>
          <w:lang w:val="en-US"/>
        </w:rPr>
        <w:t>.</w:t>
      </w:r>
    </w:p>
    <w:tbl>
      <w:tblPr>
        <w:tblStyle w:val="Tabellenraster"/>
        <w:tblW w:w="8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2"/>
        <w:gridCol w:w="2052"/>
        <w:gridCol w:w="2053"/>
        <w:gridCol w:w="2053"/>
      </w:tblGrid>
      <w:tr w:rsidR="005A3854" w:rsidRPr="00403ACB" w14:paraId="14380093" w14:textId="77777777" w:rsidTr="00EE6F52">
        <w:tc>
          <w:tcPr>
            <w:tcW w:w="2052" w:type="dxa"/>
            <w:tcBorders>
              <w:bottom w:val="single" w:sz="4" w:space="0" w:color="auto"/>
            </w:tcBorders>
            <w:vAlign w:val="bottom"/>
          </w:tcPr>
          <w:p w14:paraId="5B076B15" w14:textId="77777777" w:rsidR="005A3854" w:rsidRPr="00403ACB" w:rsidRDefault="005A3854" w:rsidP="00EE6F52">
            <w:pPr>
              <w:pStyle w:val="Tabelle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Topic</w:t>
            </w:r>
          </w:p>
        </w:tc>
        <w:tc>
          <w:tcPr>
            <w:tcW w:w="2052" w:type="dxa"/>
            <w:tcBorders>
              <w:bottom w:val="single" w:sz="4" w:space="0" w:color="auto"/>
            </w:tcBorders>
            <w:vAlign w:val="bottom"/>
          </w:tcPr>
          <w:p w14:paraId="46A3F4DF" w14:textId="77777777" w:rsidR="005A3854" w:rsidRPr="00403ACB" w:rsidRDefault="005A3854" w:rsidP="00EE6F52">
            <w:pPr>
              <w:pStyle w:val="Tabelle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Quality indicator</w:t>
            </w:r>
          </w:p>
        </w:tc>
        <w:tc>
          <w:tcPr>
            <w:tcW w:w="2053" w:type="dxa"/>
            <w:tcBorders>
              <w:bottom w:val="single" w:sz="4" w:space="0" w:color="auto"/>
            </w:tcBorders>
            <w:vAlign w:val="bottom"/>
          </w:tcPr>
          <w:p w14:paraId="1AF5EC9A" w14:textId="77777777" w:rsidR="005A3854" w:rsidRPr="00403ACB" w:rsidRDefault="005A3854" w:rsidP="00EE6F52">
            <w:pPr>
              <w:pStyle w:val="Tabelle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Description of the SGAIM quality indicator</w:t>
            </w:r>
          </w:p>
        </w:tc>
        <w:tc>
          <w:tcPr>
            <w:tcW w:w="2053" w:type="dxa"/>
            <w:tcBorders>
              <w:bottom w:val="single" w:sz="4" w:space="0" w:color="auto"/>
            </w:tcBorders>
            <w:vAlign w:val="bottom"/>
          </w:tcPr>
          <w:p w14:paraId="67827E66" w14:textId="77777777" w:rsidR="005A3854" w:rsidRPr="00403ACB" w:rsidRDefault="005A3854" w:rsidP="00EE6F52">
            <w:pPr>
              <w:pStyle w:val="Tabelle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Evaluation interval</w:t>
            </w:r>
          </w:p>
        </w:tc>
      </w:tr>
      <w:tr w:rsidR="005A3854" w:rsidRPr="00403ACB" w14:paraId="7B19076A" w14:textId="77777777" w:rsidTr="00EE6F52">
        <w:tc>
          <w:tcPr>
            <w:tcW w:w="2052" w:type="dxa"/>
            <w:vMerge w:val="restart"/>
            <w:tcBorders>
              <w:top w:val="single" w:sz="4" w:space="0" w:color="auto"/>
            </w:tcBorders>
          </w:tcPr>
          <w:p w14:paraId="437AC1FF" w14:textId="77777777" w:rsidR="005A3854" w:rsidRPr="00403ACB" w:rsidRDefault="005A3854" w:rsidP="00EE6F52">
            <w:pPr>
              <w:pStyle w:val="Tabelle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Patient-centred quality of care</w:t>
            </w:r>
          </w:p>
        </w:tc>
        <w:tc>
          <w:tcPr>
            <w:tcW w:w="2052" w:type="dxa"/>
            <w:tcBorders>
              <w:top w:val="single" w:sz="4" w:space="0" w:color="auto"/>
            </w:tcBorders>
          </w:tcPr>
          <w:p w14:paraId="57712F20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 xml:space="preserve">Transmission of provisional </w:t>
            </w:r>
          </w:p>
          <w:p w14:paraId="2C29B026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discharge report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 w14:paraId="56576D42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 xml:space="preserve">Proportion of provisional discharge reports transmitted to the post-acute care physician within 24 hours (with diagnoses, </w:t>
            </w:r>
            <w:proofErr w:type="gramStart"/>
            <w:r w:rsidRPr="00403ACB">
              <w:rPr>
                <w:lang w:val="en-GB"/>
              </w:rPr>
              <w:t>procedures</w:t>
            </w:r>
            <w:proofErr w:type="gramEnd"/>
            <w:r w:rsidRPr="00403ACB">
              <w:rPr>
                <w:lang w:val="en-GB"/>
              </w:rPr>
              <w:t xml:space="preserve"> and medications as well as reasons for medication changes).</w:t>
            </w:r>
          </w:p>
        </w:tc>
        <w:tc>
          <w:tcPr>
            <w:tcW w:w="2053" w:type="dxa"/>
            <w:tcBorders>
              <w:top w:val="single" w:sz="4" w:space="0" w:color="auto"/>
            </w:tcBorders>
          </w:tcPr>
          <w:p w14:paraId="73075371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Monthly</w:t>
            </w:r>
          </w:p>
        </w:tc>
      </w:tr>
      <w:tr w:rsidR="005A3854" w:rsidRPr="00403ACB" w14:paraId="6BF0B346" w14:textId="77777777" w:rsidTr="00EE6F52">
        <w:tc>
          <w:tcPr>
            <w:tcW w:w="2052" w:type="dxa"/>
            <w:vMerge/>
          </w:tcPr>
          <w:p w14:paraId="0A3E66F8" w14:textId="77777777" w:rsidR="005A3854" w:rsidRPr="00403ACB" w:rsidRDefault="005A3854" w:rsidP="00EE6F52">
            <w:pPr>
              <w:pStyle w:val="Tabelle"/>
              <w:rPr>
                <w:b/>
                <w:lang w:val="en-GB"/>
              </w:rPr>
            </w:pPr>
          </w:p>
        </w:tc>
        <w:tc>
          <w:tcPr>
            <w:tcW w:w="2052" w:type="dxa"/>
          </w:tcPr>
          <w:p w14:paraId="1700FC82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New prescription benzodiazepines</w:t>
            </w:r>
          </w:p>
        </w:tc>
        <w:tc>
          <w:tcPr>
            <w:tcW w:w="2053" w:type="dxa"/>
          </w:tcPr>
          <w:p w14:paraId="1BE3B47C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 xml:space="preserve">Proportion of patients ≥65 years with </w:t>
            </w:r>
            <w:r>
              <w:rPr>
                <w:lang w:val="en-GB"/>
              </w:rPr>
              <w:t xml:space="preserve">a </w:t>
            </w:r>
            <w:r w:rsidRPr="00403ACB">
              <w:rPr>
                <w:lang w:val="en-GB"/>
              </w:rPr>
              <w:t>new prescription of a benzodiazepine during hospitalisation</w:t>
            </w:r>
          </w:p>
        </w:tc>
        <w:tc>
          <w:tcPr>
            <w:tcW w:w="2053" w:type="dxa"/>
          </w:tcPr>
          <w:p w14:paraId="098FC7CD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Monthly</w:t>
            </w:r>
          </w:p>
        </w:tc>
      </w:tr>
      <w:tr w:rsidR="005A3854" w:rsidRPr="002E16AB" w14:paraId="457349C2" w14:textId="77777777" w:rsidTr="00EE6F52">
        <w:tc>
          <w:tcPr>
            <w:tcW w:w="2052" w:type="dxa"/>
            <w:vMerge/>
          </w:tcPr>
          <w:p w14:paraId="0C1A804A" w14:textId="77777777" w:rsidR="005A3854" w:rsidRPr="00403ACB" w:rsidRDefault="005A3854" w:rsidP="00EE6F52">
            <w:pPr>
              <w:pStyle w:val="Tabelle"/>
              <w:rPr>
                <w:b/>
                <w:lang w:val="en-GB"/>
              </w:rPr>
            </w:pPr>
          </w:p>
        </w:tc>
        <w:tc>
          <w:tcPr>
            <w:tcW w:w="2052" w:type="dxa"/>
          </w:tcPr>
          <w:p w14:paraId="6FB85419" w14:textId="77777777" w:rsidR="005A3854" w:rsidRPr="002E16AB" w:rsidRDefault="005A3854" w:rsidP="00EE6F52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>Fall biography of the last 12 months</w:t>
            </w:r>
          </w:p>
        </w:tc>
        <w:tc>
          <w:tcPr>
            <w:tcW w:w="2053" w:type="dxa"/>
          </w:tcPr>
          <w:p w14:paraId="0D7F2C49" w14:textId="77777777" w:rsidR="005A3854" w:rsidRPr="002E16AB" w:rsidRDefault="005A3854" w:rsidP="00EE6F52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>Proportion of patients ≥65 years of age who were asked about falls (number, cause) within the last year.</w:t>
            </w:r>
          </w:p>
        </w:tc>
        <w:tc>
          <w:tcPr>
            <w:tcW w:w="2053" w:type="dxa"/>
          </w:tcPr>
          <w:p w14:paraId="62D2A0E5" w14:textId="77777777" w:rsidR="005A3854" w:rsidRPr="002E16AB" w:rsidRDefault="005A3854" w:rsidP="00EE6F52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>Annually</w:t>
            </w:r>
          </w:p>
        </w:tc>
      </w:tr>
      <w:tr w:rsidR="005A3854" w:rsidRPr="00403ACB" w14:paraId="0CD7DA01" w14:textId="77777777" w:rsidTr="00EE6F52">
        <w:tc>
          <w:tcPr>
            <w:tcW w:w="2052" w:type="dxa"/>
            <w:vMerge/>
          </w:tcPr>
          <w:p w14:paraId="72E165C6" w14:textId="77777777" w:rsidR="005A3854" w:rsidRPr="00403ACB" w:rsidRDefault="005A3854" w:rsidP="00EE6F52">
            <w:pPr>
              <w:pStyle w:val="Tabelle"/>
              <w:rPr>
                <w:b/>
                <w:lang w:val="en-GB"/>
              </w:rPr>
            </w:pPr>
          </w:p>
        </w:tc>
        <w:tc>
          <w:tcPr>
            <w:tcW w:w="2052" w:type="dxa"/>
          </w:tcPr>
          <w:p w14:paraId="4C0A5603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Transfusion with Hb value &gt;8 g/dl</w:t>
            </w:r>
          </w:p>
        </w:tc>
        <w:tc>
          <w:tcPr>
            <w:tcW w:w="2053" w:type="dxa"/>
          </w:tcPr>
          <w:p w14:paraId="43929F4F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Proportion of patients with transfusion preservation at a haemoglobin value (Hb) of more than 8 g/dl.</w:t>
            </w:r>
          </w:p>
        </w:tc>
        <w:tc>
          <w:tcPr>
            <w:tcW w:w="2053" w:type="dxa"/>
          </w:tcPr>
          <w:p w14:paraId="6AF67AF4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Monthly</w:t>
            </w:r>
          </w:p>
        </w:tc>
      </w:tr>
      <w:tr w:rsidR="005A3854" w:rsidRPr="00403ACB" w14:paraId="7A207740" w14:textId="77777777" w:rsidTr="005A4852">
        <w:tc>
          <w:tcPr>
            <w:tcW w:w="2052" w:type="dxa"/>
          </w:tcPr>
          <w:p w14:paraId="4FD3197A" w14:textId="77777777" w:rsidR="005A3854" w:rsidRPr="00403ACB" w:rsidRDefault="005A3854" w:rsidP="00EE6F52">
            <w:pPr>
              <w:pStyle w:val="Tabelle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General quality of care</w:t>
            </w:r>
          </w:p>
        </w:tc>
        <w:tc>
          <w:tcPr>
            <w:tcW w:w="2052" w:type="dxa"/>
          </w:tcPr>
          <w:p w14:paraId="7085313D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CIRS case processing</w:t>
            </w:r>
          </w:p>
        </w:tc>
        <w:tc>
          <w:tcPr>
            <w:tcW w:w="2053" w:type="dxa"/>
          </w:tcPr>
          <w:p w14:paraId="40BEDBC9" w14:textId="77777777" w:rsidR="005A3854" w:rsidRPr="00403ACB" w:rsidRDefault="005A3854" w:rsidP="00EE6F52">
            <w:pPr>
              <w:pStyle w:val="Tabelle"/>
              <w:rPr>
                <w:highlight w:val="yellow"/>
                <w:lang w:val="en-GB"/>
              </w:rPr>
            </w:pPr>
            <w:r w:rsidRPr="00403ACB">
              <w:rPr>
                <w:lang w:val="en-GB"/>
              </w:rPr>
              <w:t>Proportion of CIRS cases in hospitalised general medical patients that were analysed and discussed</w:t>
            </w:r>
          </w:p>
        </w:tc>
        <w:tc>
          <w:tcPr>
            <w:tcW w:w="2053" w:type="dxa"/>
          </w:tcPr>
          <w:p w14:paraId="750273C6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Quarterly</w:t>
            </w:r>
          </w:p>
        </w:tc>
      </w:tr>
      <w:tr w:rsidR="005A3854" w:rsidRPr="00403ACB" w14:paraId="439BA205" w14:textId="77777777" w:rsidTr="005A4852">
        <w:tc>
          <w:tcPr>
            <w:tcW w:w="2052" w:type="dxa"/>
            <w:tcBorders>
              <w:bottom w:val="single" w:sz="4" w:space="0" w:color="auto"/>
            </w:tcBorders>
          </w:tcPr>
          <w:p w14:paraId="4A8BCA0F" w14:textId="77777777" w:rsidR="005A3854" w:rsidRPr="00403ACB" w:rsidRDefault="005A3854" w:rsidP="00EE6F52">
            <w:pPr>
              <w:pStyle w:val="Tabelle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Staff Health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14:paraId="6FD38C5F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Hepatitis B vaccination protection</w:t>
            </w: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14:paraId="21BCFA12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Proportion of employees with sufficient hepatitis B vaccination protection in case of potential contact with blood or blood-contaminated materials</w:t>
            </w:r>
          </w:p>
        </w:tc>
        <w:tc>
          <w:tcPr>
            <w:tcW w:w="2053" w:type="dxa"/>
            <w:tcBorders>
              <w:bottom w:val="single" w:sz="4" w:space="0" w:color="auto"/>
            </w:tcBorders>
          </w:tcPr>
          <w:p w14:paraId="69D24B32" w14:textId="77777777" w:rsidR="005A3854" w:rsidRPr="00403ACB" w:rsidRDefault="005A3854" w:rsidP="00EE6F52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Annually</w:t>
            </w:r>
          </w:p>
        </w:tc>
      </w:tr>
    </w:tbl>
    <w:p w14:paraId="011BF01D" w14:textId="77777777" w:rsidR="00737D62" w:rsidRPr="005A3854" w:rsidRDefault="00737D62">
      <w:pPr>
        <w:rPr>
          <w:lang w:val="en-GB"/>
        </w:rPr>
      </w:pPr>
    </w:p>
    <w:sectPr w:rsidR="00737D62" w:rsidRPr="005A3854" w:rsidSect="001F736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854"/>
    <w:rsid w:val="000E0AB9"/>
    <w:rsid w:val="001F7365"/>
    <w:rsid w:val="004264B0"/>
    <w:rsid w:val="005A3854"/>
    <w:rsid w:val="005A4852"/>
    <w:rsid w:val="00737D62"/>
    <w:rsid w:val="00CE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759CE70"/>
  <w15:chartTrackingRefBased/>
  <w15:docId w15:val="{FDE766FD-D1FE-4EEA-B507-4E03B502F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  <w:ind w:left="22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A3854"/>
    <w:pPr>
      <w:spacing w:before="120" w:after="120" w:line="480" w:lineRule="auto"/>
      <w:ind w:left="0" w:firstLine="709"/>
    </w:pPr>
    <w:rPr>
      <w:rFonts w:ascii="Times New Roman" w:eastAsia="Times New Roman" w:hAnsi="Times New Roman" w:cs="Times New Roman"/>
      <w:szCs w:val="24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5A3854"/>
    <w:pPr>
      <w:spacing w:line="240" w:lineRule="auto"/>
      <w:ind w:left="0"/>
    </w:pPr>
    <w:rPr>
      <w:rFonts w:ascii="Times New Roman" w:eastAsia="Times New Roman" w:hAnsi="Times New Roman" w:cs="Times New Roman"/>
      <w:sz w:val="20"/>
      <w:szCs w:val="20"/>
      <w:lang w:val="de-CH" w:eastAsia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le">
    <w:name w:val="Tabelle"/>
    <w:basedOn w:val="Standard"/>
    <w:qFormat/>
    <w:rsid w:val="005A3854"/>
    <w:pPr>
      <w:spacing w:before="0" w:after="0" w:line="240" w:lineRule="auto"/>
      <w:ind w:firstLine="0"/>
    </w:pPr>
    <w:rPr>
      <w:sz w:val="16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171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von Ahlen</dc:creator>
  <cp:keywords/>
  <dc:description/>
  <cp:lastModifiedBy>Dominik Moser</cp:lastModifiedBy>
  <cp:revision>3</cp:revision>
  <dcterms:created xsi:type="dcterms:W3CDTF">2023-07-23T08:25:00Z</dcterms:created>
  <dcterms:modified xsi:type="dcterms:W3CDTF">2023-11-25T10:57:00Z</dcterms:modified>
</cp:coreProperties>
</file>