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1498C" w14:textId="39F715EA" w:rsidR="00692EE6" w:rsidRPr="004B25E9" w:rsidRDefault="0040380A">
      <w:pPr>
        <w:rPr>
          <w:rFonts w:ascii="Times" w:hAnsi="Times"/>
          <w:lang w:val="en-US"/>
        </w:rPr>
      </w:pPr>
      <w:r w:rsidRPr="004B25E9">
        <w:rPr>
          <w:rFonts w:ascii="Times" w:hAnsi="Times"/>
          <w:lang w:val="en-US"/>
        </w:rPr>
        <w:t xml:space="preserve">Table 2: Results of the retrospective data analysis of the years 2020 and 2021 using the example of the Clinic for Internal Medicine at Hospital </w:t>
      </w:r>
      <w:proofErr w:type="spellStart"/>
      <w:r w:rsidRPr="004B25E9">
        <w:rPr>
          <w:rFonts w:ascii="Times" w:hAnsi="Times"/>
          <w:lang w:val="en-US"/>
        </w:rPr>
        <w:t>Männedorf</w:t>
      </w:r>
      <w:proofErr w:type="spellEnd"/>
    </w:p>
    <w:p w14:paraId="57107764" w14:textId="2DC118D0" w:rsidR="0040380A" w:rsidRPr="004B25E9" w:rsidRDefault="0040380A">
      <w:pPr>
        <w:rPr>
          <w:rFonts w:ascii="Times" w:hAnsi="Times"/>
          <w:lang w:val="en-US"/>
        </w:rPr>
      </w:pPr>
    </w:p>
    <w:p w14:paraId="63E1A31A" w14:textId="623AF77B" w:rsidR="0040380A" w:rsidRPr="004B25E9" w:rsidRDefault="0040380A">
      <w:pPr>
        <w:rPr>
          <w:rFonts w:ascii="Times" w:hAnsi="Times"/>
          <w:lang w:val="en-US"/>
        </w:rPr>
      </w:pPr>
    </w:p>
    <w:tbl>
      <w:tblPr>
        <w:tblW w:w="8490" w:type="dxa"/>
        <w:tblLook w:val="04A0" w:firstRow="1" w:lastRow="0" w:firstColumn="1" w:lastColumn="0" w:noHBand="0" w:noVBand="1"/>
      </w:tblPr>
      <w:tblGrid>
        <w:gridCol w:w="3119"/>
        <w:gridCol w:w="963"/>
        <w:gridCol w:w="630"/>
        <w:gridCol w:w="630"/>
        <w:gridCol w:w="630"/>
        <w:gridCol w:w="630"/>
        <w:gridCol w:w="630"/>
        <w:gridCol w:w="630"/>
        <w:gridCol w:w="630"/>
      </w:tblGrid>
      <w:tr w:rsidR="004B25E9" w:rsidRPr="004B25E9" w14:paraId="496BAB78" w14:textId="77777777" w:rsidTr="00625F7E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9B8F4" w14:textId="77777777" w:rsidR="004B25E9" w:rsidRPr="004B25E9" w:rsidRDefault="004B25E9" w:rsidP="00625F7E">
            <w:pPr>
              <w:spacing w:beforeLines="40" w:before="96" w:afterLines="40" w:after="96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Quality indicator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9428F" w14:textId="32F84A46" w:rsidR="004B25E9" w:rsidRPr="004B25E9" w:rsidRDefault="005117A9" w:rsidP="00625F7E">
            <w:pPr>
              <w:spacing w:beforeLines="40" w:before="96" w:afterLines="40" w:after="96"/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117A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Evaluation intervals considered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B1A3A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C9F856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SD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8F036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Min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3E97B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Q1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117C8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Md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A367D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Q3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92349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b/>
                <w:bCs/>
                <w:color w:val="000000"/>
                <w:sz w:val="16"/>
                <w:szCs w:val="16"/>
                <w:lang w:val="en-GB" w:eastAsia="en-GB"/>
              </w:rPr>
              <w:t>Max</w:t>
            </w:r>
          </w:p>
        </w:tc>
      </w:tr>
      <w:tr w:rsidR="004B25E9" w:rsidRPr="004B25E9" w14:paraId="4ABADF7F" w14:textId="77777777" w:rsidTr="00625F7E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DEF7D" w14:textId="77777777" w:rsidR="004B25E9" w:rsidRPr="004B25E9" w:rsidRDefault="004B25E9" w:rsidP="00625F7E">
            <w:pPr>
              <w:spacing w:beforeLines="40" w:before="96" w:afterLines="40" w:after="96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Proportion of provisional discharge reports within 24 hrs.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96088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91E3E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23.7%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A0C62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10.0%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9FFF8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5.6%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D83F1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17.1%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B8CE4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26.5%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8E696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30.8%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2E794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39.5%</w:t>
            </w:r>
          </w:p>
        </w:tc>
      </w:tr>
      <w:tr w:rsidR="004B25E9" w:rsidRPr="004B25E9" w14:paraId="5A9B9EB1" w14:textId="77777777" w:rsidTr="00625F7E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F6F4" w14:textId="77777777" w:rsidR="004B25E9" w:rsidRPr="004B25E9" w:rsidRDefault="004B25E9" w:rsidP="00625F7E">
            <w:pPr>
              <w:spacing w:beforeLines="40" w:before="96" w:afterLines="40" w:after="96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Proportion of patients ≥65 with newly prescribed Benzodiazepine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FD74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2D12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17.2%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F4E3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2.7%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9123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12.2%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E266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15.4%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5878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16.9%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BF46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18.5%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A570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22.9%</w:t>
            </w:r>
          </w:p>
        </w:tc>
      </w:tr>
      <w:tr w:rsidR="004B25E9" w:rsidRPr="004B25E9" w14:paraId="1D86C033" w14:textId="77777777" w:rsidTr="00625F7E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C073" w14:textId="77777777" w:rsidR="004B25E9" w:rsidRPr="004B25E9" w:rsidRDefault="004B25E9" w:rsidP="00625F7E">
            <w:pPr>
              <w:spacing w:beforeLines="40" w:before="96" w:afterLines="40" w:after="96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Proportion of patients with transfusion at Hb value &gt;8g/dl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AE94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4372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17.9%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6AE4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9.4%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9E0C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0.0%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F771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14.5%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9605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18.2%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3433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19.8%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886E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40.0%</w:t>
            </w:r>
          </w:p>
        </w:tc>
      </w:tr>
      <w:tr w:rsidR="004B25E9" w:rsidRPr="004B25E9" w14:paraId="0236BAFD" w14:textId="77777777" w:rsidTr="00625F7E">
        <w:trPr>
          <w:trHeight w:val="29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82F01" w14:textId="77777777" w:rsidR="004B25E9" w:rsidRPr="004B25E9" w:rsidRDefault="004B25E9" w:rsidP="00625F7E">
            <w:pPr>
              <w:spacing w:beforeLines="40" w:before="96" w:afterLines="40" w:after="96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Proportion of completed CIRS cases per patient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02855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81F18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1.3%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DA9DF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0.5%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A94CC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0.7%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B2635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1.0%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59FC2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1.3%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ED3E2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1.5%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34910" w14:textId="77777777" w:rsidR="004B25E9" w:rsidRPr="004B25E9" w:rsidRDefault="004B25E9" w:rsidP="00625F7E">
            <w:pPr>
              <w:spacing w:beforeLines="40" w:before="96" w:afterLines="40" w:after="96"/>
              <w:jc w:val="right"/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</w:pPr>
            <w:r w:rsidRPr="004B25E9">
              <w:rPr>
                <w:rFonts w:ascii="Times" w:hAnsi="Times"/>
                <w:color w:val="000000"/>
                <w:sz w:val="16"/>
                <w:szCs w:val="16"/>
                <w:lang w:val="en-GB" w:eastAsia="en-GB"/>
              </w:rPr>
              <w:t>2.2%</w:t>
            </w:r>
          </w:p>
        </w:tc>
      </w:tr>
    </w:tbl>
    <w:p w14:paraId="0B351E20" w14:textId="77777777" w:rsidR="0040380A" w:rsidRPr="004B25E9" w:rsidRDefault="0040380A">
      <w:pPr>
        <w:rPr>
          <w:rFonts w:ascii="Times" w:hAnsi="Times"/>
          <w:lang w:val="en-US"/>
        </w:rPr>
      </w:pPr>
    </w:p>
    <w:p w14:paraId="4A948BDC" w14:textId="77777777" w:rsidR="00692EE6" w:rsidRPr="004B25E9" w:rsidRDefault="00692EE6">
      <w:pPr>
        <w:rPr>
          <w:rFonts w:ascii="Times" w:hAnsi="Times"/>
          <w:lang w:val="en-US"/>
        </w:rPr>
      </w:pPr>
    </w:p>
    <w:sectPr w:rsidR="00692EE6" w:rsidRPr="004B25E9" w:rsidSect="00E1206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7844D" w14:textId="77777777" w:rsidR="0025205B" w:rsidRDefault="0025205B" w:rsidP="0040380A">
      <w:r>
        <w:separator/>
      </w:r>
    </w:p>
  </w:endnote>
  <w:endnote w:type="continuationSeparator" w:id="0">
    <w:p w14:paraId="6399638B" w14:textId="77777777" w:rsidR="0025205B" w:rsidRDefault="0025205B" w:rsidP="00403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D5402" w14:textId="77777777" w:rsidR="0025205B" w:rsidRDefault="0025205B" w:rsidP="0040380A">
      <w:r>
        <w:separator/>
      </w:r>
    </w:p>
  </w:footnote>
  <w:footnote w:type="continuationSeparator" w:id="0">
    <w:p w14:paraId="6921898B" w14:textId="77777777" w:rsidR="0025205B" w:rsidRDefault="0025205B" w:rsidP="00403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8E8"/>
    <w:rsid w:val="0025205B"/>
    <w:rsid w:val="00355305"/>
    <w:rsid w:val="0040380A"/>
    <w:rsid w:val="004B25E9"/>
    <w:rsid w:val="004B68E8"/>
    <w:rsid w:val="005117A9"/>
    <w:rsid w:val="0067704E"/>
    <w:rsid w:val="00692EE6"/>
    <w:rsid w:val="00DD02B9"/>
    <w:rsid w:val="00E12061"/>
    <w:rsid w:val="00EB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0CB3FA1"/>
  <w15:chartTrackingRefBased/>
  <w15:docId w15:val="{DF60F44C-2802-2546-8F68-B61B1746A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0380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0380A"/>
  </w:style>
  <w:style w:type="paragraph" w:styleId="Fuzeile">
    <w:name w:val="footer"/>
    <w:basedOn w:val="Standard"/>
    <w:link w:val="FuzeileZchn"/>
    <w:uiPriority w:val="99"/>
    <w:unhideWhenUsed/>
    <w:rsid w:val="0040380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03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547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Moser</dc:creator>
  <cp:keywords/>
  <dc:description/>
  <cp:lastModifiedBy>Dominik Moser</cp:lastModifiedBy>
  <cp:revision>5</cp:revision>
  <dcterms:created xsi:type="dcterms:W3CDTF">2022-10-10T12:55:00Z</dcterms:created>
  <dcterms:modified xsi:type="dcterms:W3CDTF">2023-03-04T16:32:00Z</dcterms:modified>
</cp:coreProperties>
</file>