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5"/>
        <w:tblpPr w:leftFromText="180" w:rightFromText="180" w:vertAnchor="text" w:tblpY="1"/>
        <w:tblW w:w="0" w:type="auto"/>
        <w:tblLayout w:type="fixed"/>
        <w:tblLook w:val="04A0" w:firstRow="1" w:lastRow="0" w:firstColumn="1" w:lastColumn="0" w:noHBand="0" w:noVBand="1"/>
      </w:tblPr>
      <w:tblGrid>
        <w:gridCol w:w="1294"/>
        <w:gridCol w:w="1406"/>
        <w:gridCol w:w="900"/>
        <w:gridCol w:w="1170"/>
        <w:gridCol w:w="1620"/>
        <w:gridCol w:w="1376"/>
        <w:gridCol w:w="1144"/>
        <w:gridCol w:w="1620"/>
        <w:gridCol w:w="1440"/>
        <w:gridCol w:w="974"/>
      </w:tblGrid>
      <w:tr w:rsidR="00140ED1" w:rsidRPr="003F0BA1" w14:paraId="384A6BAD" w14:textId="77777777" w:rsidTr="003F39D2">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100" w:firstRow="0" w:lastRow="0" w:firstColumn="1" w:lastColumn="0" w:oddVBand="0" w:evenVBand="0" w:oddHBand="0" w:evenHBand="0" w:firstRowFirstColumn="1" w:firstRowLastColumn="0" w:lastRowFirstColumn="0" w:lastRowLastColumn="0"/>
            <w:tcW w:w="12944" w:type="dxa"/>
            <w:gridSpan w:val="10"/>
          </w:tcPr>
          <w:p w14:paraId="149F2490" w14:textId="77777777" w:rsidR="00140ED1" w:rsidRPr="003F0BA1" w:rsidRDefault="00140ED1" w:rsidP="003F39D2">
            <w:pPr>
              <w:pStyle w:val="Default"/>
              <w:spacing w:before="0" w:afterLines="60" w:after="144" w:line="480" w:lineRule="auto"/>
              <w:jc w:val="center"/>
              <w:rPr>
                <w:rFonts w:ascii="Arial" w:hAnsi="Arial" w:cs="Arial"/>
                <w:b/>
                <w:bCs/>
                <w:sz w:val="10"/>
                <w:szCs w:val="10"/>
              </w:rPr>
            </w:pPr>
            <w:r w:rsidRPr="003F0BA1">
              <w:rPr>
                <w:rFonts w:ascii="Arial" w:hAnsi="Arial" w:cs="Arial"/>
                <w:b/>
                <w:bCs/>
                <w:sz w:val="10"/>
                <w:szCs w:val="10"/>
              </w:rPr>
              <w:t>Table 2: Final Articles Included in this Review</w:t>
            </w:r>
          </w:p>
        </w:tc>
      </w:tr>
      <w:tr w:rsidR="00140ED1" w:rsidRPr="003F0BA1" w14:paraId="373DCCCF" w14:textId="77777777" w:rsidTr="003F39D2">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100" w:firstRow="0" w:lastRow="0" w:firstColumn="1" w:lastColumn="0" w:oddVBand="0" w:evenVBand="0" w:oddHBand="0" w:evenHBand="0" w:firstRowFirstColumn="1" w:firstRowLastColumn="0" w:lastRowFirstColumn="0" w:lastRowLastColumn="0"/>
            <w:tcW w:w="1294" w:type="dxa"/>
            <w:hideMark/>
          </w:tcPr>
          <w:p w14:paraId="1A118AA4"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Author (Year)</w:t>
            </w:r>
          </w:p>
        </w:tc>
        <w:tc>
          <w:tcPr>
            <w:tcW w:w="1406" w:type="dxa"/>
            <w:hideMark/>
          </w:tcPr>
          <w:p w14:paraId="2E00714C" w14:textId="77777777" w:rsidR="00140ED1" w:rsidRPr="003F0BA1" w:rsidRDefault="00140ED1" w:rsidP="003F39D2">
            <w:pPr>
              <w:pStyle w:val="Default"/>
              <w:spacing w:before="0" w:afterLines="60" w:after="144" w:line="480" w:lineRule="auto"/>
              <w:cnfStyle w:val="100000000000" w:firstRow="1"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b/>
                <w:bCs/>
                <w:sz w:val="10"/>
                <w:szCs w:val="10"/>
              </w:rPr>
              <w:t>Title</w:t>
            </w:r>
          </w:p>
        </w:tc>
        <w:tc>
          <w:tcPr>
            <w:tcW w:w="900" w:type="dxa"/>
            <w:hideMark/>
          </w:tcPr>
          <w:p w14:paraId="62074188" w14:textId="77777777" w:rsidR="00140ED1" w:rsidRPr="003F0BA1" w:rsidRDefault="00140ED1" w:rsidP="003F39D2">
            <w:pPr>
              <w:pStyle w:val="Default"/>
              <w:spacing w:before="0" w:afterLines="60" w:after="144"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b/>
                <w:bCs/>
                <w:sz w:val="10"/>
                <w:szCs w:val="10"/>
              </w:rPr>
              <w:t>Year</w:t>
            </w:r>
          </w:p>
        </w:tc>
        <w:tc>
          <w:tcPr>
            <w:tcW w:w="1170" w:type="dxa"/>
            <w:hideMark/>
          </w:tcPr>
          <w:p w14:paraId="4B69DED7" w14:textId="77777777" w:rsidR="00140ED1" w:rsidRPr="003F0BA1" w:rsidRDefault="00140ED1" w:rsidP="003F39D2">
            <w:pPr>
              <w:pStyle w:val="Default"/>
              <w:spacing w:before="0" w:afterLines="60" w:after="144" w:line="480" w:lineRule="auto"/>
              <w:cnfStyle w:val="100000000000" w:firstRow="1"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b/>
                <w:bCs/>
                <w:sz w:val="10"/>
                <w:szCs w:val="10"/>
              </w:rPr>
              <w:t>Location</w:t>
            </w:r>
          </w:p>
        </w:tc>
        <w:tc>
          <w:tcPr>
            <w:tcW w:w="1620" w:type="dxa"/>
            <w:hideMark/>
          </w:tcPr>
          <w:p w14:paraId="3796AF2E" w14:textId="77777777" w:rsidR="00140ED1" w:rsidRPr="003F0BA1" w:rsidRDefault="00140ED1" w:rsidP="003F39D2">
            <w:pPr>
              <w:pStyle w:val="Default"/>
              <w:spacing w:before="0" w:afterLines="60" w:after="144" w:line="480" w:lineRule="auto"/>
              <w:cnfStyle w:val="100000000000" w:firstRow="1"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b/>
                <w:bCs/>
                <w:sz w:val="10"/>
                <w:szCs w:val="10"/>
              </w:rPr>
              <w:t>Study Design</w:t>
            </w:r>
          </w:p>
        </w:tc>
        <w:tc>
          <w:tcPr>
            <w:tcW w:w="1376" w:type="dxa"/>
            <w:hideMark/>
          </w:tcPr>
          <w:p w14:paraId="2ACB3FB8" w14:textId="77777777" w:rsidR="00140ED1" w:rsidRPr="003F0BA1" w:rsidRDefault="00140ED1" w:rsidP="003F39D2">
            <w:pPr>
              <w:pStyle w:val="Default"/>
              <w:spacing w:before="0" w:afterLines="60" w:after="144" w:line="480" w:lineRule="auto"/>
              <w:cnfStyle w:val="100000000000" w:firstRow="1"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b/>
                <w:bCs/>
                <w:sz w:val="10"/>
                <w:szCs w:val="10"/>
              </w:rPr>
              <w:t>No. of Participants</w:t>
            </w:r>
          </w:p>
        </w:tc>
        <w:tc>
          <w:tcPr>
            <w:tcW w:w="1144" w:type="dxa"/>
            <w:hideMark/>
          </w:tcPr>
          <w:p w14:paraId="52583EAC" w14:textId="77777777" w:rsidR="00140ED1" w:rsidRPr="003F0BA1" w:rsidRDefault="00140ED1" w:rsidP="003F39D2">
            <w:pPr>
              <w:pStyle w:val="Default"/>
              <w:spacing w:before="0" w:afterLines="60" w:after="144"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b/>
                <w:bCs/>
                <w:sz w:val="10"/>
                <w:szCs w:val="10"/>
              </w:rPr>
              <w:t>Participant Ages</w:t>
            </w:r>
          </w:p>
        </w:tc>
        <w:tc>
          <w:tcPr>
            <w:tcW w:w="1620" w:type="dxa"/>
            <w:hideMark/>
          </w:tcPr>
          <w:p w14:paraId="1E693B9B" w14:textId="77777777" w:rsidR="00140ED1" w:rsidRPr="003F0BA1" w:rsidRDefault="00140ED1" w:rsidP="003F39D2">
            <w:pPr>
              <w:pStyle w:val="Default"/>
              <w:spacing w:before="0" w:afterLines="60" w:after="144"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b/>
                <w:bCs/>
                <w:sz w:val="10"/>
                <w:szCs w:val="10"/>
              </w:rPr>
              <w:t>Main Findings</w:t>
            </w:r>
          </w:p>
        </w:tc>
        <w:tc>
          <w:tcPr>
            <w:tcW w:w="1440" w:type="dxa"/>
            <w:hideMark/>
          </w:tcPr>
          <w:p w14:paraId="46206B18" w14:textId="77777777" w:rsidR="00140ED1" w:rsidRPr="003F0BA1" w:rsidRDefault="00140ED1" w:rsidP="003F39D2">
            <w:pPr>
              <w:pStyle w:val="Default"/>
              <w:spacing w:before="0" w:afterLines="60" w:after="144" w:line="480" w:lineRule="auto"/>
              <w:cnfStyle w:val="100000000000" w:firstRow="1"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b/>
                <w:bCs/>
                <w:sz w:val="10"/>
                <w:szCs w:val="10"/>
              </w:rPr>
              <w:t>Notes on Participation</w:t>
            </w:r>
          </w:p>
        </w:tc>
        <w:tc>
          <w:tcPr>
            <w:tcW w:w="974" w:type="dxa"/>
            <w:hideMark/>
          </w:tcPr>
          <w:p w14:paraId="64B963FD" w14:textId="77777777" w:rsidR="00140ED1" w:rsidRPr="003F0BA1" w:rsidRDefault="00140ED1" w:rsidP="003F39D2">
            <w:pPr>
              <w:pStyle w:val="Default"/>
              <w:spacing w:before="0" w:afterLines="60" w:after="144" w:line="480" w:lineRule="auto"/>
              <w:cnfStyle w:val="100000000000" w:firstRow="1"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b/>
                <w:bCs/>
                <w:sz w:val="10"/>
                <w:szCs w:val="10"/>
              </w:rPr>
              <w:t>Other Notes</w:t>
            </w:r>
          </w:p>
        </w:tc>
      </w:tr>
      <w:tr w:rsidR="00140ED1" w:rsidRPr="003F0BA1" w14:paraId="7AACDE8F" w14:textId="77777777" w:rsidTr="003F39D2">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294" w:type="dxa"/>
            <w:hideMark/>
          </w:tcPr>
          <w:p w14:paraId="58E6EA41"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Dimas 2017</w:t>
            </w:r>
          </w:p>
        </w:tc>
        <w:tc>
          <w:tcPr>
            <w:tcW w:w="1406" w:type="dxa"/>
            <w:hideMark/>
          </w:tcPr>
          <w:p w14:paraId="2DB59D46"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The Drivers Of The Cholera Epidemic In Bauchi, Northeast Nigeria 2014</w:t>
            </w:r>
          </w:p>
        </w:tc>
        <w:tc>
          <w:tcPr>
            <w:tcW w:w="900" w:type="dxa"/>
            <w:hideMark/>
          </w:tcPr>
          <w:p w14:paraId="2B5F6238"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2014</w:t>
            </w:r>
          </w:p>
        </w:tc>
        <w:tc>
          <w:tcPr>
            <w:tcW w:w="1170" w:type="dxa"/>
            <w:hideMark/>
          </w:tcPr>
          <w:p w14:paraId="0547C561"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Bauchi City, Bauchi State, Nigeria</w:t>
            </w:r>
          </w:p>
        </w:tc>
        <w:tc>
          <w:tcPr>
            <w:tcW w:w="1620" w:type="dxa"/>
            <w:hideMark/>
          </w:tcPr>
          <w:p w14:paraId="2D6BD535"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Case control study assessing cholera risk factors around a 2014 Cholera outbreak in Nigeria’s North-East Bauchi State</w:t>
            </w:r>
          </w:p>
        </w:tc>
        <w:tc>
          <w:tcPr>
            <w:tcW w:w="1376" w:type="dxa"/>
            <w:hideMark/>
          </w:tcPr>
          <w:p w14:paraId="1CDF2A3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124 cases and 124 controls. 26 cases and 6 controls were almajirai.</w:t>
            </w:r>
          </w:p>
        </w:tc>
        <w:tc>
          <w:tcPr>
            <w:tcW w:w="1144" w:type="dxa"/>
            <w:hideMark/>
          </w:tcPr>
          <w:p w14:paraId="386389A0"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Not disclosed explicitly.</w:t>
            </w:r>
          </w:p>
        </w:tc>
        <w:tc>
          <w:tcPr>
            <w:tcW w:w="1620" w:type="dxa"/>
            <w:hideMark/>
          </w:tcPr>
          <w:p w14:paraId="5DA38C73"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“Contact with a diarrhoea case, being an ‘Almajiri’ and unhygienic behaviors are major risks factors for the spread of the disease”</w:t>
            </w:r>
          </w:p>
        </w:tc>
        <w:tc>
          <w:tcPr>
            <w:tcW w:w="1440" w:type="dxa"/>
            <w:hideMark/>
          </w:tcPr>
          <w:p w14:paraId="665002FF"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None disclosed. Recommend teaching hand washing to almajirai in Tsangayu. </w:t>
            </w:r>
          </w:p>
        </w:tc>
        <w:tc>
          <w:tcPr>
            <w:tcW w:w="974" w:type="dxa"/>
            <w:hideMark/>
          </w:tcPr>
          <w:p w14:paraId="268FEE12"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p>
        </w:tc>
      </w:tr>
      <w:tr w:rsidR="00140ED1" w:rsidRPr="003F0BA1" w14:paraId="2FD8991F" w14:textId="77777777" w:rsidTr="003F39D2">
        <w:trPr>
          <w:trHeight w:val="1065"/>
        </w:trPr>
        <w:tc>
          <w:tcPr>
            <w:cnfStyle w:val="001000000000" w:firstRow="0" w:lastRow="0" w:firstColumn="1" w:lastColumn="0" w:oddVBand="0" w:evenVBand="0" w:oddHBand="0" w:evenHBand="0" w:firstRowFirstColumn="0" w:firstRowLastColumn="0" w:lastRowFirstColumn="0" w:lastRowLastColumn="0"/>
            <w:tcW w:w="1294" w:type="dxa"/>
            <w:hideMark/>
          </w:tcPr>
          <w:p w14:paraId="54E312BA"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Adeleke 2008</w:t>
            </w:r>
          </w:p>
        </w:tc>
        <w:tc>
          <w:tcPr>
            <w:tcW w:w="1406" w:type="dxa"/>
            <w:hideMark/>
          </w:tcPr>
          <w:p w14:paraId="2652504D"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Dermatophytosis Among Itinerant Quranic Scholars In Kano (Northwest) Nigeria</w:t>
            </w:r>
          </w:p>
        </w:tc>
        <w:tc>
          <w:tcPr>
            <w:tcW w:w="900" w:type="dxa"/>
            <w:hideMark/>
          </w:tcPr>
          <w:p w14:paraId="3EDF4E93"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2006</w:t>
            </w:r>
          </w:p>
        </w:tc>
        <w:tc>
          <w:tcPr>
            <w:tcW w:w="1170" w:type="dxa"/>
            <w:hideMark/>
          </w:tcPr>
          <w:p w14:paraId="17D62483"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Tarauni Local Government Area, Kano State, Nigeria</w:t>
            </w:r>
          </w:p>
        </w:tc>
        <w:tc>
          <w:tcPr>
            <w:tcW w:w="1620" w:type="dxa"/>
            <w:hideMark/>
          </w:tcPr>
          <w:p w14:paraId="0D437788"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Cross-sectional study using physical exams and skin sample testing to determine the prevalence of dermatophytosis among almajirai</w:t>
            </w:r>
          </w:p>
        </w:tc>
        <w:tc>
          <w:tcPr>
            <w:tcW w:w="1376" w:type="dxa"/>
            <w:hideMark/>
          </w:tcPr>
          <w:p w14:paraId="704D49E3"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2,150 almajirai</w:t>
            </w:r>
          </w:p>
        </w:tc>
        <w:tc>
          <w:tcPr>
            <w:tcW w:w="1144" w:type="dxa"/>
            <w:hideMark/>
          </w:tcPr>
          <w:p w14:paraId="60186D1E"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Range: 5 – 25</w:t>
            </w:r>
          </w:p>
        </w:tc>
        <w:tc>
          <w:tcPr>
            <w:tcW w:w="1620" w:type="dxa"/>
            <w:hideMark/>
          </w:tcPr>
          <w:p w14:paraId="241F0838"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Dermatophyte infections were seen in 9.5% of participants, though most infections were mild.</w:t>
            </w:r>
          </w:p>
        </w:tc>
        <w:tc>
          <w:tcPr>
            <w:tcW w:w="1440" w:type="dxa"/>
            <w:hideMark/>
          </w:tcPr>
          <w:p w14:paraId="558B0A89"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Consent obtained from mallamai. Recommend periodic skin examinations for dermatophytosis among almajirai.</w:t>
            </w:r>
          </w:p>
        </w:tc>
        <w:tc>
          <w:tcPr>
            <w:tcW w:w="974" w:type="dxa"/>
            <w:hideMark/>
          </w:tcPr>
          <w:p w14:paraId="521FFA77"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p>
        </w:tc>
      </w:tr>
      <w:tr w:rsidR="00140ED1" w:rsidRPr="003F0BA1" w14:paraId="1E9ECB2F" w14:textId="77777777" w:rsidTr="003F39D2">
        <w:trPr>
          <w:cnfStyle w:val="000000100000" w:firstRow="0" w:lastRow="0" w:firstColumn="0" w:lastColumn="0" w:oddVBand="0" w:evenVBand="0" w:oddHBand="1" w:evenHBand="0" w:firstRowFirstColumn="0" w:firstRowLastColumn="0" w:lastRowFirstColumn="0" w:lastRowLastColumn="0"/>
          <w:trHeight w:val="1605"/>
        </w:trPr>
        <w:tc>
          <w:tcPr>
            <w:cnfStyle w:val="001000000000" w:firstRow="0" w:lastRow="0" w:firstColumn="1" w:lastColumn="0" w:oddVBand="0" w:evenVBand="0" w:oddHBand="0" w:evenHBand="0" w:firstRowFirstColumn="0" w:firstRowLastColumn="0" w:lastRowFirstColumn="0" w:lastRowLastColumn="0"/>
            <w:tcW w:w="1294" w:type="dxa"/>
            <w:hideMark/>
          </w:tcPr>
          <w:p w14:paraId="237717B3"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Sarkingobir 2019</w:t>
            </w:r>
          </w:p>
        </w:tc>
        <w:tc>
          <w:tcPr>
            <w:tcW w:w="1406" w:type="dxa"/>
            <w:hideMark/>
          </w:tcPr>
          <w:p w14:paraId="2AD4F4E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Assessment Of Selected Health Determinants Among Almajiri Students In Gwadabawa Local Government, Sokoto State, Nigeria</w:t>
            </w:r>
          </w:p>
        </w:tc>
        <w:tc>
          <w:tcPr>
            <w:tcW w:w="900" w:type="dxa"/>
            <w:hideMark/>
          </w:tcPr>
          <w:p w14:paraId="46C4620A"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Not explicitly disclosed</w:t>
            </w:r>
          </w:p>
        </w:tc>
        <w:tc>
          <w:tcPr>
            <w:tcW w:w="1170" w:type="dxa"/>
            <w:hideMark/>
          </w:tcPr>
          <w:p w14:paraId="76F1F9D6"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Gwadabawa Local Government Area, Sokoto, Nigeria</w:t>
            </w:r>
          </w:p>
        </w:tc>
        <w:tc>
          <w:tcPr>
            <w:tcW w:w="1620" w:type="dxa"/>
            <w:hideMark/>
          </w:tcPr>
          <w:p w14:paraId="3C0A8FA3"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Cross sectional study using semi-structured questionnaires to evaluate school building quality, potable water access, safe toilet use, hygiene, nutrition and exposure to violence among almajirai</w:t>
            </w:r>
          </w:p>
        </w:tc>
        <w:tc>
          <w:tcPr>
            <w:tcW w:w="1376" w:type="dxa"/>
            <w:hideMark/>
          </w:tcPr>
          <w:p w14:paraId="7C3534A8"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40 almajirai.</w:t>
            </w:r>
          </w:p>
        </w:tc>
        <w:tc>
          <w:tcPr>
            <w:tcW w:w="1144" w:type="dxa"/>
            <w:hideMark/>
          </w:tcPr>
          <w:p w14:paraId="20320612"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Range: 7 – 17</w:t>
            </w:r>
          </w:p>
        </w:tc>
        <w:tc>
          <w:tcPr>
            <w:tcW w:w="1620" w:type="dxa"/>
            <w:hideMark/>
          </w:tcPr>
          <w:p w14:paraId="3A1FAFE4"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50% of almajirai schooled in mud- or corrugated-metal buildings. 66% of Tsangayu did not have close access to potable water, and 50% were situated around refuse dumps and open wastewater gutters.</w:t>
            </w:r>
          </w:p>
        </w:tc>
        <w:tc>
          <w:tcPr>
            <w:tcW w:w="1440" w:type="dxa"/>
            <w:hideMark/>
          </w:tcPr>
          <w:p w14:paraId="6CAB7F03"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None disclosed.</w:t>
            </w:r>
          </w:p>
        </w:tc>
        <w:tc>
          <w:tcPr>
            <w:tcW w:w="974" w:type="dxa"/>
            <w:hideMark/>
          </w:tcPr>
          <w:p w14:paraId="0A349758"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30 almajirai reported their citizenship as Nigerian, and 10 reported their citizenship as Nigerien.</w:t>
            </w:r>
          </w:p>
        </w:tc>
      </w:tr>
      <w:tr w:rsidR="00140ED1" w:rsidRPr="003F0BA1" w14:paraId="4622EFEB" w14:textId="77777777" w:rsidTr="003F39D2">
        <w:trPr>
          <w:trHeight w:val="885"/>
        </w:trPr>
        <w:tc>
          <w:tcPr>
            <w:cnfStyle w:val="001000000000" w:firstRow="0" w:lastRow="0" w:firstColumn="1" w:lastColumn="0" w:oddVBand="0" w:evenVBand="0" w:oddHBand="0" w:evenHBand="0" w:firstRowFirstColumn="0" w:firstRowLastColumn="0" w:lastRowFirstColumn="0" w:lastRowLastColumn="0"/>
            <w:tcW w:w="1294" w:type="dxa"/>
            <w:hideMark/>
          </w:tcPr>
          <w:p w14:paraId="4CE5971A"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Damen 2011</w:t>
            </w:r>
          </w:p>
        </w:tc>
        <w:tc>
          <w:tcPr>
            <w:tcW w:w="1406" w:type="dxa"/>
            <w:hideMark/>
          </w:tcPr>
          <w:p w14:paraId="1EE28FCC"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Prevalence Of Intestinal Parasites Among Pupils In Rural North Eastern, Nigeria.</w:t>
            </w:r>
          </w:p>
        </w:tc>
        <w:tc>
          <w:tcPr>
            <w:tcW w:w="900" w:type="dxa"/>
            <w:hideMark/>
          </w:tcPr>
          <w:p w14:paraId="74B3464B"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2006</w:t>
            </w:r>
          </w:p>
        </w:tc>
        <w:tc>
          <w:tcPr>
            <w:tcW w:w="1170" w:type="dxa"/>
            <w:hideMark/>
          </w:tcPr>
          <w:p w14:paraId="1C9CAC80"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Konduga Local Government Area, Borno State, Nigeria</w:t>
            </w:r>
          </w:p>
        </w:tc>
        <w:tc>
          <w:tcPr>
            <w:tcW w:w="1620" w:type="dxa"/>
            <w:hideMark/>
          </w:tcPr>
          <w:p w14:paraId="41926AB7"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Cross-sectional study using stool sample testing to determine the prevalence of intestinal parasitosis among almajirai</w:t>
            </w:r>
          </w:p>
        </w:tc>
        <w:tc>
          <w:tcPr>
            <w:tcW w:w="1376" w:type="dxa"/>
            <w:hideMark/>
          </w:tcPr>
          <w:p w14:paraId="2914BB82"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257 almajirai</w:t>
            </w:r>
          </w:p>
        </w:tc>
        <w:tc>
          <w:tcPr>
            <w:tcW w:w="1144" w:type="dxa"/>
            <w:hideMark/>
          </w:tcPr>
          <w:p w14:paraId="1B6A3994"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Range: 5 – 16</w:t>
            </w:r>
          </w:p>
        </w:tc>
        <w:tc>
          <w:tcPr>
            <w:tcW w:w="1620" w:type="dxa"/>
            <w:hideMark/>
          </w:tcPr>
          <w:p w14:paraId="552FA3F4"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208 (80.9%) almajirai had intestinal parasites. </w:t>
            </w:r>
          </w:p>
        </w:tc>
        <w:tc>
          <w:tcPr>
            <w:tcW w:w="1440" w:type="dxa"/>
            <w:hideMark/>
          </w:tcPr>
          <w:p w14:paraId="1FB1A288"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Ethical clearance and consent obtained from an Imam at a local mosque, and mallamai at each participating Tsangaya. Recommends ‘public engagement’ to prevent and control pediatric parasitic infections, but does not specify these for almajirai. </w:t>
            </w:r>
          </w:p>
        </w:tc>
        <w:tc>
          <w:tcPr>
            <w:tcW w:w="974" w:type="dxa"/>
            <w:hideMark/>
          </w:tcPr>
          <w:p w14:paraId="7CB4FB8B"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p>
        </w:tc>
      </w:tr>
      <w:tr w:rsidR="00140ED1" w:rsidRPr="003F0BA1" w14:paraId="54E8D9A3" w14:textId="77777777" w:rsidTr="003F39D2">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1294" w:type="dxa"/>
            <w:hideMark/>
          </w:tcPr>
          <w:p w14:paraId="455ADDEB"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Sclama 2017</w:t>
            </w:r>
          </w:p>
        </w:tc>
        <w:tc>
          <w:tcPr>
            <w:tcW w:w="1406" w:type="dxa"/>
            <w:hideMark/>
          </w:tcPr>
          <w:p w14:paraId="4A004827"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Mainstreaming Nutrition In A School-Based Feeding Programme In Northeast Nigeria.</w:t>
            </w:r>
          </w:p>
        </w:tc>
        <w:tc>
          <w:tcPr>
            <w:tcW w:w="900" w:type="dxa"/>
            <w:hideMark/>
          </w:tcPr>
          <w:p w14:paraId="07DCDA76"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Not explicitly disclosed</w:t>
            </w:r>
          </w:p>
        </w:tc>
        <w:tc>
          <w:tcPr>
            <w:tcW w:w="1170" w:type="dxa"/>
            <w:hideMark/>
          </w:tcPr>
          <w:p w14:paraId="3EB58F9F"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Yola City, Adama State, Nigeria</w:t>
            </w:r>
          </w:p>
        </w:tc>
        <w:tc>
          <w:tcPr>
            <w:tcW w:w="1620" w:type="dxa"/>
            <w:hideMark/>
          </w:tcPr>
          <w:p w14:paraId="5653ADC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Article about an American University of Nigeria (AUN)-designed intervention providing almajirai with daily meals, basic education and connection to vocational training</w:t>
            </w:r>
          </w:p>
        </w:tc>
        <w:tc>
          <w:tcPr>
            <w:tcW w:w="1376" w:type="dxa"/>
            <w:hideMark/>
          </w:tcPr>
          <w:p w14:paraId="633EEEDB"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 xml:space="preserve">Total number of participants unclear, but article references plans to “reach over 1,000 students”, though this </w:t>
            </w:r>
            <w:r w:rsidRPr="003F0BA1">
              <w:rPr>
                <w:rFonts w:ascii="Arial" w:hAnsi="Arial" w:cs="Arial"/>
                <w:sz w:val="10"/>
                <w:szCs w:val="10"/>
              </w:rPr>
              <w:lastRenderedPageBreak/>
              <w:t>number may include girls who are not almajirai.</w:t>
            </w:r>
          </w:p>
        </w:tc>
        <w:tc>
          <w:tcPr>
            <w:tcW w:w="1144" w:type="dxa"/>
            <w:hideMark/>
          </w:tcPr>
          <w:p w14:paraId="005E248C"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lastRenderedPageBreak/>
              <w:t>Not explicitly disclosed but describes almajirai as “typically between the ages of 6 and 25”</w:t>
            </w:r>
          </w:p>
        </w:tc>
        <w:tc>
          <w:tcPr>
            <w:tcW w:w="1620" w:type="dxa"/>
            <w:hideMark/>
          </w:tcPr>
          <w:p w14:paraId="36ACD24C"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 xml:space="preserve">In 2016, an assessment of 200 boys graduated from the program “found  that  they  had  made  a  significant  improvement based on the Early Grade </w:t>
            </w:r>
            <w:r w:rsidRPr="003F0BA1">
              <w:rPr>
                <w:rFonts w:ascii="Arial" w:hAnsi="Arial" w:cs="Arial"/>
                <w:sz w:val="10"/>
                <w:szCs w:val="10"/>
              </w:rPr>
              <w:lastRenderedPageBreak/>
              <w:t>Reading Assessment (EGRA) and Early Grade Mathematics Assessment (EGMA) exams.”</w:t>
            </w:r>
          </w:p>
        </w:tc>
        <w:tc>
          <w:tcPr>
            <w:tcW w:w="1440" w:type="dxa"/>
            <w:hideMark/>
          </w:tcPr>
          <w:p w14:paraId="1F0C735F"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lastRenderedPageBreak/>
              <w:t xml:space="preserve">Mentions efforts to attain “of the children’s parents, guardians, mallams, other community members and state government officials” largely through the </w:t>
            </w:r>
            <w:r w:rsidRPr="003F0BA1">
              <w:rPr>
                <w:rFonts w:ascii="Arial" w:hAnsi="Arial" w:cs="Arial"/>
                <w:sz w:val="10"/>
                <w:szCs w:val="10"/>
              </w:rPr>
              <w:lastRenderedPageBreak/>
              <w:t>Adamawa Peace Initiative, a collaboration between the AUN and local religious leaders</w:t>
            </w:r>
          </w:p>
        </w:tc>
        <w:tc>
          <w:tcPr>
            <w:tcW w:w="974" w:type="dxa"/>
            <w:hideMark/>
          </w:tcPr>
          <w:p w14:paraId="3BB2C97F"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lastRenderedPageBreak/>
              <w:t>No outcomes yet reported. Of note, program has also been extended to girls.</w:t>
            </w:r>
          </w:p>
        </w:tc>
      </w:tr>
      <w:tr w:rsidR="00140ED1" w:rsidRPr="003F0BA1" w14:paraId="39BD72DB" w14:textId="77777777" w:rsidTr="003F39D2">
        <w:trPr>
          <w:trHeight w:val="1425"/>
        </w:trPr>
        <w:tc>
          <w:tcPr>
            <w:cnfStyle w:val="001000000000" w:firstRow="0" w:lastRow="0" w:firstColumn="1" w:lastColumn="0" w:oddVBand="0" w:evenVBand="0" w:oddHBand="0" w:evenHBand="0" w:firstRowFirstColumn="0" w:firstRowLastColumn="0" w:lastRowFirstColumn="0" w:lastRowLastColumn="0"/>
            <w:tcW w:w="1294" w:type="dxa"/>
            <w:hideMark/>
          </w:tcPr>
          <w:p w14:paraId="03F22D84"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Aminu 2017</w:t>
            </w:r>
          </w:p>
        </w:tc>
        <w:tc>
          <w:tcPr>
            <w:tcW w:w="1406" w:type="dxa"/>
            <w:hideMark/>
          </w:tcPr>
          <w:p w14:paraId="7CC8D89F"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Carriage Rate Of Neisseria Meningitides Among Pupils Of Islamic Boarding Schools (Tsangaya Almajirai) In Kano, Nigeria.</w:t>
            </w:r>
          </w:p>
        </w:tc>
        <w:tc>
          <w:tcPr>
            <w:tcW w:w="900" w:type="dxa"/>
            <w:hideMark/>
          </w:tcPr>
          <w:p w14:paraId="402B4A64"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2016</w:t>
            </w:r>
          </w:p>
        </w:tc>
        <w:tc>
          <w:tcPr>
            <w:tcW w:w="1170" w:type="dxa"/>
            <w:hideMark/>
          </w:tcPr>
          <w:p w14:paraId="57D1B744"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Kano State, Nigeria</w:t>
            </w:r>
          </w:p>
        </w:tc>
        <w:tc>
          <w:tcPr>
            <w:tcW w:w="1620" w:type="dxa"/>
            <w:hideMark/>
          </w:tcPr>
          <w:p w14:paraId="23709CD9"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Cross-sectional study using nasal sample testing to estimate the prevalence of Neisseria meningitides among almajirai</w:t>
            </w:r>
          </w:p>
        </w:tc>
        <w:tc>
          <w:tcPr>
            <w:tcW w:w="1376" w:type="dxa"/>
            <w:hideMark/>
          </w:tcPr>
          <w:p w14:paraId="323DEEF3"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150 almajirai</w:t>
            </w:r>
          </w:p>
        </w:tc>
        <w:tc>
          <w:tcPr>
            <w:tcW w:w="1144" w:type="dxa"/>
            <w:hideMark/>
          </w:tcPr>
          <w:p w14:paraId="0D04AA03"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Range: 5 – 10</w:t>
            </w:r>
          </w:p>
        </w:tc>
        <w:tc>
          <w:tcPr>
            <w:tcW w:w="1620" w:type="dxa"/>
            <w:hideMark/>
          </w:tcPr>
          <w:p w14:paraId="06FADE61"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23 (15.3%) almajirai had nasal samples that were positive for N. meningitides, around half of whom (52.2%) were positive for N. meningitides serotype B</w:t>
            </w:r>
          </w:p>
        </w:tc>
        <w:tc>
          <w:tcPr>
            <w:tcW w:w="1440" w:type="dxa"/>
            <w:hideMark/>
          </w:tcPr>
          <w:p w14:paraId="6131E5EF"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Ethical clearance  and  consent  for  the  study  were obtained  from  the Kano State Board of Islamiyya and Quranic education, and from “head teachers” at each Tsangaya.</w:t>
            </w:r>
          </w:p>
        </w:tc>
        <w:tc>
          <w:tcPr>
            <w:tcW w:w="974" w:type="dxa"/>
            <w:hideMark/>
          </w:tcPr>
          <w:p w14:paraId="524EF297"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p>
        </w:tc>
      </w:tr>
      <w:tr w:rsidR="00140ED1" w:rsidRPr="003F0BA1" w14:paraId="512F2F30" w14:textId="77777777" w:rsidTr="003F39D2">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1294" w:type="dxa"/>
            <w:hideMark/>
          </w:tcPr>
          <w:p w14:paraId="33EC19E5"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Hamma 2017</w:t>
            </w:r>
          </w:p>
        </w:tc>
        <w:tc>
          <w:tcPr>
            <w:tcW w:w="1406" w:type="dxa"/>
            <w:hideMark/>
          </w:tcPr>
          <w:p w14:paraId="03AA33F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Malaria Occurrence And Awareness Amongst Almajirai In Some Selected Traditional Qur'anic Centres Of Kano Municipal And Gwale Local Government Areas Of Kano State.</w:t>
            </w:r>
          </w:p>
        </w:tc>
        <w:tc>
          <w:tcPr>
            <w:tcW w:w="900" w:type="dxa"/>
            <w:hideMark/>
          </w:tcPr>
          <w:p w14:paraId="33987967"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2017</w:t>
            </w:r>
          </w:p>
        </w:tc>
        <w:tc>
          <w:tcPr>
            <w:tcW w:w="1170" w:type="dxa"/>
            <w:hideMark/>
          </w:tcPr>
          <w:p w14:paraId="7B7622C1"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Kano Municipal &amp; Gwale Local Government Areas, Kano State, Nigeria</w:t>
            </w:r>
          </w:p>
        </w:tc>
        <w:tc>
          <w:tcPr>
            <w:tcW w:w="1620" w:type="dxa"/>
            <w:hideMark/>
          </w:tcPr>
          <w:p w14:paraId="7E204B1C"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Cross-sectional study using blood sample microscopy to estimate the prevalence of malaria among almajirai, and speciate prevalent strains.</w:t>
            </w:r>
          </w:p>
        </w:tc>
        <w:tc>
          <w:tcPr>
            <w:tcW w:w="1376" w:type="dxa"/>
            <w:hideMark/>
          </w:tcPr>
          <w:p w14:paraId="37EE5AE6"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454 almajirai</w:t>
            </w:r>
          </w:p>
        </w:tc>
        <w:tc>
          <w:tcPr>
            <w:tcW w:w="1144" w:type="dxa"/>
            <w:hideMark/>
          </w:tcPr>
          <w:p w14:paraId="4E21E86B"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Range: 9 – 28</w:t>
            </w:r>
          </w:p>
        </w:tc>
        <w:tc>
          <w:tcPr>
            <w:tcW w:w="1620" w:type="dxa"/>
            <w:hideMark/>
          </w:tcPr>
          <w:p w14:paraId="05DE39ED"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162 (35.7%) almajirai had blood samples that were positive for malaria. P falciparum was the only malarial species represented in the sample.</w:t>
            </w:r>
          </w:p>
        </w:tc>
        <w:tc>
          <w:tcPr>
            <w:tcW w:w="1440" w:type="dxa"/>
            <w:hideMark/>
          </w:tcPr>
          <w:p w14:paraId="3960DF8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Ethical approval was obtained from an Islamiyya school boards, and verbal consents were obtained from each participating almajirai. Authors recommend that</w:t>
            </w:r>
          </w:p>
          <w:p w14:paraId="546C6B93"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“[c]ommunity mobilization and health education regarding importance of ITNs [insecticide-treated nets] should be considered”.</w:t>
            </w:r>
          </w:p>
        </w:tc>
        <w:tc>
          <w:tcPr>
            <w:tcW w:w="974" w:type="dxa"/>
            <w:hideMark/>
          </w:tcPr>
          <w:p w14:paraId="5E67DA51"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p>
        </w:tc>
      </w:tr>
      <w:tr w:rsidR="00140ED1" w:rsidRPr="003F0BA1" w14:paraId="6CE4F4B5" w14:textId="77777777" w:rsidTr="003F39D2">
        <w:trPr>
          <w:trHeight w:val="1605"/>
        </w:trPr>
        <w:tc>
          <w:tcPr>
            <w:cnfStyle w:val="001000000000" w:firstRow="0" w:lastRow="0" w:firstColumn="1" w:lastColumn="0" w:oddVBand="0" w:evenVBand="0" w:oddHBand="0" w:evenHBand="0" w:firstRowFirstColumn="0" w:firstRowLastColumn="0" w:lastRowFirstColumn="0" w:lastRowLastColumn="0"/>
            <w:tcW w:w="1294" w:type="dxa"/>
            <w:hideMark/>
          </w:tcPr>
          <w:p w14:paraId="1A323582"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Shuaibu 2011</w:t>
            </w:r>
          </w:p>
        </w:tc>
        <w:tc>
          <w:tcPr>
            <w:tcW w:w="1406" w:type="dxa"/>
            <w:hideMark/>
          </w:tcPr>
          <w:p w14:paraId="133B7360"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Assessment Of Socioeconomic, Demographic And Health Problems Of Al-Majiri In Sokoto State, North-Western Nigeria</w:t>
            </w:r>
          </w:p>
        </w:tc>
        <w:tc>
          <w:tcPr>
            <w:tcW w:w="900" w:type="dxa"/>
            <w:hideMark/>
          </w:tcPr>
          <w:p w14:paraId="6AC5F7B9"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2011</w:t>
            </w:r>
          </w:p>
        </w:tc>
        <w:tc>
          <w:tcPr>
            <w:tcW w:w="1170" w:type="dxa"/>
            <w:hideMark/>
          </w:tcPr>
          <w:p w14:paraId="47BD69D8"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Sokoto City, Sokoto State, Nigeria</w:t>
            </w:r>
          </w:p>
        </w:tc>
        <w:tc>
          <w:tcPr>
            <w:tcW w:w="1620" w:type="dxa"/>
            <w:hideMark/>
          </w:tcPr>
          <w:p w14:paraId="48926433"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Cross sectional study using semi-structured interviews, physical examinations and urine testing to “assess the </w:t>
            </w:r>
          </w:p>
          <w:p w14:paraId="331AE579"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demographic </w:t>
            </w:r>
          </w:p>
          <w:p w14:paraId="29E230D8"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profile, socioeconomic </w:t>
            </w:r>
          </w:p>
          <w:p w14:paraId="657898CC"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lastRenderedPageBreak/>
              <w:t>backgrounds </w:t>
            </w:r>
          </w:p>
          <w:p w14:paraId="5E8AAB24"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and health status” of almajirai in Sokoto state</w:t>
            </w:r>
          </w:p>
        </w:tc>
        <w:tc>
          <w:tcPr>
            <w:tcW w:w="1376" w:type="dxa"/>
            <w:hideMark/>
          </w:tcPr>
          <w:p w14:paraId="08D4668A"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lastRenderedPageBreak/>
              <w:t>377 almajirai</w:t>
            </w:r>
          </w:p>
        </w:tc>
        <w:tc>
          <w:tcPr>
            <w:tcW w:w="1144" w:type="dxa"/>
            <w:hideMark/>
          </w:tcPr>
          <w:p w14:paraId="576E632B"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Not disclosed explicitly.</w:t>
            </w:r>
          </w:p>
        </w:tc>
        <w:tc>
          <w:tcPr>
            <w:tcW w:w="1620" w:type="dxa"/>
            <w:hideMark/>
          </w:tcPr>
          <w:p w14:paraId="40DF5AD0"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225 (59.7%) almajirai had features of urinary tract infection, out of which 116 (51.6%) </w:t>
            </w:r>
          </w:p>
          <w:p w14:paraId="53ABB082"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yielded culture-positive E. coli, sensitive </w:t>
            </w:r>
          </w:p>
          <w:p w14:paraId="7C9F47FC"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lastRenderedPageBreak/>
              <w:t>to siprosan, gentamycin and levoxin. 50 (13.3%) had dry skin and 40 (10.6%) had symptoms of upper respiratory infection. Skin lesions, diarrheal disease, eye discharge and bodily wounds were each seen in under 5% of the sample. </w:t>
            </w:r>
          </w:p>
        </w:tc>
        <w:tc>
          <w:tcPr>
            <w:tcW w:w="1440" w:type="dxa"/>
            <w:hideMark/>
          </w:tcPr>
          <w:p w14:paraId="059989CF"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lastRenderedPageBreak/>
              <w:t>None disclosed.</w:t>
            </w:r>
          </w:p>
        </w:tc>
        <w:tc>
          <w:tcPr>
            <w:tcW w:w="974" w:type="dxa"/>
            <w:hideMark/>
          </w:tcPr>
          <w:p w14:paraId="6E487608"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p>
        </w:tc>
      </w:tr>
      <w:tr w:rsidR="00140ED1" w:rsidRPr="003F0BA1" w14:paraId="257EEA46" w14:textId="77777777" w:rsidTr="003F39D2">
        <w:trPr>
          <w:cnfStyle w:val="000000100000" w:firstRow="0" w:lastRow="0" w:firstColumn="0" w:lastColumn="0" w:oddVBand="0" w:evenVBand="0" w:oddHBand="1" w:evenHBand="0" w:firstRowFirstColumn="0" w:firstRowLastColumn="0" w:lastRowFirstColumn="0" w:lastRowLastColumn="0"/>
          <w:trHeight w:val="1605"/>
        </w:trPr>
        <w:tc>
          <w:tcPr>
            <w:cnfStyle w:val="001000000000" w:firstRow="0" w:lastRow="0" w:firstColumn="1" w:lastColumn="0" w:oddVBand="0" w:evenVBand="0" w:oddHBand="0" w:evenHBand="0" w:firstRowFirstColumn="0" w:firstRowLastColumn="0" w:lastRowFirstColumn="0" w:lastRowLastColumn="0"/>
            <w:tcW w:w="1294" w:type="dxa"/>
            <w:hideMark/>
          </w:tcPr>
          <w:p w14:paraId="268CC1DC"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Dzikwi 2012</w:t>
            </w:r>
          </w:p>
        </w:tc>
        <w:tc>
          <w:tcPr>
            <w:tcW w:w="1406" w:type="dxa"/>
            <w:hideMark/>
          </w:tcPr>
          <w:p w14:paraId="00F5E360"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Knowledge, Attitude And Practice About Rabies Among Children Receiving Formal And Informal Education In Samaru, Zaria, Nigeria.</w:t>
            </w:r>
          </w:p>
        </w:tc>
        <w:tc>
          <w:tcPr>
            <w:tcW w:w="900" w:type="dxa"/>
            <w:hideMark/>
          </w:tcPr>
          <w:p w14:paraId="7420942B"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2010</w:t>
            </w:r>
          </w:p>
        </w:tc>
        <w:tc>
          <w:tcPr>
            <w:tcW w:w="1170" w:type="dxa"/>
            <w:hideMark/>
          </w:tcPr>
          <w:p w14:paraId="20E11B9A"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Samaru Ward, Sabon Gari Local Government Area, Zaria City, Kaduna State, Nigeria</w:t>
            </w:r>
          </w:p>
        </w:tc>
        <w:tc>
          <w:tcPr>
            <w:tcW w:w="1620" w:type="dxa"/>
            <w:hideMark/>
          </w:tcPr>
          <w:p w14:paraId="76ECAA33"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Cross sectional study using self- and interviewer-administered questionnaires to compare rabies knowledge and risk-related behaviors between children attending secular schools and almajirai</w:t>
            </w:r>
          </w:p>
        </w:tc>
        <w:tc>
          <w:tcPr>
            <w:tcW w:w="1376" w:type="dxa"/>
            <w:hideMark/>
          </w:tcPr>
          <w:p w14:paraId="704A5CC3"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77 almajirai and 400 children from secular primary and secondary schools</w:t>
            </w:r>
          </w:p>
        </w:tc>
        <w:tc>
          <w:tcPr>
            <w:tcW w:w="1144" w:type="dxa"/>
            <w:hideMark/>
          </w:tcPr>
          <w:p w14:paraId="6FD596F4"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Range: 5 – 20</w:t>
            </w:r>
          </w:p>
        </w:tc>
        <w:tc>
          <w:tcPr>
            <w:tcW w:w="1620" w:type="dxa"/>
            <w:hideMark/>
          </w:tcPr>
          <w:p w14:paraId="700D010E"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203 (50.8%) children in secular schools and 25 (32.5%) almajirai had any knowledge about rabies. Of those who recognized rabies, 127 children in secular schools (65.7%) and 2 almajirai (8%) were aware that dog bites could transmit the disease.</w:t>
            </w:r>
          </w:p>
        </w:tc>
        <w:tc>
          <w:tcPr>
            <w:tcW w:w="1440" w:type="dxa"/>
            <w:hideMark/>
          </w:tcPr>
          <w:p w14:paraId="3DEE5E03"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Consent for the study was obtained from ‘responsible authorities’. Authors “recommend rabies education for parents and school teachers in both the formal and informal setting” for better recognition, prevention and treatment of rabies. </w:t>
            </w:r>
          </w:p>
        </w:tc>
        <w:tc>
          <w:tcPr>
            <w:tcW w:w="974" w:type="dxa"/>
            <w:hideMark/>
          </w:tcPr>
          <w:p w14:paraId="7C997087"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p>
        </w:tc>
      </w:tr>
      <w:tr w:rsidR="00140ED1" w:rsidRPr="003F0BA1" w14:paraId="61358E24" w14:textId="77777777" w:rsidTr="003F39D2">
        <w:trPr>
          <w:trHeight w:val="1965"/>
        </w:trPr>
        <w:tc>
          <w:tcPr>
            <w:cnfStyle w:val="001000000000" w:firstRow="0" w:lastRow="0" w:firstColumn="1" w:lastColumn="0" w:oddVBand="0" w:evenVBand="0" w:oddHBand="0" w:evenHBand="0" w:firstRowFirstColumn="0" w:firstRowLastColumn="0" w:lastRowFirstColumn="0" w:lastRowLastColumn="0"/>
            <w:tcW w:w="1294" w:type="dxa"/>
            <w:hideMark/>
          </w:tcPr>
          <w:p w14:paraId="10EE4365"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Akintunde 2020</w:t>
            </w:r>
          </w:p>
        </w:tc>
        <w:tc>
          <w:tcPr>
            <w:tcW w:w="1406" w:type="dxa"/>
            <w:hideMark/>
          </w:tcPr>
          <w:p w14:paraId="1F9C2381"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Public Health Implication Of Displacement Of Almajiri Children In Specific States Of Northern Nigeria Amidst COVID-19 Pandemic</w:t>
            </w:r>
          </w:p>
        </w:tc>
        <w:tc>
          <w:tcPr>
            <w:tcW w:w="900" w:type="dxa"/>
            <w:hideMark/>
          </w:tcPr>
          <w:p w14:paraId="440ACCFA"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2020</w:t>
            </w:r>
          </w:p>
        </w:tc>
        <w:tc>
          <w:tcPr>
            <w:tcW w:w="1170" w:type="dxa"/>
            <w:hideMark/>
          </w:tcPr>
          <w:p w14:paraId="6D6666BD"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N/A</w:t>
            </w:r>
          </w:p>
        </w:tc>
        <w:tc>
          <w:tcPr>
            <w:tcW w:w="1620" w:type="dxa"/>
            <w:hideMark/>
          </w:tcPr>
          <w:p w14:paraId="0C804B49"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Text and opinion piece using descriptive analysis and “various sources such as government documents, websites, and blogs” to evaluate the efforts many Nigerian states undertook to repatriate almajirai to their communities of origin in the face of the COVID-19 pandemic.</w:t>
            </w:r>
          </w:p>
        </w:tc>
        <w:tc>
          <w:tcPr>
            <w:tcW w:w="1376" w:type="dxa"/>
            <w:hideMark/>
          </w:tcPr>
          <w:p w14:paraId="30D4F547"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N/A</w:t>
            </w:r>
          </w:p>
        </w:tc>
        <w:tc>
          <w:tcPr>
            <w:tcW w:w="1144" w:type="dxa"/>
            <w:hideMark/>
          </w:tcPr>
          <w:p w14:paraId="74D282C0"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N/A</w:t>
            </w:r>
          </w:p>
        </w:tc>
        <w:tc>
          <w:tcPr>
            <w:tcW w:w="1620" w:type="dxa"/>
            <w:hideMark/>
          </w:tcPr>
          <w:p w14:paraId="4AEEF769"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States returned up to thousands of almajirai to their putative states of origin during the early phase of the COVID-19 pandemic, despite limited evidence of widespread COVID-19 infection among almajirai. Few if ay measures were taken to quarantine and provide care for almajirai who experienced this displacement. </w:t>
            </w:r>
          </w:p>
        </w:tc>
        <w:tc>
          <w:tcPr>
            <w:tcW w:w="1440" w:type="dxa"/>
            <w:hideMark/>
          </w:tcPr>
          <w:p w14:paraId="4C965421"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N/A</w:t>
            </w:r>
          </w:p>
        </w:tc>
        <w:tc>
          <w:tcPr>
            <w:tcW w:w="974" w:type="dxa"/>
            <w:hideMark/>
          </w:tcPr>
          <w:p w14:paraId="3E265FCA"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p>
        </w:tc>
      </w:tr>
      <w:tr w:rsidR="00140ED1" w:rsidRPr="003F0BA1" w14:paraId="76CFCF8F" w14:textId="77777777" w:rsidTr="003F39D2">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1294" w:type="dxa"/>
            <w:hideMark/>
          </w:tcPr>
          <w:p w14:paraId="5E9AD909"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lastRenderedPageBreak/>
              <w:t>Ali 2021</w:t>
            </w:r>
          </w:p>
        </w:tc>
        <w:tc>
          <w:tcPr>
            <w:tcW w:w="1406" w:type="dxa"/>
            <w:hideMark/>
          </w:tcPr>
          <w:p w14:paraId="758525ED"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Prevalence Of Injuries Among Waste Pickers. A Case Study In Nigeria</w:t>
            </w:r>
          </w:p>
        </w:tc>
        <w:tc>
          <w:tcPr>
            <w:tcW w:w="900" w:type="dxa"/>
            <w:hideMark/>
          </w:tcPr>
          <w:p w14:paraId="100CF860"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2019</w:t>
            </w:r>
          </w:p>
        </w:tc>
        <w:tc>
          <w:tcPr>
            <w:tcW w:w="1170" w:type="dxa"/>
            <w:hideMark/>
          </w:tcPr>
          <w:p w14:paraId="5CA13757"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Bauchi City, Bauchi State, Nigeria</w:t>
            </w:r>
          </w:p>
        </w:tc>
        <w:tc>
          <w:tcPr>
            <w:tcW w:w="1620" w:type="dxa"/>
            <w:hideMark/>
          </w:tcPr>
          <w:p w14:paraId="2FD4F4D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Cross sectional study using questionnaires to estimate the prevalence of work-related physical injury, and commonly used means to treat these injuries, among waste-pickers in Bauchi city.</w:t>
            </w:r>
          </w:p>
        </w:tc>
        <w:tc>
          <w:tcPr>
            <w:tcW w:w="1376" w:type="dxa"/>
            <w:hideMark/>
          </w:tcPr>
          <w:p w14:paraId="17C2066C"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313 participants, of whom the number that were almajirai is not disclosed. </w:t>
            </w:r>
          </w:p>
        </w:tc>
        <w:tc>
          <w:tcPr>
            <w:tcW w:w="1144" w:type="dxa"/>
            <w:hideMark/>
          </w:tcPr>
          <w:p w14:paraId="097D0BB2"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Not disaggregated for almajiri participants</w:t>
            </w:r>
          </w:p>
        </w:tc>
        <w:tc>
          <w:tcPr>
            <w:tcW w:w="1620" w:type="dxa"/>
            <w:hideMark/>
          </w:tcPr>
          <w:p w14:paraId="1D365075"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246 respondents (78.5%) reported having experienced work-related injury. Reported injuries, in order of prevalence, were laceration (37.8%), musculoskeletal injury (23.7%), rashes (14%), animal bites (13.5%), piercing injuries (10.6%) and burns (8.3%). Almajirai and workers without experiences of secular education were more likely to report having experienced injury. 54% of waste pickers do not pursue medical treatment for wound, and instead pursue alternative means of management. Such means included the use of procaine powder, ash, sand, salt, grass fluid, hydraulic, kerosene, battery acid, and herbal medicines.</w:t>
            </w:r>
          </w:p>
        </w:tc>
        <w:tc>
          <w:tcPr>
            <w:tcW w:w="1440" w:type="dxa"/>
            <w:hideMark/>
          </w:tcPr>
          <w:p w14:paraId="47B9531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None disclosed.</w:t>
            </w:r>
          </w:p>
        </w:tc>
        <w:tc>
          <w:tcPr>
            <w:tcW w:w="974" w:type="dxa"/>
            <w:hideMark/>
          </w:tcPr>
          <w:p w14:paraId="2BB5C192"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Authors note that “most of those waste pickers are Internally Displaced Persons (IDPs) and Almajiri children”. Results are not, however, disaggregated by worker type.</w:t>
            </w:r>
          </w:p>
        </w:tc>
      </w:tr>
      <w:tr w:rsidR="00140ED1" w:rsidRPr="003F0BA1" w14:paraId="1E761F48" w14:textId="77777777" w:rsidTr="003F39D2">
        <w:trPr>
          <w:trHeight w:val="1425"/>
        </w:trPr>
        <w:tc>
          <w:tcPr>
            <w:cnfStyle w:val="001000000000" w:firstRow="0" w:lastRow="0" w:firstColumn="1" w:lastColumn="0" w:oddVBand="0" w:evenVBand="0" w:oddHBand="0" w:evenHBand="0" w:firstRowFirstColumn="0" w:firstRowLastColumn="0" w:lastRowFirstColumn="0" w:lastRowLastColumn="0"/>
            <w:tcW w:w="1294" w:type="dxa"/>
            <w:hideMark/>
          </w:tcPr>
          <w:p w14:paraId="1D5A92C5"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Balogun 2016</w:t>
            </w:r>
          </w:p>
        </w:tc>
        <w:tc>
          <w:tcPr>
            <w:tcW w:w="1406" w:type="dxa"/>
            <w:hideMark/>
          </w:tcPr>
          <w:p w14:paraId="36BD3FBF"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Asymptomatic Falciparum Malaria And Genetic Polymorphisms Of Pfcrt K76T And Pfmdr1 N86Y Among Almajirai In Northeast Nigeria</w:t>
            </w:r>
          </w:p>
        </w:tc>
        <w:tc>
          <w:tcPr>
            <w:tcW w:w="900" w:type="dxa"/>
            <w:hideMark/>
          </w:tcPr>
          <w:p w14:paraId="1543545C"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2010</w:t>
            </w:r>
          </w:p>
        </w:tc>
        <w:tc>
          <w:tcPr>
            <w:tcW w:w="1170" w:type="dxa"/>
            <w:hideMark/>
          </w:tcPr>
          <w:p w14:paraId="53081C52"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Maiduguri City, Borno State, Nigeria</w:t>
            </w:r>
          </w:p>
        </w:tc>
        <w:tc>
          <w:tcPr>
            <w:tcW w:w="1620" w:type="dxa"/>
            <w:hideMark/>
          </w:tcPr>
          <w:p w14:paraId="793359E4"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Cross sectional study using blood sample testing to estimate the prevalence of asymptomatic Plasmodium falciparum malaria, as well as malarial mutations conferring resistance to chloroquine, among almajirai. </w:t>
            </w:r>
          </w:p>
        </w:tc>
        <w:tc>
          <w:tcPr>
            <w:tcW w:w="1376" w:type="dxa"/>
            <w:hideMark/>
          </w:tcPr>
          <w:p w14:paraId="420C7371"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440 almajirai</w:t>
            </w:r>
          </w:p>
        </w:tc>
        <w:tc>
          <w:tcPr>
            <w:tcW w:w="1144" w:type="dxa"/>
            <w:hideMark/>
          </w:tcPr>
          <w:p w14:paraId="72B59A61"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3 – 12 (Range)</w:t>
            </w:r>
          </w:p>
        </w:tc>
        <w:tc>
          <w:tcPr>
            <w:tcW w:w="1620" w:type="dxa"/>
            <w:hideMark/>
          </w:tcPr>
          <w:p w14:paraId="3BF05D65"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The prevalence of asymptomatic falciparum parasitemia and gametocytemia were 12.7% (56/440) and 8.6% (38/440), respectively. Among almajirai with parasitemia, 3 (5.4%) had one of two malarial mutations conferring chloroquine resistance (Pfcrt K76T). Another resistance-conferring mutation (Pfmdr1 N86Y) was not seen in this sample.</w:t>
            </w:r>
          </w:p>
        </w:tc>
        <w:tc>
          <w:tcPr>
            <w:tcW w:w="1440" w:type="dxa"/>
            <w:hideMark/>
          </w:tcPr>
          <w:p w14:paraId="0F3BC3BC"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Ethical approval  and research permission was obtained from the Borno State Ministry of Religious Affairs, and consent was obtained from participating almajirai.</w:t>
            </w:r>
          </w:p>
        </w:tc>
        <w:tc>
          <w:tcPr>
            <w:tcW w:w="974" w:type="dxa"/>
            <w:hideMark/>
          </w:tcPr>
          <w:p w14:paraId="02D0C730"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p>
        </w:tc>
      </w:tr>
      <w:tr w:rsidR="00140ED1" w:rsidRPr="003F0BA1" w14:paraId="5068DC47" w14:textId="77777777" w:rsidTr="003F39D2">
        <w:trPr>
          <w:cnfStyle w:val="000000100000" w:firstRow="0" w:lastRow="0" w:firstColumn="0" w:lastColumn="0" w:oddVBand="0" w:evenVBand="0" w:oddHBand="1" w:evenHBand="0" w:firstRowFirstColumn="0" w:firstRowLastColumn="0" w:lastRowFirstColumn="0" w:lastRowLastColumn="0"/>
          <w:trHeight w:val="1965"/>
        </w:trPr>
        <w:tc>
          <w:tcPr>
            <w:cnfStyle w:val="001000000000" w:firstRow="0" w:lastRow="0" w:firstColumn="1" w:lastColumn="0" w:oddVBand="0" w:evenVBand="0" w:oddHBand="0" w:evenHBand="0" w:firstRowFirstColumn="0" w:firstRowLastColumn="0" w:lastRowFirstColumn="0" w:lastRowLastColumn="0"/>
            <w:tcW w:w="1294" w:type="dxa"/>
            <w:hideMark/>
          </w:tcPr>
          <w:p w14:paraId="349AD265"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lastRenderedPageBreak/>
              <w:t>Gambo 2021</w:t>
            </w:r>
          </w:p>
        </w:tc>
        <w:tc>
          <w:tcPr>
            <w:tcW w:w="1406" w:type="dxa"/>
            <w:hideMark/>
          </w:tcPr>
          <w:p w14:paraId="328630E1"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A Comparative Study On The Prevalence And Intensity Of Urinary Schistosomiasis Among Primary (Formal) And Almajiri (Informal) School Pupils In Kura Local Government Area Of Kano State, Nigeria</w:t>
            </w:r>
          </w:p>
        </w:tc>
        <w:tc>
          <w:tcPr>
            <w:tcW w:w="900" w:type="dxa"/>
            <w:hideMark/>
          </w:tcPr>
          <w:p w14:paraId="610DE674"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Not explicitly disclosed</w:t>
            </w:r>
          </w:p>
        </w:tc>
        <w:tc>
          <w:tcPr>
            <w:tcW w:w="1170" w:type="dxa"/>
            <w:hideMark/>
          </w:tcPr>
          <w:p w14:paraId="6D4ECB40"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Kura Local Government Area, Kano State, Nigeria</w:t>
            </w:r>
          </w:p>
        </w:tc>
        <w:tc>
          <w:tcPr>
            <w:tcW w:w="1620" w:type="dxa"/>
            <w:hideMark/>
          </w:tcPr>
          <w:p w14:paraId="02D851A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Cross sectional study using urine sample testing to compare the prevalence of urinary schistosomiasis between almajirai and secular primary school students.</w:t>
            </w:r>
          </w:p>
        </w:tc>
        <w:tc>
          <w:tcPr>
            <w:tcW w:w="1376" w:type="dxa"/>
            <w:hideMark/>
          </w:tcPr>
          <w:p w14:paraId="3FC17A2A"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200 almajirai and 200 secular primary school students</w:t>
            </w:r>
          </w:p>
        </w:tc>
        <w:tc>
          <w:tcPr>
            <w:tcW w:w="1144" w:type="dxa"/>
            <w:hideMark/>
          </w:tcPr>
          <w:p w14:paraId="7C7878D2"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Mean: 10.7 (Almajirai)</w:t>
            </w:r>
          </w:p>
          <w:p w14:paraId="34BFFFC9"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Mean: 10.3 (Secular)</w:t>
            </w:r>
          </w:p>
        </w:tc>
        <w:tc>
          <w:tcPr>
            <w:tcW w:w="1620" w:type="dxa"/>
            <w:hideMark/>
          </w:tcPr>
          <w:p w14:paraId="44C4804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Urinary schistosomiasis was seen in 86 secular school students (43%) and 111 almajirai (55.5%), a statistically significant difference (p&lt;0.05).</w:t>
            </w:r>
          </w:p>
        </w:tc>
        <w:tc>
          <w:tcPr>
            <w:tcW w:w="1440" w:type="dxa"/>
            <w:hideMark/>
          </w:tcPr>
          <w:p w14:paraId="417A4830"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Written informed consent signed or thumb printed was obtained from parents, guardians or mallamai. Older pupils aged 7 years and above gave their assent. Authors “recommend that control programmes should target more on Almajiri school pupils in addition to the primary school pupils."</w:t>
            </w:r>
          </w:p>
        </w:tc>
        <w:tc>
          <w:tcPr>
            <w:tcW w:w="974" w:type="dxa"/>
            <w:hideMark/>
          </w:tcPr>
          <w:p w14:paraId="0B3020D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p>
        </w:tc>
      </w:tr>
      <w:tr w:rsidR="00140ED1" w:rsidRPr="003F0BA1" w14:paraId="3C5E5C7E" w14:textId="77777777" w:rsidTr="003F39D2">
        <w:trPr>
          <w:trHeight w:val="1245"/>
        </w:trPr>
        <w:tc>
          <w:tcPr>
            <w:cnfStyle w:val="001000000000" w:firstRow="0" w:lastRow="0" w:firstColumn="1" w:lastColumn="0" w:oddVBand="0" w:evenVBand="0" w:oddHBand="0" w:evenHBand="0" w:firstRowFirstColumn="0" w:firstRowLastColumn="0" w:lastRowFirstColumn="0" w:lastRowLastColumn="0"/>
            <w:tcW w:w="1294" w:type="dxa"/>
            <w:hideMark/>
          </w:tcPr>
          <w:p w14:paraId="61D77984"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Yandoma 2019</w:t>
            </w:r>
          </w:p>
        </w:tc>
        <w:tc>
          <w:tcPr>
            <w:tcW w:w="1406" w:type="dxa"/>
            <w:hideMark/>
          </w:tcPr>
          <w:p w14:paraId="225DA21C"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Risk Factors For Intestinal Parasitosis Among Almajiri Pupils In Zaria, North Western Nigeria</w:t>
            </w:r>
          </w:p>
        </w:tc>
        <w:tc>
          <w:tcPr>
            <w:tcW w:w="900" w:type="dxa"/>
            <w:hideMark/>
          </w:tcPr>
          <w:p w14:paraId="7D20C7E3"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Not explicitly disclosed</w:t>
            </w:r>
          </w:p>
        </w:tc>
        <w:tc>
          <w:tcPr>
            <w:tcW w:w="1170" w:type="dxa"/>
            <w:hideMark/>
          </w:tcPr>
          <w:p w14:paraId="6DA146C0"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Zaria City, Kaduna State, Nigeria</w:t>
            </w:r>
          </w:p>
        </w:tc>
        <w:tc>
          <w:tcPr>
            <w:tcW w:w="1620" w:type="dxa"/>
            <w:hideMark/>
          </w:tcPr>
          <w:p w14:paraId="5F24142E"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Cross sectional study using questionnaires and stool samples to evaluate the prevalence of intestinal parasitosis among almajirai, as well as risk factors associated with parasitic infection.</w:t>
            </w:r>
          </w:p>
        </w:tc>
        <w:tc>
          <w:tcPr>
            <w:tcW w:w="1376" w:type="dxa"/>
            <w:hideMark/>
          </w:tcPr>
          <w:p w14:paraId="0627203A"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262 almajirai</w:t>
            </w:r>
          </w:p>
        </w:tc>
        <w:tc>
          <w:tcPr>
            <w:tcW w:w="1144" w:type="dxa"/>
            <w:hideMark/>
          </w:tcPr>
          <w:p w14:paraId="260BF9AF"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Range: 4 – 12</w:t>
            </w:r>
          </w:p>
        </w:tc>
        <w:tc>
          <w:tcPr>
            <w:tcW w:w="1620" w:type="dxa"/>
            <w:hideMark/>
          </w:tcPr>
          <w:p w14:paraId="34767349"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218 almajirai (83.2%) had intestinal parasites. Intestinal parasitosis was significantly associated with older age, poor hand washing after defecation, fingernail-biting and thumb-sucking, sharing food from a plate and belonging to a polygamous family (p&lt;0.05).</w:t>
            </w:r>
          </w:p>
        </w:tc>
        <w:tc>
          <w:tcPr>
            <w:tcW w:w="1440" w:type="dxa"/>
            <w:hideMark/>
          </w:tcPr>
          <w:p w14:paraId="3F3180A6"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Permission for the study was obtained from the local authority overseeing the schools. Assent for participation was obtained from individual pupils and consent obtained from their mallamai. Authors recommend that "proper sewage disposal and personal and environmental hygienic practices should be inculcated in the Almajiri system."</w:t>
            </w:r>
          </w:p>
        </w:tc>
        <w:tc>
          <w:tcPr>
            <w:tcW w:w="974" w:type="dxa"/>
            <w:hideMark/>
          </w:tcPr>
          <w:p w14:paraId="692144EE"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p>
        </w:tc>
      </w:tr>
      <w:tr w:rsidR="00140ED1" w:rsidRPr="003F0BA1" w14:paraId="03890008" w14:textId="77777777" w:rsidTr="003F39D2">
        <w:trPr>
          <w:cnfStyle w:val="000000100000" w:firstRow="0" w:lastRow="0" w:firstColumn="0" w:lastColumn="0" w:oddVBand="0" w:evenVBand="0" w:oddHBand="1" w:evenHBand="0" w:firstRowFirstColumn="0" w:firstRowLastColumn="0" w:lastRowFirstColumn="0" w:lastRowLastColumn="0"/>
          <w:trHeight w:val="2145"/>
        </w:trPr>
        <w:tc>
          <w:tcPr>
            <w:cnfStyle w:val="001000000000" w:firstRow="0" w:lastRow="0" w:firstColumn="1" w:lastColumn="0" w:oddVBand="0" w:evenVBand="0" w:oddHBand="0" w:evenHBand="0" w:firstRowFirstColumn="0" w:firstRowLastColumn="0" w:lastRowFirstColumn="0" w:lastRowLastColumn="0"/>
            <w:tcW w:w="1294" w:type="dxa"/>
            <w:hideMark/>
          </w:tcPr>
          <w:p w14:paraId="0B0F152F"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lastRenderedPageBreak/>
              <w:t>Abubakar-Abdullateef 2017</w:t>
            </w:r>
          </w:p>
        </w:tc>
        <w:tc>
          <w:tcPr>
            <w:tcW w:w="1406" w:type="dxa"/>
            <w:hideMark/>
          </w:tcPr>
          <w:p w14:paraId="5CAC6385"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A Comparative Study Of The Prevalence And Correlates Of Psychiatric Disorders In Almajiris And Public Primary School Pupils In Zaria, Northwest Nigeria</w:t>
            </w:r>
          </w:p>
        </w:tc>
        <w:tc>
          <w:tcPr>
            <w:tcW w:w="900" w:type="dxa"/>
            <w:hideMark/>
          </w:tcPr>
          <w:p w14:paraId="5C72CF0A"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Not explicitly disclosed</w:t>
            </w:r>
          </w:p>
        </w:tc>
        <w:tc>
          <w:tcPr>
            <w:tcW w:w="1170" w:type="dxa"/>
            <w:hideMark/>
          </w:tcPr>
          <w:p w14:paraId="3B7D97C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Zaria City, Kaduna State, Nigeria</w:t>
            </w:r>
          </w:p>
        </w:tc>
        <w:tc>
          <w:tcPr>
            <w:tcW w:w="1620" w:type="dxa"/>
            <w:hideMark/>
          </w:tcPr>
          <w:p w14:paraId="5C34DC1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Cross sectional study using the Schedule for Affective </w:t>
            </w:r>
          </w:p>
          <w:p w14:paraId="72ECA25D"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Disorders and Schizophrenia for School aged Children-</w:t>
            </w:r>
          </w:p>
          <w:p w14:paraId="7B1DD094"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Present and Lifetime Version (K-SADS-PL), a validated semi-structured diagnostic interview tool, to compare the prevalence of psychiatric disorders between almajirai and secular primary school children.</w:t>
            </w:r>
          </w:p>
        </w:tc>
        <w:tc>
          <w:tcPr>
            <w:tcW w:w="1376" w:type="dxa"/>
            <w:hideMark/>
          </w:tcPr>
          <w:p w14:paraId="41D7B547"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213 almajirai and and 200 students at secular public primary schools</w:t>
            </w:r>
          </w:p>
        </w:tc>
        <w:tc>
          <w:tcPr>
            <w:tcW w:w="1144" w:type="dxa"/>
            <w:hideMark/>
          </w:tcPr>
          <w:p w14:paraId="0B5233D9"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Range: 5 – 19</w:t>
            </w:r>
          </w:p>
          <w:p w14:paraId="6B9BB125"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Mean: 13.1 (Almajirai)</w:t>
            </w:r>
          </w:p>
          <w:p w14:paraId="4EE7C3D0"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Mean: 10.9 (Secular)</w:t>
            </w:r>
          </w:p>
        </w:tc>
        <w:tc>
          <w:tcPr>
            <w:tcW w:w="1620" w:type="dxa"/>
            <w:hideMark/>
          </w:tcPr>
          <w:p w14:paraId="2C4FE7A4"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The prevalence of depression, general anxiety disorder, enuresis, substance use and PTSD were significantly higher among almajirai than among students at secular schools. Almajirai were significantly less likely than secular school students to have separation anxiety. Significant associations were found between psychiatric diagnoses and maternal education, personal experience of malnutrition, serious injury, fighting, bullying within the last month and visiting home less than 3 times per year.</w:t>
            </w:r>
          </w:p>
        </w:tc>
        <w:tc>
          <w:tcPr>
            <w:tcW w:w="1440" w:type="dxa"/>
            <w:hideMark/>
          </w:tcPr>
          <w:p w14:paraId="107659B2"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Consent for study was obtained from mallamai, and assent was obtained from all participating almajirai. </w:t>
            </w:r>
          </w:p>
        </w:tc>
        <w:tc>
          <w:tcPr>
            <w:tcW w:w="974" w:type="dxa"/>
            <w:hideMark/>
          </w:tcPr>
          <w:p w14:paraId="275BB05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The mean ages in the almajiri and secular school groups were significantly different in this study (p&lt;0.05).</w:t>
            </w:r>
          </w:p>
        </w:tc>
      </w:tr>
      <w:tr w:rsidR="00140ED1" w:rsidRPr="003F0BA1" w14:paraId="6844C8CD" w14:textId="77777777" w:rsidTr="003F39D2">
        <w:trPr>
          <w:trHeight w:val="3225"/>
        </w:trPr>
        <w:tc>
          <w:tcPr>
            <w:cnfStyle w:val="001000000000" w:firstRow="0" w:lastRow="0" w:firstColumn="1" w:lastColumn="0" w:oddVBand="0" w:evenVBand="0" w:oddHBand="0" w:evenHBand="0" w:firstRowFirstColumn="0" w:firstRowLastColumn="0" w:lastRowFirstColumn="0" w:lastRowLastColumn="0"/>
            <w:tcW w:w="1294" w:type="dxa"/>
            <w:hideMark/>
          </w:tcPr>
          <w:p w14:paraId="39D2E123"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Idowu 2016</w:t>
            </w:r>
          </w:p>
        </w:tc>
        <w:tc>
          <w:tcPr>
            <w:tcW w:w="1406" w:type="dxa"/>
            <w:hideMark/>
          </w:tcPr>
          <w:p w14:paraId="6A13D853"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Oral Health Knowledge And Practice Of 12 To 14-Year-Old Almajaris In Nigeria: A Problem Of Definition And A Call To Action</w:t>
            </w:r>
          </w:p>
        </w:tc>
        <w:tc>
          <w:tcPr>
            <w:tcW w:w="900" w:type="dxa"/>
            <w:hideMark/>
          </w:tcPr>
          <w:p w14:paraId="165ED57A"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Not explicitly disclosed</w:t>
            </w:r>
          </w:p>
        </w:tc>
        <w:tc>
          <w:tcPr>
            <w:tcW w:w="1170" w:type="dxa"/>
            <w:hideMark/>
          </w:tcPr>
          <w:p w14:paraId="4F305D52"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Nasarawa Local Government Area, Kano State, Nigeria</w:t>
            </w:r>
          </w:p>
        </w:tc>
        <w:tc>
          <w:tcPr>
            <w:tcW w:w="1620" w:type="dxa"/>
            <w:hideMark/>
          </w:tcPr>
          <w:p w14:paraId="0D78EEE1"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Cross sectional study using a questionnaire to assess oral health knowledge, behaviors and medical history among almajirai, and a simplified Oral Hygiene Index (OHI-S) to evaluate their oral hygiene.</w:t>
            </w:r>
          </w:p>
        </w:tc>
        <w:tc>
          <w:tcPr>
            <w:tcW w:w="1376" w:type="dxa"/>
            <w:hideMark/>
          </w:tcPr>
          <w:p w14:paraId="7370EA47"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186 almajirai</w:t>
            </w:r>
          </w:p>
        </w:tc>
        <w:tc>
          <w:tcPr>
            <w:tcW w:w="1144" w:type="dxa"/>
            <w:hideMark/>
          </w:tcPr>
          <w:p w14:paraId="4DD89D01" w14:textId="77777777" w:rsidR="00140ED1" w:rsidRPr="003F0BA1" w:rsidRDefault="00140ED1" w:rsidP="003F39D2">
            <w:pPr>
              <w:pStyle w:val="Default"/>
              <w:spacing w:before="0" w:afterLines="60" w:after="144"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Mean: 12.7</w:t>
            </w:r>
          </w:p>
        </w:tc>
        <w:tc>
          <w:tcPr>
            <w:tcW w:w="1620" w:type="dxa"/>
            <w:hideMark/>
          </w:tcPr>
          <w:p w14:paraId="0A0C08E8"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r w:rsidRPr="003F0BA1">
              <w:rPr>
                <w:rFonts w:ascii="Arial" w:hAnsi="Arial" w:cs="Arial"/>
                <w:sz w:val="10"/>
                <w:szCs w:val="10"/>
              </w:rPr>
              <w:t xml:space="preserve">104 almajirai (56%) reported practicing oral hygiene to prevent mouth odor and 12 (6.4%) practiced oral hygiene to prevent dental caries and periodontal disease. 6 per cent practiced oral hygienemeasures for the prevention of dental caries and periodontal diseaseas well. 156 (84%) reported daily teeth cleaning. 67% of almajirai reported using water and a finger to clean their teeth, with 4% using toothpaste and a toothbrush, and 29% using either a toothbrush or chewing stick without toothpaste. The </w:t>
            </w:r>
            <w:r w:rsidRPr="003F0BA1">
              <w:rPr>
                <w:rFonts w:ascii="Arial" w:hAnsi="Arial" w:cs="Arial"/>
                <w:sz w:val="10"/>
                <w:szCs w:val="10"/>
              </w:rPr>
              <w:lastRenderedPageBreak/>
              <w:t>OHI-S revealed ‘good’ oral hygiene for 2 almajirai (1%), with the remaining 184 (99%) equally split between ‘poor’ and ‘fair’ oral hygeine. Just 3% of respondents were familiar with dental floss and 2% aware of the need for regular dental visits to maintain oral health.</w:t>
            </w:r>
          </w:p>
        </w:tc>
        <w:tc>
          <w:tcPr>
            <w:tcW w:w="1440" w:type="dxa"/>
            <w:hideMark/>
          </w:tcPr>
          <w:p w14:paraId="0ABE6215"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p>
        </w:tc>
        <w:tc>
          <w:tcPr>
            <w:tcW w:w="974" w:type="dxa"/>
            <w:hideMark/>
          </w:tcPr>
          <w:p w14:paraId="44C58324" w14:textId="77777777" w:rsidR="00140ED1" w:rsidRPr="003F0BA1" w:rsidRDefault="00140ED1" w:rsidP="003F39D2">
            <w:pPr>
              <w:pStyle w:val="Default"/>
              <w:spacing w:before="0" w:afterLines="60" w:after="144"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p>
        </w:tc>
      </w:tr>
      <w:tr w:rsidR="00140ED1" w:rsidRPr="003F0BA1" w14:paraId="43DF28CB" w14:textId="77777777" w:rsidTr="003F39D2">
        <w:trPr>
          <w:cnfStyle w:val="000000100000" w:firstRow="0" w:lastRow="0" w:firstColumn="0" w:lastColumn="0" w:oddVBand="0" w:evenVBand="0" w:oddHBand="1" w:evenHBand="0" w:firstRowFirstColumn="0" w:firstRowLastColumn="0" w:lastRowFirstColumn="0" w:lastRowLastColumn="0"/>
          <w:trHeight w:val="1605"/>
        </w:trPr>
        <w:tc>
          <w:tcPr>
            <w:cnfStyle w:val="001000000000" w:firstRow="0" w:lastRow="0" w:firstColumn="1" w:lastColumn="0" w:oddVBand="0" w:evenVBand="0" w:oddHBand="0" w:evenHBand="0" w:firstRowFirstColumn="0" w:firstRowLastColumn="0" w:lastRowFirstColumn="0" w:lastRowLastColumn="0"/>
            <w:tcW w:w="1294" w:type="dxa"/>
            <w:hideMark/>
          </w:tcPr>
          <w:p w14:paraId="31D860AD" w14:textId="77777777" w:rsidR="00140ED1" w:rsidRPr="003F0BA1" w:rsidRDefault="00140ED1" w:rsidP="003F39D2">
            <w:pPr>
              <w:pStyle w:val="Default"/>
              <w:spacing w:before="0" w:afterLines="60" w:after="144" w:line="480" w:lineRule="auto"/>
              <w:rPr>
                <w:rFonts w:ascii="Arial" w:hAnsi="Arial" w:cs="Arial"/>
                <w:sz w:val="10"/>
                <w:szCs w:val="10"/>
              </w:rPr>
            </w:pPr>
            <w:r w:rsidRPr="003F0BA1">
              <w:rPr>
                <w:rFonts w:ascii="Arial" w:hAnsi="Arial" w:cs="Arial"/>
                <w:b/>
                <w:bCs/>
                <w:sz w:val="10"/>
                <w:szCs w:val="10"/>
              </w:rPr>
              <w:t>Idowu 2020</w:t>
            </w:r>
          </w:p>
        </w:tc>
        <w:tc>
          <w:tcPr>
            <w:tcW w:w="1406" w:type="dxa"/>
            <w:hideMark/>
          </w:tcPr>
          <w:p w14:paraId="55019E85"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Nigeria's Street Children, Epitome Of Oral Health Disparity And Inequality</w:t>
            </w:r>
          </w:p>
        </w:tc>
        <w:tc>
          <w:tcPr>
            <w:tcW w:w="900" w:type="dxa"/>
            <w:hideMark/>
          </w:tcPr>
          <w:p w14:paraId="3A2B2DB5"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2020</w:t>
            </w:r>
          </w:p>
        </w:tc>
        <w:tc>
          <w:tcPr>
            <w:tcW w:w="1170" w:type="dxa"/>
            <w:hideMark/>
          </w:tcPr>
          <w:p w14:paraId="258546FB"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Nasarawa Local Government Area, Kano State, Nigeria</w:t>
            </w:r>
          </w:p>
        </w:tc>
        <w:tc>
          <w:tcPr>
            <w:tcW w:w="1620" w:type="dxa"/>
            <w:hideMark/>
          </w:tcPr>
          <w:p w14:paraId="0500D6F1"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Cross sectional study using a questionnaire and simplified Oral Hygiene Index (OHI-S) to compare oral health knowledge, behaviors, and oral hygiene between almajirai and students at private and secular secondary schools. </w:t>
            </w:r>
          </w:p>
        </w:tc>
        <w:tc>
          <w:tcPr>
            <w:tcW w:w="1376" w:type="dxa"/>
            <w:hideMark/>
          </w:tcPr>
          <w:p w14:paraId="0C42812B"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 xml:space="preserve">200 almajirai and 200 students at private secular secondary schools </w:t>
            </w:r>
          </w:p>
        </w:tc>
        <w:tc>
          <w:tcPr>
            <w:tcW w:w="1144" w:type="dxa"/>
            <w:hideMark/>
          </w:tcPr>
          <w:p w14:paraId="6E620923" w14:textId="77777777" w:rsidR="00140ED1" w:rsidRPr="003F0BA1" w:rsidRDefault="00140ED1" w:rsidP="003F39D2">
            <w:pPr>
              <w:pStyle w:val="Default"/>
              <w:spacing w:before="0" w:afterLines="60" w:after="144"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Mean: 12.7 (Almajirai) Mean: 13.05 (Secular)</w:t>
            </w:r>
          </w:p>
        </w:tc>
        <w:tc>
          <w:tcPr>
            <w:tcW w:w="1620" w:type="dxa"/>
            <w:hideMark/>
          </w:tcPr>
          <w:p w14:paraId="42057E9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6% of almajirai and 70% of secular students identified that oral hygiene prevents both mouth odor and oral disease. 5% of almajirai and 90% of secular students used a toothbrush and toothpaste for teeth cleaning. 65% of almajirai performed teeth cleaning with their fingers and water alone. 4 almajirai (2%) and 128 secular students (64%) had ‘good’ oral health on the OHI-S.</w:t>
            </w:r>
          </w:p>
        </w:tc>
        <w:tc>
          <w:tcPr>
            <w:tcW w:w="1440" w:type="dxa"/>
            <w:hideMark/>
          </w:tcPr>
          <w:p w14:paraId="67D68939"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r w:rsidRPr="003F0BA1">
              <w:rPr>
                <w:rFonts w:ascii="Arial" w:hAnsi="Arial" w:cs="Arial"/>
                <w:sz w:val="10"/>
                <w:szCs w:val="10"/>
              </w:rPr>
              <w:t>Consent for study was obtained from mallamai. Authors recommend that “both  the mallams and  the  secondary  school  teachers should be specially educated on oral hygiene practices” and that “oral health care delivery should be made more accessible to the Nigerian children  through  the  establishment  of  mobile  dental  clinics  that  will pay periodic visits to Quranic and formal schools”</w:t>
            </w:r>
          </w:p>
        </w:tc>
        <w:tc>
          <w:tcPr>
            <w:tcW w:w="974" w:type="dxa"/>
            <w:hideMark/>
          </w:tcPr>
          <w:p w14:paraId="2C5B4126" w14:textId="77777777" w:rsidR="00140ED1" w:rsidRPr="003F0BA1" w:rsidRDefault="00140ED1" w:rsidP="003F39D2">
            <w:pPr>
              <w:pStyle w:val="Default"/>
              <w:spacing w:before="0" w:afterLines="60" w:after="144"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10"/>
                <w:szCs w:val="10"/>
              </w:rPr>
            </w:pPr>
          </w:p>
        </w:tc>
      </w:tr>
    </w:tbl>
    <w:p w14:paraId="632CD35A" w14:textId="77777777" w:rsidR="00332D3B" w:rsidRDefault="00332D3B"/>
    <w:sectPr w:rsidR="00332D3B" w:rsidSect="00140ED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Sylfaen"/>
    <w:panose1 w:val="00000000000000000000"/>
    <w:charset w:val="00"/>
    <w:family w:val="auto"/>
    <w:pitch w:val="variable"/>
    <w:sig w:usb0="A000002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D1"/>
    <w:rsid w:val="00140ED1"/>
    <w:rsid w:val="00332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A8F74"/>
  <w15:chartTrackingRefBased/>
  <w15:docId w15:val="{0CAD92D4-2502-4BFA-BAC7-A5C384A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ED1"/>
    <w:pPr>
      <w:pBdr>
        <w:top w:val="nil"/>
        <w:left w:val="nil"/>
        <w:bottom w:val="nil"/>
        <w:right w:val="nil"/>
        <w:between w:val="nil"/>
        <w:bar w:val="nil"/>
      </w:pBdr>
      <w:spacing w:before="120" w:after="120" w:line="480" w:lineRule="auto"/>
    </w:pPr>
    <w:rPr>
      <w:rFonts w:eastAsia="Arial Unicode MS" w:cs="Arial"/>
      <w:color w:val="000000"/>
      <w:sz w:val="24"/>
      <w:szCs w:val="24"/>
      <w:bdr w:val="nil"/>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0ED1"/>
    <w:pPr>
      <w:pBdr>
        <w:top w:val="nil"/>
        <w:left w:val="nil"/>
        <w:bottom w:val="nil"/>
        <w:right w:val="nil"/>
        <w:between w:val="nil"/>
        <w:bar w:val="nil"/>
      </w:pBdr>
      <w:spacing w:before="160" w:after="12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table" w:styleId="PlainTable5">
    <w:name w:val="Plain Table 5"/>
    <w:basedOn w:val="TableNormal"/>
    <w:uiPriority w:val="45"/>
    <w:rsid w:val="00140ED1"/>
    <w:pPr>
      <w:pBdr>
        <w:top w:val="nil"/>
        <w:left w:val="nil"/>
        <w:bottom w:val="nil"/>
        <w:right w:val="nil"/>
        <w:between w:val="nil"/>
        <w:bar w:val="nil"/>
      </w:pBdr>
      <w:spacing w:before="120" w:after="120" w:line="480" w:lineRule="auto"/>
    </w:pPr>
    <w:rPr>
      <w:rFonts w:ascii="Times New Roman" w:eastAsia="Arial Unicode MS" w:hAnsi="Times New Roman" w:cs="Times New Roman"/>
      <w:sz w:val="20"/>
      <w:szCs w:val="20"/>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2332</Words>
  <Characters>13297</Characters>
  <Application>Microsoft Office Word</Application>
  <DocSecurity>0</DocSecurity>
  <Lines>110</Lines>
  <Paragraphs>31</Paragraphs>
  <ScaleCrop>false</ScaleCrop>
  <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Muzz</dc:creator>
  <cp:keywords/>
  <dc:description/>
  <cp:lastModifiedBy>Muhammad, Muzz</cp:lastModifiedBy>
  <cp:revision>1</cp:revision>
  <dcterms:created xsi:type="dcterms:W3CDTF">2023-01-30T15:45:00Z</dcterms:created>
  <dcterms:modified xsi:type="dcterms:W3CDTF">2023-01-30T15:46:00Z</dcterms:modified>
</cp:coreProperties>
</file>