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0A2CA" w14:textId="77777777" w:rsidR="00513D5D" w:rsidRPr="00C928B6" w:rsidRDefault="00513D5D" w:rsidP="00513D5D">
      <w:pPr>
        <w:pStyle w:val="NoSpacing"/>
        <w:spacing w:line="276" w:lineRule="auto"/>
        <w:jc w:val="both"/>
        <w:rPr>
          <w:rFonts w:ascii="Arial" w:hAnsi="Arial" w:cs="Arial"/>
          <w:b/>
          <w:sz w:val="28"/>
          <w:szCs w:val="28"/>
        </w:rPr>
      </w:pPr>
      <w:bookmarkStart w:id="0" w:name="_Hlk122640856"/>
      <w:r w:rsidRPr="00C928B6">
        <w:rPr>
          <w:rFonts w:ascii="Arial" w:hAnsi="Arial" w:cs="Arial"/>
          <w:b/>
          <w:sz w:val="28"/>
          <w:szCs w:val="28"/>
        </w:rPr>
        <w:t>Glutaminase inhibition in combination with azacytidine in myelodysplastic syndromes: Clinical efficacy and correlative analyses</w:t>
      </w:r>
    </w:p>
    <w:p w14:paraId="0721D0C4" w14:textId="77777777" w:rsidR="00513D5D" w:rsidRPr="00C928B6" w:rsidRDefault="00513D5D" w:rsidP="00513D5D">
      <w:pPr>
        <w:pStyle w:val="NoSpacing"/>
        <w:spacing w:line="276" w:lineRule="auto"/>
        <w:jc w:val="both"/>
        <w:rPr>
          <w:rFonts w:ascii="Arial" w:hAnsi="Arial" w:cs="Arial"/>
          <w:b/>
          <w:sz w:val="28"/>
          <w:szCs w:val="28"/>
        </w:rPr>
      </w:pPr>
    </w:p>
    <w:p w14:paraId="3490F90C" w14:textId="2E987F7A" w:rsidR="00BC68B8" w:rsidRPr="00C928B6" w:rsidRDefault="00BC68B8" w:rsidP="005201C9">
      <w:pPr>
        <w:pStyle w:val="NoSpacing"/>
        <w:spacing w:line="276" w:lineRule="auto"/>
        <w:jc w:val="both"/>
        <w:rPr>
          <w:rFonts w:ascii="Arial" w:hAnsi="Arial" w:cs="Arial"/>
        </w:rPr>
      </w:pPr>
      <w:bookmarkStart w:id="1" w:name="_Hlk121257486"/>
      <w:r w:rsidRPr="00C928B6">
        <w:rPr>
          <w:rFonts w:ascii="Arial" w:hAnsi="Arial" w:cs="Arial"/>
        </w:rPr>
        <w:t xml:space="preserve">Courtney </w:t>
      </w:r>
      <w:r w:rsidR="00EB5F1B">
        <w:rPr>
          <w:rFonts w:ascii="Arial" w:hAnsi="Arial" w:cs="Arial"/>
        </w:rPr>
        <w:t xml:space="preserve">D </w:t>
      </w:r>
      <w:r w:rsidRPr="00C928B6">
        <w:rPr>
          <w:rFonts w:ascii="Arial" w:hAnsi="Arial" w:cs="Arial"/>
        </w:rPr>
        <w:t xml:space="preserve">DiNardo, Tushar D Bhagat, Natalia Baran, Alessia Lodi, Kapil Saxena, </w:t>
      </w:r>
      <w:proofErr w:type="spellStart"/>
      <w:r w:rsidRPr="00C928B6">
        <w:rPr>
          <w:rFonts w:ascii="Arial" w:hAnsi="Arial" w:cs="Arial"/>
        </w:rPr>
        <w:t>Tianyu</w:t>
      </w:r>
      <w:proofErr w:type="spellEnd"/>
      <w:r w:rsidRPr="00C928B6">
        <w:rPr>
          <w:rFonts w:ascii="Arial" w:hAnsi="Arial" w:cs="Arial"/>
        </w:rPr>
        <w:t xml:space="preserve"> </w:t>
      </w:r>
      <w:r w:rsidRPr="008379A1">
        <w:rPr>
          <w:rFonts w:ascii="Arial" w:hAnsi="Arial" w:cs="Arial"/>
        </w:rPr>
        <w:t>Cai</w:t>
      </w:r>
      <w:r>
        <w:rPr>
          <w:rFonts w:ascii="Arial" w:hAnsi="Arial" w:cs="Arial"/>
        </w:rPr>
        <w:t xml:space="preserve">, </w:t>
      </w:r>
      <w:r w:rsidRPr="00C928B6">
        <w:rPr>
          <w:rFonts w:ascii="Arial" w:hAnsi="Arial" w:cs="Arial"/>
        </w:rPr>
        <w:t xml:space="preserve">Xiaoping Su, Anna Skwarska, </w:t>
      </w:r>
      <w:r w:rsidRPr="008379A1">
        <w:rPr>
          <w:rFonts w:ascii="Arial" w:hAnsi="Arial" w:cs="Arial"/>
        </w:rPr>
        <w:t>Veronica</w:t>
      </w:r>
      <w:r w:rsidRPr="00C928B6">
        <w:rPr>
          <w:rFonts w:ascii="Arial" w:hAnsi="Arial" w:cs="Arial"/>
        </w:rPr>
        <w:t xml:space="preserve"> A Guerra, </w:t>
      </w:r>
      <w:hyperlink r:id="rId6" w:history="1">
        <w:r w:rsidRPr="00C928B6">
          <w:rPr>
            <w:rFonts w:ascii="Arial" w:hAnsi="Arial" w:cs="Arial"/>
          </w:rPr>
          <w:t>Vinitha M Kuruvilla</w:t>
        </w:r>
      </w:hyperlink>
      <w:r w:rsidRPr="00C928B6">
        <w:rPr>
          <w:rFonts w:ascii="Arial" w:hAnsi="Arial" w:cs="Arial"/>
        </w:rPr>
        <w:t xml:space="preserve">,  </w:t>
      </w:r>
      <w:proofErr w:type="spellStart"/>
      <w:r w:rsidRPr="00C928B6">
        <w:rPr>
          <w:rFonts w:ascii="Arial" w:hAnsi="Arial" w:cs="Arial"/>
        </w:rPr>
        <w:t>Sergej</w:t>
      </w:r>
      <w:proofErr w:type="spellEnd"/>
      <w:r w:rsidRPr="00C928B6">
        <w:rPr>
          <w:rFonts w:ascii="Arial" w:hAnsi="Arial" w:cs="Arial"/>
        </w:rPr>
        <w:t xml:space="preserve"> </w:t>
      </w:r>
      <w:proofErr w:type="spellStart"/>
      <w:r w:rsidRPr="00C928B6">
        <w:rPr>
          <w:rFonts w:ascii="Arial" w:hAnsi="Arial" w:cs="Arial"/>
        </w:rPr>
        <w:t>Konoplev</w:t>
      </w:r>
      <w:proofErr w:type="spellEnd"/>
      <w:r w:rsidRPr="00C928B6">
        <w:rPr>
          <w:rFonts w:ascii="Arial" w:hAnsi="Arial" w:cs="Arial"/>
        </w:rPr>
        <w:t xml:space="preserve">, Shanisha Gordon-Mitchell, Kith Pradhan, Srinivas Aluri, Meghan Collins, Shannon R Sweeney, Jonathan Busquets, Atul Singh Rathore, Qing Deng, Michael </w:t>
      </w:r>
      <w:r w:rsidR="00EF362A">
        <w:rPr>
          <w:rFonts w:ascii="Arial" w:hAnsi="Arial" w:cs="Arial"/>
        </w:rPr>
        <w:t xml:space="preserve">R </w:t>
      </w:r>
      <w:r w:rsidRPr="00C928B6">
        <w:rPr>
          <w:rFonts w:ascii="Arial" w:hAnsi="Arial" w:cs="Arial"/>
        </w:rPr>
        <w:t xml:space="preserve">Green, Steven Grant, Susan Demo, </w:t>
      </w:r>
      <w:r w:rsidRPr="00C413B1">
        <w:rPr>
          <w:rFonts w:ascii="Arial" w:hAnsi="Arial" w:cs="Arial"/>
        </w:rPr>
        <w:t>Gaurav S Choudhary</w:t>
      </w:r>
      <w:r w:rsidRPr="00C928B6">
        <w:rPr>
          <w:rFonts w:ascii="Arial" w:hAnsi="Arial" w:cs="Arial"/>
        </w:rPr>
        <w:t xml:space="preserve">, </w:t>
      </w:r>
      <w:proofErr w:type="spellStart"/>
      <w:r w:rsidRPr="00C928B6">
        <w:rPr>
          <w:rFonts w:ascii="Arial" w:hAnsi="Arial" w:cs="Arial"/>
        </w:rPr>
        <w:t>Srabani</w:t>
      </w:r>
      <w:proofErr w:type="spellEnd"/>
      <w:r w:rsidRPr="00C928B6">
        <w:rPr>
          <w:rFonts w:ascii="Arial" w:hAnsi="Arial" w:cs="Arial"/>
        </w:rPr>
        <w:t xml:space="preserve"> </w:t>
      </w:r>
      <w:proofErr w:type="spellStart"/>
      <w:r w:rsidRPr="00C928B6">
        <w:rPr>
          <w:rFonts w:ascii="Arial" w:hAnsi="Arial" w:cs="Arial"/>
        </w:rPr>
        <w:t>Sahu</w:t>
      </w:r>
      <w:proofErr w:type="spellEnd"/>
      <w:r w:rsidRPr="00C928B6">
        <w:rPr>
          <w:rFonts w:ascii="Arial" w:hAnsi="Arial" w:cs="Arial"/>
        </w:rPr>
        <w:t xml:space="preserve">, </w:t>
      </w:r>
      <w:r w:rsidR="00EF362A">
        <w:rPr>
          <w:rFonts w:ascii="Arial" w:hAnsi="Arial" w:cs="Arial"/>
        </w:rPr>
        <w:t>Beamon Agarwal,</w:t>
      </w:r>
      <w:r w:rsidR="00EF362A" w:rsidRPr="00C928B6">
        <w:rPr>
          <w:rFonts w:ascii="Arial" w:hAnsi="Arial" w:cs="Arial"/>
        </w:rPr>
        <w:t xml:space="preserve"> </w:t>
      </w:r>
      <w:r w:rsidRPr="00C928B6">
        <w:rPr>
          <w:rFonts w:ascii="Arial" w:hAnsi="Arial" w:cs="Arial"/>
        </w:rPr>
        <w:t xml:space="preserve">Mason Spodek, </w:t>
      </w:r>
      <w:r w:rsidRPr="002B2750">
        <w:t xml:space="preserve"> </w:t>
      </w:r>
      <w:r w:rsidRPr="002B2750">
        <w:rPr>
          <w:rFonts w:ascii="Arial" w:hAnsi="Arial" w:cs="Arial"/>
        </w:rPr>
        <w:t>Victor Thiruthuvanathan</w:t>
      </w:r>
      <w:r w:rsidRPr="00C928B6">
        <w:rPr>
          <w:rFonts w:ascii="Arial" w:hAnsi="Arial" w:cs="Arial"/>
        </w:rPr>
        <w:t xml:space="preserve">, Britta Will, Ulrich Steidl, </w:t>
      </w:r>
      <w:r w:rsidRPr="00C413B1">
        <w:rPr>
          <w:rFonts w:ascii="Arial" w:hAnsi="Arial" w:cs="Arial"/>
        </w:rPr>
        <w:t xml:space="preserve">George D </w:t>
      </w:r>
      <w:proofErr w:type="spellStart"/>
      <w:r w:rsidRPr="00C413B1">
        <w:rPr>
          <w:rFonts w:ascii="Arial" w:hAnsi="Arial" w:cs="Arial"/>
        </w:rPr>
        <w:t>Tippett</w:t>
      </w:r>
      <w:proofErr w:type="spellEnd"/>
      <w:r>
        <w:rPr>
          <w:rFonts w:ascii="Arial" w:hAnsi="Arial" w:cs="Arial"/>
        </w:rPr>
        <w:t>,</w:t>
      </w:r>
      <w:r w:rsidRPr="00FF050B">
        <w:rPr>
          <w:rFonts w:ascii="Arial" w:hAnsi="Arial" w:cs="Arial"/>
        </w:rPr>
        <w:t xml:space="preserve"> </w:t>
      </w:r>
      <w:r w:rsidRPr="00C928B6">
        <w:rPr>
          <w:rFonts w:ascii="Arial" w:hAnsi="Arial" w:cs="Arial"/>
        </w:rPr>
        <w:t xml:space="preserve">Jan Burger, Gautam </w:t>
      </w:r>
      <w:proofErr w:type="spellStart"/>
      <w:r w:rsidRPr="00C928B6">
        <w:rPr>
          <w:rFonts w:ascii="Arial" w:hAnsi="Arial" w:cs="Arial"/>
        </w:rPr>
        <w:t>Borthakur</w:t>
      </w:r>
      <w:proofErr w:type="spellEnd"/>
      <w:r w:rsidRPr="00C928B6">
        <w:rPr>
          <w:rFonts w:ascii="Arial" w:hAnsi="Arial" w:cs="Arial"/>
        </w:rPr>
        <w:t xml:space="preserve">, Elias </w:t>
      </w:r>
      <w:proofErr w:type="spellStart"/>
      <w:r w:rsidRPr="00C928B6">
        <w:rPr>
          <w:rFonts w:ascii="Arial" w:hAnsi="Arial" w:cs="Arial"/>
        </w:rPr>
        <w:t>Jabbour</w:t>
      </w:r>
      <w:proofErr w:type="spellEnd"/>
      <w:r w:rsidRPr="00C928B6">
        <w:rPr>
          <w:rFonts w:ascii="Arial" w:hAnsi="Arial" w:cs="Arial"/>
        </w:rPr>
        <w:t xml:space="preserve">, Naveen Pemmaraju, </w:t>
      </w:r>
      <w:proofErr w:type="spellStart"/>
      <w:r w:rsidRPr="00C928B6">
        <w:rPr>
          <w:rFonts w:ascii="Arial" w:hAnsi="Arial" w:cs="Arial"/>
        </w:rPr>
        <w:t>Tapan</w:t>
      </w:r>
      <w:proofErr w:type="spellEnd"/>
      <w:r w:rsidRPr="00C928B6">
        <w:rPr>
          <w:rFonts w:ascii="Arial" w:hAnsi="Arial" w:cs="Arial"/>
        </w:rPr>
        <w:t xml:space="preserve"> </w:t>
      </w:r>
      <w:proofErr w:type="spellStart"/>
      <w:r w:rsidRPr="00C928B6">
        <w:rPr>
          <w:rFonts w:ascii="Arial" w:hAnsi="Arial" w:cs="Arial"/>
        </w:rPr>
        <w:t>Kadia</w:t>
      </w:r>
      <w:proofErr w:type="spellEnd"/>
      <w:r w:rsidRPr="00C928B6">
        <w:rPr>
          <w:rFonts w:ascii="Arial" w:hAnsi="Arial" w:cs="Arial"/>
        </w:rPr>
        <w:t xml:space="preserve">, </w:t>
      </w:r>
      <w:hyperlink r:id="rId7" w:history="1">
        <w:r w:rsidRPr="00C928B6">
          <w:rPr>
            <w:rFonts w:ascii="Arial" w:hAnsi="Arial" w:cs="Arial"/>
          </w:rPr>
          <w:t xml:space="preserve">Steven </w:t>
        </w:r>
        <w:proofErr w:type="spellStart"/>
        <w:r w:rsidRPr="00C928B6">
          <w:rPr>
            <w:rFonts w:ascii="Arial" w:hAnsi="Arial" w:cs="Arial"/>
          </w:rPr>
          <w:t>Kornblau</w:t>
        </w:r>
        <w:proofErr w:type="spellEnd"/>
      </w:hyperlink>
      <w:r w:rsidRPr="00C928B6">
        <w:rPr>
          <w:rFonts w:ascii="Arial" w:hAnsi="Arial" w:cs="Arial"/>
        </w:rPr>
        <w:t>, </w:t>
      </w:r>
      <w:hyperlink r:id="rId8" w:history="1">
        <w:r w:rsidRPr="00C928B6">
          <w:rPr>
            <w:rFonts w:ascii="Arial" w:hAnsi="Arial" w:cs="Arial"/>
          </w:rPr>
          <w:t xml:space="preserve">Naval G </w:t>
        </w:r>
        <w:proofErr w:type="spellStart"/>
        <w:r w:rsidRPr="00C928B6">
          <w:rPr>
            <w:rFonts w:ascii="Arial" w:hAnsi="Arial" w:cs="Arial"/>
          </w:rPr>
          <w:t>Daver</w:t>
        </w:r>
        <w:proofErr w:type="spellEnd"/>
      </w:hyperlink>
      <w:r w:rsidRPr="00C928B6">
        <w:rPr>
          <w:rFonts w:ascii="Arial" w:hAnsi="Arial" w:cs="Arial"/>
        </w:rPr>
        <w:t>, </w:t>
      </w:r>
      <w:hyperlink r:id="rId9" w:history="1">
        <w:r w:rsidRPr="00C928B6">
          <w:rPr>
            <w:rFonts w:ascii="Arial" w:hAnsi="Arial" w:cs="Arial"/>
          </w:rPr>
          <w:t>Kiran Naqvi</w:t>
        </w:r>
      </w:hyperlink>
      <w:r w:rsidRPr="00C928B6">
        <w:rPr>
          <w:rFonts w:ascii="Arial" w:hAnsi="Arial" w:cs="Arial"/>
        </w:rPr>
        <w:t>, </w:t>
      </w:r>
      <w:hyperlink r:id="rId10" w:history="1">
        <w:r w:rsidRPr="00C928B6">
          <w:rPr>
            <w:rFonts w:ascii="Arial" w:hAnsi="Arial" w:cs="Arial"/>
          </w:rPr>
          <w:t xml:space="preserve">Nicholas </w:t>
        </w:r>
        <w:r w:rsidR="008646E6">
          <w:rPr>
            <w:rFonts w:ascii="Arial" w:hAnsi="Arial" w:cs="Arial"/>
          </w:rPr>
          <w:t xml:space="preserve">J </w:t>
        </w:r>
        <w:r w:rsidRPr="00C928B6">
          <w:rPr>
            <w:rFonts w:ascii="Arial" w:hAnsi="Arial" w:cs="Arial"/>
          </w:rPr>
          <w:t>Short</w:t>
        </w:r>
      </w:hyperlink>
      <w:r w:rsidRPr="00C928B6">
        <w:rPr>
          <w:rFonts w:ascii="Arial" w:hAnsi="Arial" w:cs="Arial"/>
        </w:rPr>
        <w:t>,  Guillermo Garcia-</w:t>
      </w:r>
      <w:proofErr w:type="spellStart"/>
      <w:r w:rsidRPr="00C928B6">
        <w:rPr>
          <w:rFonts w:ascii="Arial" w:hAnsi="Arial" w:cs="Arial"/>
        </w:rPr>
        <w:t>Manero</w:t>
      </w:r>
      <w:proofErr w:type="spellEnd"/>
      <w:r w:rsidRPr="00C928B6">
        <w:rPr>
          <w:rFonts w:ascii="Arial" w:hAnsi="Arial" w:cs="Arial"/>
        </w:rPr>
        <w:t>, Stefano Tiziani, Amit Verma, Marina Konopleva</w:t>
      </w:r>
    </w:p>
    <w:bookmarkEnd w:id="0"/>
    <w:bookmarkEnd w:id="1"/>
    <w:p w14:paraId="7F00F9B6" w14:textId="77BA4A46" w:rsidR="00B0211C" w:rsidRDefault="00B0211C"/>
    <w:p w14:paraId="56F277B1" w14:textId="77777777" w:rsidR="00D11857" w:rsidRDefault="00D11857" w:rsidP="00D11857">
      <w:pPr>
        <w:pStyle w:val="NoSpacing"/>
        <w:spacing w:line="276" w:lineRule="auto"/>
        <w:jc w:val="both"/>
        <w:rPr>
          <w:rFonts w:ascii="Arial" w:hAnsi="Arial" w:cs="Arial"/>
          <w:b/>
        </w:rPr>
      </w:pPr>
      <w:r w:rsidRPr="00D11857">
        <w:rPr>
          <w:rFonts w:ascii="Arial" w:hAnsi="Arial" w:cs="Arial"/>
          <w:b/>
        </w:rPr>
        <w:t>Supplementary Methods:</w:t>
      </w:r>
    </w:p>
    <w:p w14:paraId="65196383" w14:textId="2B5F2A69" w:rsidR="00D11857" w:rsidRPr="002A3985" w:rsidRDefault="00D11857" w:rsidP="00D11857">
      <w:pPr>
        <w:pStyle w:val="NoSpacing"/>
        <w:spacing w:line="276" w:lineRule="auto"/>
        <w:jc w:val="both"/>
        <w:rPr>
          <w:rFonts w:ascii="Arial" w:hAnsi="Arial" w:cs="Arial"/>
          <w:b/>
          <w:bCs/>
        </w:rPr>
      </w:pPr>
      <w:r w:rsidRPr="002A3985">
        <w:rPr>
          <w:rFonts w:ascii="Arial" w:hAnsi="Arial" w:cs="Arial"/>
          <w:b/>
          <w:bCs/>
        </w:rPr>
        <w:t>AML Cell lines</w:t>
      </w:r>
      <w:r w:rsidR="006E781D">
        <w:rPr>
          <w:rFonts w:ascii="Arial" w:hAnsi="Arial" w:cs="Arial"/>
          <w:b/>
          <w:bCs/>
        </w:rPr>
        <w:t xml:space="preserve">, </w:t>
      </w:r>
      <w:r w:rsidRPr="002A3985">
        <w:rPr>
          <w:rFonts w:ascii="Arial" w:hAnsi="Arial" w:cs="Arial"/>
          <w:b/>
          <w:bCs/>
        </w:rPr>
        <w:t xml:space="preserve">GLS knockout </w:t>
      </w:r>
      <w:r w:rsidR="006E781D">
        <w:rPr>
          <w:rFonts w:ascii="Arial" w:hAnsi="Arial" w:cs="Arial"/>
          <w:b/>
          <w:bCs/>
        </w:rPr>
        <w:t xml:space="preserve">and </w:t>
      </w:r>
      <w:r w:rsidR="006E781D" w:rsidRPr="006E781D">
        <w:rPr>
          <w:rFonts w:ascii="Arial" w:hAnsi="Arial" w:cs="Arial"/>
          <w:b/>
          <w:bCs/>
        </w:rPr>
        <w:t>Slc38a1</w:t>
      </w:r>
      <w:r w:rsidR="006E781D">
        <w:rPr>
          <w:rFonts w:ascii="Arial" w:hAnsi="Arial" w:cs="Arial"/>
          <w:b/>
          <w:bCs/>
        </w:rPr>
        <w:t xml:space="preserve"> knockdown </w:t>
      </w:r>
      <w:r w:rsidRPr="002A3985">
        <w:rPr>
          <w:rFonts w:ascii="Arial" w:hAnsi="Arial" w:cs="Arial"/>
          <w:b/>
          <w:bCs/>
        </w:rPr>
        <w:t>studies</w:t>
      </w:r>
    </w:p>
    <w:p w14:paraId="1A0B7654" w14:textId="77777777" w:rsidR="00D11857" w:rsidRPr="002A3985" w:rsidRDefault="00D11857" w:rsidP="00D11857">
      <w:pPr>
        <w:pStyle w:val="NoSpacing"/>
        <w:spacing w:line="276" w:lineRule="auto"/>
        <w:jc w:val="both"/>
        <w:rPr>
          <w:rFonts w:ascii="Arial" w:hAnsi="Arial" w:cs="Arial"/>
        </w:rPr>
      </w:pPr>
      <w:r w:rsidRPr="002A3985">
        <w:rPr>
          <w:rFonts w:ascii="Arial" w:hAnsi="Arial" w:cs="Arial"/>
        </w:rPr>
        <w:t xml:space="preserve">HL-60 and OCI-AML3 cells lines were purchased from DSMZ (German Collection of Microorganisms and Cell Cultures). MV4-11 cell lines were purchased from ATCC. The cell lines were grown in suspension in RPMI medium supplemented with 10% fetal bovine serum, 10 IU/mL penicillin, and 10 </w:t>
      </w:r>
      <w:proofErr w:type="spellStart"/>
      <w:r w:rsidRPr="002A3985">
        <w:rPr>
          <w:rFonts w:ascii="Arial" w:hAnsi="Arial" w:cs="Arial"/>
        </w:rPr>
        <w:t>μg</w:t>
      </w:r>
      <w:proofErr w:type="spellEnd"/>
      <w:r w:rsidRPr="002A3985">
        <w:rPr>
          <w:rFonts w:ascii="Arial" w:hAnsi="Arial" w:cs="Arial"/>
        </w:rPr>
        <w:t>/mL streptomycin. All cell lines were tested and authenticated by The University of Texas MD Anderson Cancer Center Cell Line Validation Core Facility, through the short tandem repeat method.</w:t>
      </w:r>
    </w:p>
    <w:p w14:paraId="44C730E8" w14:textId="33632A02" w:rsidR="00D11857" w:rsidRPr="002A3985" w:rsidRDefault="00D11857" w:rsidP="005A57D1">
      <w:pPr>
        <w:pStyle w:val="NoSpacing"/>
        <w:spacing w:line="276" w:lineRule="auto"/>
        <w:jc w:val="both"/>
        <w:rPr>
          <w:rFonts w:ascii="Arial" w:hAnsi="Arial" w:cs="Arial"/>
        </w:rPr>
      </w:pPr>
      <w:r w:rsidRPr="002A3985">
        <w:rPr>
          <w:rFonts w:ascii="Arial" w:hAnsi="Arial" w:cs="Arial"/>
        </w:rPr>
        <w:t xml:space="preserve">The HL-60, MV4-11 and OCI-AML3 cells were stably transfected with </w:t>
      </w:r>
      <w:proofErr w:type="spellStart"/>
      <w:r w:rsidRPr="002A3985">
        <w:rPr>
          <w:rFonts w:ascii="Arial" w:hAnsi="Arial" w:cs="Arial"/>
        </w:rPr>
        <w:t>pHUSH</w:t>
      </w:r>
      <w:proofErr w:type="spellEnd"/>
      <w:r w:rsidRPr="002A3985">
        <w:rPr>
          <w:rFonts w:ascii="Arial" w:hAnsi="Arial" w:cs="Arial"/>
        </w:rPr>
        <w:t xml:space="preserve"> luciferase (control), </w:t>
      </w:r>
      <w:proofErr w:type="spellStart"/>
      <w:r w:rsidRPr="002A3985">
        <w:rPr>
          <w:rFonts w:ascii="Arial" w:hAnsi="Arial" w:cs="Arial"/>
        </w:rPr>
        <w:t>pHUSH</w:t>
      </w:r>
      <w:proofErr w:type="spellEnd"/>
      <w:r w:rsidRPr="002A3985">
        <w:rPr>
          <w:rFonts w:ascii="Arial" w:hAnsi="Arial" w:cs="Arial"/>
        </w:rPr>
        <w:t xml:space="preserve"> puro-KGA (KGA knockdown), </w:t>
      </w:r>
      <w:proofErr w:type="spellStart"/>
      <w:r w:rsidRPr="002A3985">
        <w:rPr>
          <w:rFonts w:ascii="Arial" w:hAnsi="Arial" w:cs="Arial"/>
        </w:rPr>
        <w:t>pHUSH</w:t>
      </w:r>
      <w:proofErr w:type="spellEnd"/>
      <w:r w:rsidRPr="002A3985">
        <w:rPr>
          <w:rFonts w:ascii="Arial" w:hAnsi="Arial" w:cs="Arial"/>
        </w:rPr>
        <w:t xml:space="preserve"> puro-GAC (GAC knockdown), or </w:t>
      </w:r>
      <w:proofErr w:type="spellStart"/>
      <w:r w:rsidRPr="002A3985">
        <w:rPr>
          <w:rFonts w:ascii="Arial" w:hAnsi="Arial" w:cs="Arial"/>
        </w:rPr>
        <w:t>pHUSH</w:t>
      </w:r>
      <w:proofErr w:type="spellEnd"/>
      <w:r w:rsidRPr="002A3985">
        <w:rPr>
          <w:rFonts w:ascii="Arial" w:hAnsi="Arial" w:cs="Arial"/>
        </w:rPr>
        <w:t xml:space="preserve"> puro-D3 (KGA and GAC knockdown). All shRNA vectors </w:t>
      </w:r>
      <w:r w:rsidR="006E781D">
        <w:rPr>
          <w:rFonts w:ascii="Arial" w:hAnsi="Arial" w:cs="Arial"/>
        </w:rPr>
        <w:t>for GLS knockout studies</w:t>
      </w:r>
      <w:r w:rsidRPr="002A3985">
        <w:rPr>
          <w:rFonts w:ascii="Arial" w:hAnsi="Arial" w:cs="Arial"/>
        </w:rPr>
        <w:t xml:space="preserve"> were obtained from the </w:t>
      </w:r>
      <w:r w:rsidR="000459F5">
        <w:rPr>
          <w:rFonts w:ascii="Arial" w:hAnsi="Arial" w:cs="Arial"/>
        </w:rPr>
        <w:t xml:space="preserve">Georgia </w:t>
      </w:r>
      <w:proofErr w:type="spellStart"/>
      <w:r w:rsidRPr="002A3985">
        <w:rPr>
          <w:rFonts w:ascii="Arial" w:hAnsi="Arial" w:cs="Arial"/>
        </w:rPr>
        <w:t>Hatzivassiliou</w:t>
      </w:r>
      <w:proofErr w:type="spellEnd"/>
      <w:r w:rsidRPr="002A3985">
        <w:rPr>
          <w:rFonts w:ascii="Arial" w:hAnsi="Arial" w:cs="Arial"/>
        </w:rPr>
        <w:t xml:space="preserve"> laboratory</w:t>
      </w:r>
      <w:r w:rsidR="000459F5">
        <w:rPr>
          <w:rFonts w:ascii="Arial" w:hAnsi="Arial" w:cs="Arial"/>
        </w:rPr>
        <w:t xml:space="preserve"> (Genentech) </w:t>
      </w:r>
      <w:bookmarkStart w:id="2" w:name="_Hlk124620579"/>
      <w:r w:rsidRPr="00C928B6">
        <w:rPr>
          <w:rFonts w:ascii="Arial" w:hAnsi="Arial" w:cs="Arial"/>
        </w:rPr>
        <w:fldChar w:fldCharType="begin">
          <w:fldData xml:space="preserve">PEVuZE5vdGU+PENpdGU+PEF1dGhvcj5EYWVtZW48L0F1dGhvcj48WWVhcj4yMDE4PC9ZZWFyPjxS
ZWNOdW0+MjA8L1JlY051bT48RGlzcGxheVRleHQ+KDEpPC9EaXNwbGF5VGV4dD48cmVjb3JkPjxy
ZWMtbnVtYmVyPjIwPC9yZWMtbnVtYmVyPjxmb3JlaWduLWtleXM+PGtleSBhcHA9IkVOIiBkYi1p
ZD0iNXZyOWFleHdieDl6czRldHM5N3BhMHBrMmVzZnd2cHh6cmVhIiB0aW1lc3RhbXA9IjE2Njk4
NTU0ODUiPjIwPC9rZXk+PC9mb3JlaWduLWtleXM+PHJlZi10eXBlIG5hbWU9IkpvdXJuYWwgQXJ0
aWNsZSI+MTc8L3JlZi10eXBlPjxjb250cmlidXRvcnM+PGF1dGhvcnM+PGF1dGhvcj5EYWVtZW4s
IEEuPC9hdXRob3I+PGF1dGhvcj5MaXUsIEIuPC9hdXRob3I+PGF1dGhvcj5Tb25nLCBLLjwvYXV0
aG9yPjxhdXRob3I+S3dvbmcsIE0uPC9hdXRob3I+PGF1dGhvcj5HYW8sIE0uPC9hdXRob3I+PGF1
dGhvcj5Ib25nLCBSLjwvYXV0aG9yPjxhdXRob3I+TmFubmluaSwgTS48L2F1dGhvcj48YXV0aG9y
PlBldGVyc29uLCBELjwvYXV0aG9yPjxhdXRob3I+TGllZGVyZXIsIEIuIE0uPC9hdXRob3I+PGF1
dGhvcj5kZSBsYSBDcnV6LCBDLjwvYXV0aG9yPjxhdXRob3I+U2FuZ2FyYWp1LCBELjwvYXV0aG9y
PjxhdXRob3I+SmFvY2hpY28sIEEuPC9hdXRob3I+PGF1dGhvcj5aaGFvLCBYLjwvYXV0aG9yPjxh
dXRob3I+U2FuZG92YWwsIFcuPC9hdXRob3I+PGF1dGhvcj5IdW5zYWtlciwgVC48L2F1dGhvcj48
YXV0aG9yPkZpcmVzdGVpbiwgUi48L2F1dGhvcj48YXV0aG9yPkxhdGhhbSwgUy48L2F1dGhvcj48
YXV0aG9yPlNhbXBhdGgsIEQuPC9hdXRob3I+PGF1dGhvcj5FdmFuZ2VsaXN0YSwgTS48L2F1dGhv
cj48YXV0aG9yPkhhdHppdmFzc2lsaW91LCBHLjwvYXV0aG9yPjwvYXV0aG9ycz48L2NvbnRyaWJ1
dG9ycz48YXV0aC1hZGRyZXNzPkJpb2luZm9ybWF0aWNzIGFuZCBDb21wdXRhdGlvbmFsIEJpb2xv
Z3ksIEdlbmVudGVjaCwgU291dGggU2FuIEZyYW5jaXNjbywgQ0EgOTQwODAsIFVTQS4gRWxlY3Ry
b25pYyBhZGRyZXNzOiBkYWVtZW4uYW5uZWxlZW5AZ2VuZS5jb20uJiN4RDtUcmFuc2xhdGlvbmFs
IE9uY29sb2d5LCBHZW5lbnRlY2gsIFNvdXRoIFNhbiBGcmFuY2lzY28sIENBIDk0MDgwLCBVU0Eu
JiN4RDtEaXNjb3ZlcnkgT25jb2xvZ3ksIEdlbmVudGVjaCwgU291dGggU2FuIEZyYW5jaXNjbywg
Q0EgOTQwODAsIFVTQS4mI3hEO0RydWcgTWV0YWJvbGlzbSBhbmQgUGhhcm1hY29raW5ldGljcywg
R2VuZW50ZWNoLCBTb3V0aCBTYW4gRnJhbmNpc2NvLCBDQSA5NDA4MCwgVVNBLiYjeEQ7TWljcm9j
aGVtaXN0cnksIFByb3Rlb21pY3MgYW5kIExpcGlkb21pY3MsIEdlbmVudGVjaCwgU291dGggU2Fu
IEZyYW5jaXNjbywgQ0EgOTQwODAsIFVTQS4mI3hEO1BhdGhvbG9neSwgR2VuZW50ZWNoLCBTb3V0
aCBTYW4gRnJhbmNpc2NvLCBDQSA5NDA4MCwgVVNBLiYjeEQ7VHJhbnNsYXRpb25hbCBPbmNvbG9n
eSwgR2VuZW50ZWNoLCBTb3V0aCBTYW4gRnJhbmNpc2NvLCBDQSA5NDA4MCwgVVNBLiBFbGVjdHJv
bmljIGFkZHJlc3M6IGhhdHppdmFzc2lsaW91Lmdlb3JnaWFAZ2VuZS5jb20uPC9hdXRoLWFkZHJl
c3M+PHRpdGxlcz48dGl0bGU+UGFuLUNhbmNlciBNZXRhYm9saWMgU2lnbmF0dXJlIFByZWRpY3Rz
IENvLURlcGVuZGVuY3kgb24gR2x1dGFtaW5hc2UgYW5kIERlIE5vdm8gR2x1dGF0aGlvbmUgU3lu
dGhlc2lzIExpbmtlZCB0byBhIEhpZ2gtTWVzZW5jaHltYWwgQ2VsbCBTdGF0ZTwvdGl0bGU+PHNl
Y29uZGFyeS10aXRsZT5DZWxsIE1ldGFiPC9zZWNvbmRhcnktdGl0bGU+PC90aXRsZXM+PHBlcmlv
ZGljYWw+PGZ1bGwtdGl0bGU+Q2VsbCBNZXRhYjwvZnVsbC10aXRsZT48L3BlcmlvZGljYWw+PHBh
Z2VzPjM4My0zOTkgZTk8L3BhZ2VzPjx2b2x1bWU+Mjg8L3ZvbHVtZT48bnVtYmVyPjM8L251bWJl
cj48ZWRpdGlvbj4yMDE4LzA3LzI2PC9lZGl0aW9uPjxrZXl3b3Jkcz48a2V5d29yZD5BbmltYWxz
PC9rZXl3b3JkPjxrZXl3b3JkPkJpb21hcmtlcnMsIFR1bW9yL21ldGFib2xpc208L2tleXdvcmQ+
PGtleXdvcmQ+KkJyZWFzdCBOZW9wbGFzbXMvZHJ1ZyB0aGVyYXB5L21ldGFib2xpc208L2tleXdv
cmQ+PGtleXdvcmQ+Q2VsbCBMaW5lLCBUdW1vcjwva2V5d29yZD48a2V5d29yZD5DaXRyaWMgQWNp
ZC9tZXRhYm9saXNtPC9rZXl3b3JkPjxrZXl3b3JkPkRhdGFiYXNlcywgR2VuZXRpYzwva2V5d29y
ZD48a2V5d29yZD5GZW1hbGU8L2tleXdvcmQ+PGtleXdvcmQ+KkdsdXRhbWF0ZS1DeXN0ZWluZSBM
aWdhc2UvYW50YWdvbmlzdHMgJmFtcDsgaW5oaWJpdG9ycy9tZXRhYm9saXNtPC9rZXl3b3JkPjxr
ZXl3b3JkPipHbHV0YW1pbmFzZS9hbnRhZ29uaXN0cyAmYW1wOyBpbmhpYml0b3JzL21ldGFib2xp
c208L2tleXdvcmQ+PGtleXdvcmQ+R2x1dGF0aGlvbmUvbWV0YWJvbGlzbTwva2V5d29yZD48a2V5
d29yZD5IRUsyOTMgQ2VsbHM8L2tleXdvcmQ+PGtleXdvcmQ+SHVtYW5zPC9rZXl3b3JkPjxrZXl3
b3JkPklzb2VuenltZXMvbWV0YWJvbGlzbTwva2V5d29yZD48a2V5d29yZD4qTHVuZyBOZW9wbGFz
bXMvZHJ1ZyB0aGVyYXB5L21ldGFib2xpc208L2tleXdvcmQ+PGtleXdvcmQ+Kk1lc2VuY2h5bWFs
IFN0ZW0gQ2VsbHMvZHJ1ZyBlZmZlY3RzL3BhdGhvbG9neTwva2V5d29yZD48a2V5d29yZD4qTWV0
YWJvbG9tZTwva2V5d29yZD48a2V5d29yZD5NaWNlPC9rZXl3b3JkPjxrZXl3b3JkPk1pY2UsIElu
YnJlZCBCQUxCIEM8L2tleXdvcmQ+PGtleXdvcmQ+TWljZSwgTnVkZTwva2V5d29yZD48a2V5d29y
ZD5NaWNlLCBTQ0lEPC9rZXl3b3JkPjxrZXl3b3JkPlR1bW9yIFN0ZW0gQ2VsbCBBc3NheTwva2V5
d29yZD48a2V5d29yZD5YZW5vZ3JhZnQgTW9kZWwgQW50aXR1bW9yIEFzc2F5czwva2V5d29yZD48
a2V5d29yZD4qZ2xzMTwva2V5d29yZD48a2V5d29yZD4qYnJlYXN0IGNhbmNlcjwva2V5d29yZD48
a2V5d29yZD4qZ2x1dGFtaW5hc2UgZGVwZW5kZW5jZTwva2V5d29yZD48a2V5d29yZD4qZ2x1dGF0
aGlvbmUgc3ludGhlc2lzPC9rZXl3b3JkPjxrZXl3b3JkPipsdW5nIGNhbmNlcjwva2V5d29yZD48
a2V5d29yZD4qbWVzZW5jaHltYWwgc3RhdGU8L2tleXdvcmQ+PGtleXdvcmQ+KnBoYXJtYWNvZHlu
YW1pYyBiaW9tYXJrZXJzPC9rZXl3b3JkPjxrZXl3b3JkPipwcmVkaWN0aXZlIGdlbmUgZXhwcmVz
c2lvbiBzaWduYXR1cmU8L2tleXdvcmQ+PGtleXdvcmQ+KnJlZG94IHN0cmVzczwva2V5d29yZD48
a2V5d29yZD4qdHVtb3IgbWV0YWJvbGlzbTwva2V5d29yZD48L2tleXdvcmRzPjxkYXRlcz48eWVh
cj4yMDE4PC95ZWFyPjxwdWItZGF0ZXM+PGRhdGU+U2VwIDQ8L2RhdGU+PC9wdWItZGF0ZXM+PC9k
YXRlcz48aXNibj4xOTMyLTc0MjAgKEVsZWN0cm9uaWMpJiN4RDsxNTUwLTQxMzEgKExpbmtpbmcp
PC9pc2JuPjxhY2Nlc3Npb24tbnVtPjMwMDQzNzUxPC9hY2Nlc3Npb24tbnVtPjx1cmxzPjxyZWxh
dGVkLXVybHM+PHVybD5odHRwczovL3d3dy5uY2JpLm5sbS5uaWguZ292L3B1Ym1lZC8zMDA0Mzc1
MTwvdXJsPjwvcmVsYXRlZC11cmxzPjwvdXJscz48ZWxlY3Ryb25pYy1yZXNvdXJjZS1udW0+MTAu
MTAxNi9qLmNtZXQuMjAxOC4wNi4wMDM8L2VsZWN0cm9uaWMtcmVzb3VyY2UtbnVtPjwvcmVjb3Jk
PjwvQ2l0ZT48L0VuZE5vdGU+
</w:fldData>
        </w:fldChar>
      </w:r>
      <w:r w:rsidR="004F17A3">
        <w:rPr>
          <w:rFonts w:ascii="Arial" w:hAnsi="Arial" w:cs="Arial"/>
        </w:rPr>
        <w:instrText xml:space="preserve"> ADDIN EN.CITE </w:instrText>
      </w:r>
      <w:r w:rsidR="004F17A3">
        <w:rPr>
          <w:rFonts w:ascii="Arial" w:hAnsi="Arial" w:cs="Arial"/>
        </w:rPr>
        <w:fldChar w:fldCharType="begin">
          <w:fldData xml:space="preserve">PEVuZE5vdGU+PENpdGU+PEF1dGhvcj5EYWVtZW48L0F1dGhvcj48WWVhcj4yMDE4PC9ZZWFyPjxS
ZWNOdW0+MjA8L1JlY051bT48RGlzcGxheVRleHQ+KDEpPC9EaXNwbGF5VGV4dD48cmVjb3JkPjxy
ZWMtbnVtYmVyPjIwPC9yZWMtbnVtYmVyPjxmb3JlaWduLWtleXM+PGtleSBhcHA9IkVOIiBkYi1p
ZD0iNXZyOWFleHdieDl6czRldHM5N3BhMHBrMmVzZnd2cHh6cmVhIiB0aW1lc3RhbXA9IjE2Njk4
NTU0ODUiPjIwPC9rZXk+PC9mb3JlaWduLWtleXM+PHJlZi10eXBlIG5hbWU9IkpvdXJuYWwgQXJ0
aWNsZSI+MTc8L3JlZi10eXBlPjxjb250cmlidXRvcnM+PGF1dGhvcnM+PGF1dGhvcj5EYWVtZW4s
IEEuPC9hdXRob3I+PGF1dGhvcj5MaXUsIEIuPC9hdXRob3I+PGF1dGhvcj5Tb25nLCBLLjwvYXV0
aG9yPjxhdXRob3I+S3dvbmcsIE0uPC9hdXRob3I+PGF1dGhvcj5HYW8sIE0uPC9hdXRob3I+PGF1
dGhvcj5Ib25nLCBSLjwvYXV0aG9yPjxhdXRob3I+TmFubmluaSwgTS48L2F1dGhvcj48YXV0aG9y
PlBldGVyc29uLCBELjwvYXV0aG9yPjxhdXRob3I+TGllZGVyZXIsIEIuIE0uPC9hdXRob3I+PGF1
dGhvcj5kZSBsYSBDcnV6LCBDLjwvYXV0aG9yPjxhdXRob3I+U2FuZ2FyYWp1LCBELjwvYXV0aG9y
PjxhdXRob3I+SmFvY2hpY28sIEEuPC9hdXRob3I+PGF1dGhvcj5aaGFvLCBYLjwvYXV0aG9yPjxh
dXRob3I+U2FuZG92YWwsIFcuPC9hdXRob3I+PGF1dGhvcj5IdW5zYWtlciwgVC48L2F1dGhvcj48
YXV0aG9yPkZpcmVzdGVpbiwgUi48L2F1dGhvcj48YXV0aG9yPkxhdGhhbSwgUy48L2F1dGhvcj48
YXV0aG9yPlNhbXBhdGgsIEQuPC9hdXRob3I+PGF1dGhvcj5FdmFuZ2VsaXN0YSwgTS48L2F1dGhv
cj48YXV0aG9yPkhhdHppdmFzc2lsaW91LCBHLjwvYXV0aG9yPjwvYXV0aG9ycz48L2NvbnRyaWJ1
dG9ycz48YXV0aC1hZGRyZXNzPkJpb2luZm9ybWF0aWNzIGFuZCBDb21wdXRhdGlvbmFsIEJpb2xv
Z3ksIEdlbmVudGVjaCwgU291dGggU2FuIEZyYW5jaXNjbywgQ0EgOTQwODAsIFVTQS4gRWxlY3Ry
b25pYyBhZGRyZXNzOiBkYWVtZW4uYW5uZWxlZW5AZ2VuZS5jb20uJiN4RDtUcmFuc2xhdGlvbmFs
IE9uY29sb2d5LCBHZW5lbnRlY2gsIFNvdXRoIFNhbiBGcmFuY2lzY28sIENBIDk0MDgwLCBVU0Eu
JiN4RDtEaXNjb3ZlcnkgT25jb2xvZ3ksIEdlbmVudGVjaCwgU291dGggU2FuIEZyYW5jaXNjbywg
Q0EgOTQwODAsIFVTQS4mI3hEO0RydWcgTWV0YWJvbGlzbSBhbmQgUGhhcm1hY29raW5ldGljcywg
R2VuZW50ZWNoLCBTb3V0aCBTYW4gRnJhbmNpc2NvLCBDQSA5NDA4MCwgVVNBLiYjeEQ7TWljcm9j
aGVtaXN0cnksIFByb3Rlb21pY3MgYW5kIExpcGlkb21pY3MsIEdlbmVudGVjaCwgU291dGggU2Fu
IEZyYW5jaXNjbywgQ0EgOTQwODAsIFVTQS4mI3hEO1BhdGhvbG9neSwgR2VuZW50ZWNoLCBTb3V0
aCBTYW4gRnJhbmNpc2NvLCBDQSA5NDA4MCwgVVNBLiYjeEQ7VHJhbnNsYXRpb25hbCBPbmNvbG9n
eSwgR2VuZW50ZWNoLCBTb3V0aCBTYW4gRnJhbmNpc2NvLCBDQSA5NDA4MCwgVVNBLiBFbGVjdHJv
bmljIGFkZHJlc3M6IGhhdHppdmFzc2lsaW91Lmdlb3JnaWFAZ2VuZS5jb20uPC9hdXRoLWFkZHJl
c3M+PHRpdGxlcz48dGl0bGU+UGFuLUNhbmNlciBNZXRhYm9saWMgU2lnbmF0dXJlIFByZWRpY3Rz
IENvLURlcGVuZGVuY3kgb24gR2x1dGFtaW5hc2UgYW5kIERlIE5vdm8gR2x1dGF0aGlvbmUgU3lu
dGhlc2lzIExpbmtlZCB0byBhIEhpZ2gtTWVzZW5jaHltYWwgQ2VsbCBTdGF0ZTwvdGl0bGU+PHNl
Y29uZGFyeS10aXRsZT5DZWxsIE1ldGFiPC9zZWNvbmRhcnktdGl0bGU+PC90aXRsZXM+PHBlcmlv
ZGljYWw+PGZ1bGwtdGl0bGU+Q2VsbCBNZXRhYjwvZnVsbC10aXRsZT48L3BlcmlvZGljYWw+PHBh
Z2VzPjM4My0zOTkgZTk8L3BhZ2VzPjx2b2x1bWU+Mjg8L3ZvbHVtZT48bnVtYmVyPjM8L251bWJl
cj48ZWRpdGlvbj4yMDE4LzA3LzI2PC9lZGl0aW9uPjxrZXl3b3Jkcz48a2V5d29yZD5BbmltYWxz
PC9rZXl3b3JkPjxrZXl3b3JkPkJpb21hcmtlcnMsIFR1bW9yL21ldGFib2xpc208L2tleXdvcmQ+
PGtleXdvcmQ+KkJyZWFzdCBOZW9wbGFzbXMvZHJ1ZyB0aGVyYXB5L21ldGFib2xpc208L2tleXdv
cmQ+PGtleXdvcmQ+Q2VsbCBMaW5lLCBUdW1vcjwva2V5d29yZD48a2V5d29yZD5DaXRyaWMgQWNp
ZC9tZXRhYm9saXNtPC9rZXl3b3JkPjxrZXl3b3JkPkRhdGFiYXNlcywgR2VuZXRpYzwva2V5d29y
ZD48a2V5d29yZD5GZW1hbGU8L2tleXdvcmQ+PGtleXdvcmQ+KkdsdXRhbWF0ZS1DeXN0ZWluZSBM
aWdhc2UvYW50YWdvbmlzdHMgJmFtcDsgaW5oaWJpdG9ycy9tZXRhYm9saXNtPC9rZXl3b3JkPjxr
ZXl3b3JkPipHbHV0YW1pbmFzZS9hbnRhZ29uaXN0cyAmYW1wOyBpbmhpYml0b3JzL21ldGFib2xp
c208L2tleXdvcmQ+PGtleXdvcmQ+R2x1dGF0aGlvbmUvbWV0YWJvbGlzbTwva2V5d29yZD48a2V5
d29yZD5IRUsyOTMgQ2VsbHM8L2tleXdvcmQ+PGtleXdvcmQ+SHVtYW5zPC9rZXl3b3JkPjxrZXl3
b3JkPklzb2VuenltZXMvbWV0YWJvbGlzbTwva2V5d29yZD48a2V5d29yZD4qTHVuZyBOZW9wbGFz
bXMvZHJ1ZyB0aGVyYXB5L21ldGFib2xpc208L2tleXdvcmQ+PGtleXdvcmQ+Kk1lc2VuY2h5bWFs
IFN0ZW0gQ2VsbHMvZHJ1ZyBlZmZlY3RzL3BhdGhvbG9neTwva2V5d29yZD48a2V5d29yZD4qTWV0
YWJvbG9tZTwva2V5d29yZD48a2V5d29yZD5NaWNlPC9rZXl3b3JkPjxrZXl3b3JkPk1pY2UsIElu
YnJlZCBCQUxCIEM8L2tleXdvcmQ+PGtleXdvcmQ+TWljZSwgTnVkZTwva2V5d29yZD48a2V5d29y
ZD5NaWNlLCBTQ0lEPC9rZXl3b3JkPjxrZXl3b3JkPlR1bW9yIFN0ZW0gQ2VsbCBBc3NheTwva2V5
d29yZD48a2V5d29yZD5YZW5vZ3JhZnQgTW9kZWwgQW50aXR1bW9yIEFzc2F5czwva2V5d29yZD48
a2V5d29yZD4qZ2xzMTwva2V5d29yZD48a2V5d29yZD4qYnJlYXN0IGNhbmNlcjwva2V5d29yZD48
a2V5d29yZD4qZ2x1dGFtaW5hc2UgZGVwZW5kZW5jZTwva2V5d29yZD48a2V5d29yZD4qZ2x1dGF0
aGlvbmUgc3ludGhlc2lzPC9rZXl3b3JkPjxrZXl3b3JkPipsdW5nIGNhbmNlcjwva2V5d29yZD48
a2V5d29yZD4qbWVzZW5jaHltYWwgc3RhdGU8L2tleXdvcmQ+PGtleXdvcmQ+KnBoYXJtYWNvZHlu
YW1pYyBiaW9tYXJrZXJzPC9rZXl3b3JkPjxrZXl3b3JkPipwcmVkaWN0aXZlIGdlbmUgZXhwcmVz
c2lvbiBzaWduYXR1cmU8L2tleXdvcmQ+PGtleXdvcmQ+KnJlZG94IHN0cmVzczwva2V5d29yZD48
a2V5d29yZD4qdHVtb3IgbWV0YWJvbGlzbTwva2V5d29yZD48L2tleXdvcmRzPjxkYXRlcz48eWVh
cj4yMDE4PC95ZWFyPjxwdWItZGF0ZXM+PGRhdGU+U2VwIDQ8L2RhdGU+PC9wdWItZGF0ZXM+PC9k
YXRlcz48aXNibj4xOTMyLTc0MjAgKEVsZWN0cm9uaWMpJiN4RDsxNTUwLTQxMzEgKExpbmtpbmcp
PC9pc2JuPjxhY2Nlc3Npb24tbnVtPjMwMDQzNzUxPC9hY2Nlc3Npb24tbnVtPjx1cmxzPjxyZWxh
dGVkLXVybHM+PHVybD5odHRwczovL3d3dy5uY2JpLm5sbS5uaWguZ292L3B1Ym1lZC8zMDA0Mzc1
MTwvdXJsPjwvcmVsYXRlZC11cmxzPjwvdXJscz48ZWxlY3Ryb25pYy1yZXNvdXJjZS1udW0+MTAu
MTAxNi9qLmNtZXQuMjAxOC4wNi4wMDM8L2VsZWN0cm9uaWMtcmVzb3VyY2UtbnVtPjwvcmVjb3Jk
PjwvQ2l0ZT48L0VuZE5vdGU+
</w:fldData>
        </w:fldChar>
      </w:r>
      <w:r w:rsidR="004F17A3">
        <w:rPr>
          <w:rFonts w:ascii="Arial" w:hAnsi="Arial" w:cs="Arial"/>
        </w:rPr>
        <w:instrText xml:space="preserve"> ADDIN EN.CITE.DATA </w:instrText>
      </w:r>
      <w:r w:rsidR="004F17A3">
        <w:rPr>
          <w:rFonts w:ascii="Arial" w:hAnsi="Arial" w:cs="Arial"/>
        </w:rPr>
      </w:r>
      <w:r w:rsidR="004F17A3">
        <w:rPr>
          <w:rFonts w:ascii="Arial" w:hAnsi="Arial" w:cs="Arial"/>
        </w:rPr>
        <w:fldChar w:fldCharType="end"/>
      </w:r>
      <w:r w:rsidRPr="00C928B6">
        <w:rPr>
          <w:rFonts w:ascii="Arial" w:hAnsi="Arial" w:cs="Arial"/>
        </w:rPr>
      </w:r>
      <w:r w:rsidRPr="00C928B6">
        <w:rPr>
          <w:rFonts w:ascii="Arial" w:hAnsi="Arial" w:cs="Arial"/>
        </w:rPr>
        <w:fldChar w:fldCharType="separate"/>
      </w:r>
      <w:r w:rsidR="004F17A3">
        <w:rPr>
          <w:rFonts w:ascii="Arial" w:hAnsi="Arial" w:cs="Arial"/>
          <w:noProof/>
        </w:rPr>
        <w:t>(1)</w:t>
      </w:r>
      <w:r w:rsidRPr="00C928B6">
        <w:rPr>
          <w:rFonts w:ascii="Arial" w:hAnsi="Arial" w:cs="Arial"/>
        </w:rPr>
        <w:fldChar w:fldCharType="end"/>
      </w:r>
      <w:bookmarkEnd w:id="2"/>
      <w:r w:rsidRPr="00C928B6">
        <w:rPr>
          <w:rFonts w:ascii="Arial" w:hAnsi="Arial" w:cs="Arial"/>
        </w:rPr>
        <w:t xml:space="preserve">. To induce GLS knockdown, cells were cultured in the presence of 4 </w:t>
      </w:r>
      <w:proofErr w:type="spellStart"/>
      <w:r w:rsidRPr="00C928B6">
        <w:rPr>
          <w:rFonts w:ascii="Arial" w:hAnsi="Arial" w:cs="Arial"/>
        </w:rPr>
        <w:t>μg</w:t>
      </w:r>
      <w:proofErr w:type="spellEnd"/>
      <w:r w:rsidRPr="00C928B6">
        <w:rPr>
          <w:rFonts w:ascii="Arial" w:hAnsi="Arial" w:cs="Arial"/>
        </w:rPr>
        <w:t xml:space="preserve">/ml doxycycline for 3 days. Knockdown was confirmed by western blot. </w:t>
      </w:r>
      <w:r w:rsidR="006E781D">
        <w:rPr>
          <w:rFonts w:ascii="Arial" w:hAnsi="Arial" w:cs="Arial"/>
        </w:rPr>
        <w:br/>
      </w:r>
      <w:r w:rsidR="00B87E9E">
        <w:rPr>
          <w:rFonts w:ascii="Arial" w:hAnsi="Arial" w:cs="Arial"/>
        </w:rPr>
        <w:t xml:space="preserve">For </w:t>
      </w:r>
      <w:r w:rsidR="00B87E9E" w:rsidRPr="006E781D">
        <w:rPr>
          <w:rFonts w:ascii="Arial" w:hAnsi="Arial" w:cs="Arial"/>
        </w:rPr>
        <w:t>Slc38a1</w:t>
      </w:r>
      <w:r w:rsidR="00B87E9E">
        <w:rPr>
          <w:rFonts w:ascii="Arial" w:hAnsi="Arial" w:cs="Arial"/>
        </w:rPr>
        <w:t xml:space="preserve"> knockdown studies, </w:t>
      </w:r>
      <w:r w:rsidR="004B056F" w:rsidRPr="005201C9">
        <w:rPr>
          <w:rFonts w:ascii="Arial" w:hAnsi="Arial" w:cs="Arial"/>
        </w:rPr>
        <w:t>HEL cells were seeded overnight in 6-well culture plates at a density of 2×10</w:t>
      </w:r>
      <w:r w:rsidR="0001309C">
        <w:rPr>
          <w:rFonts w:ascii="Arial" w:hAnsi="Arial" w:cs="Arial"/>
          <w:vertAlign w:val="superscript"/>
        </w:rPr>
        <w:t>5</w:t>
      </w:r>
      <w:r w:rsidR="004B056F" w:rsidRPr="005201C9">
        <w:rPr>
          <w:rFonts w:ascii="Arial" w:hAnsi="Arial" w:cs="Arial"/>
        </w:rPr>
        <w:t xml:space="preserve"> cells/well. Following overnight incubation, cells were transfected with 50nmol/L siRNA targeting </w:t>
      </w:r>
      <w:r w:rsidR="006E781D" w:rsidRPr="006E781D">
        <w:rPr>
          <w:rFonts w:ascii="Arial" w:hAnsi="Arial" w:cs="Arial"/>
        </w:rPr>
        <w:t>Slc38a1</w:t>
      </w:r>
      <w:r w:rsidR="0001309C">
        <w:rPr>
          <w:rFonts w:ascii="Arial" w:hAnsi="Arial" w:cs="Arial"/>
        </w:rPr>
        <w:t xml:space="preserve"> </w:t>
      </w:r>
      <w:r w:rsidR="006E781D">
        <w:rPr>
          <w:rFonts w:ascii="Arial" w:hAnsi="Arial" w:cs="Arial"/>
        </w:rPr>
        <w:t xml:space="preserve">Cat. No </w:t>
      </w:r>
      <w:r w:rsidR="006E781D" w:rsidRPr="005201C9">
        <w:rPr>
          <w:rFonts w:ascii="Arial" w:hAnsi="Arial" w:cs="Arial"/>
        </w:rPr>
        <w:t xml:space="preserve">J-007558-10-0010 and J-007558-10-0012 (Dharmacon/Horizon) </w:t>
      </w:r>
      <w:r w:rsidR="0001309C">
        <w:rPr>
          <w:rFonts w:ascii="Arial" w:hAnsi="Arial" w:cs="Arial"/>
        </w:rPr>
        <w:t xml:space="preserve">or </w:t>
      </w:r>
      <w:r w:rsidR="00044790" w:rsidRPr="00044790">
        <w:rPr>
          <w:rFonts w:ascii="Arial" w:hAnsi="Arial" w:cs="Arial"/>
        </w:rPr>
        <w:t>non-targeting</w:t>
      </w:r>
      <w:r w:rsidR="006E781D" w:rsidRPr="005201C9">
        <w:rPr>
          <w:rFonts w:ascii="Arial" w:hAnsi="Arial" w:cs="Arial"/>
        </w:rPr>
        <w:t xml:space="preserve"> con</w:t>
      </w:r>
      <w:r w:rsidR="0001309C">
        <w:rPr>
          <w:rFonts w:ascii="Arial" w:hAnsi="Arial" w:cs="Arial"/>
        </w:rPr>
        <w:t>trol siRNA</w:t>
      </w:r>
      <w:r w:rsidR="00044790" w:rsidRPr="005201C9">
        <w:rPr>
          <w:rFonts w:ascii="Arial" w:hAnsi="Arial" w:cs="Arial"/>
        </w:rPr>
        <w:t xml:space="preserve"> D-001810-10-20</w:t>
      </w:r>
      <w:r w:rsidR="0001309C">
        <w:rPr>
          <w:rFonts w:ascii="Arial" w:hAnsi="Arial" w:cs="Arial"/>
        </w:rPr>
        <w:t xml:space="preserve">, </w:t>
      </w:r>
      <w:r w:rsidR="004B056F" w:rsidRPr="005201C9">
        <w:rPr>
          <w:rFonts w:ascii="Arial" w:hAnsi="Arial" w:cs="Arial"/>
        </w:rPr>
        <w:t xml:space="preserve">using </w:t>
      </w:r>
      <w:proofErr w:type="spellStart"/>
      <w:r w:rsidR="004B056F" w:rsidRPr="005201C9">
        <w:rPr>
          <w:rFonts w:ascii="Arial" w:hAnsi="Arial" w:cs="Arial"/>
        </w:rPr>
        <w:t>DharmaFECT</w:t>
      </w:r>
      <w:proofErr w:type="spellEnd"/>
      <w:r w:rsidR="004B056F" w:rsidRPr="005201C9">
        <w:rPr>
          <w:rFonts w:ascii="Arial" w:hAnsi="Arial" w:cs="Arial"/>
        </w:rPr>
        <w:t xml:space="preserve"> transfection reagent. </w:t>
      </w:r>
      <w:r w:rsidR="0001309C" w:rsidRPr="005201C9">
        <w:rPr>
          <w:rFonts w:ascii="Arial" w:hAnsi="Arial" w:cs="Arial"/>
        </w:rPr>
        <w:t>Confirmation of knockdown was confirmed by RT-PCR.</w:t>
      </w:r>
    </w:p>
    <w:p w14:paraId="28AC1D8F" w14:textId="77777777" w:rsidR="00D11857" w:rsidRPr="002A3985" w:rsidRDefault="00D11857" w:rsidP="00D11857">
      <w:pPr>
        <w:pStyle w:val="NoSpacing"/>
        <w:spacing w:line="276" w:lineRule="auto"/>
        <w:jc w:val="both"/>
        <w:rPr>
          <w:rFonts w:ascii="Arial" w:hAnsi="Arial" w:cs="Arial"/>
        </w:rPr>
      </w:pPr>
    </w:p>
    <w:p w14:paraId="6DF6B24A" w14:textId="77777777" w:rsidR="00D11857" w:rsidRPr="002A3985" w:rsidRDefault="00D11857" w:rsidP="00D11857">
      <w:pPr>
        <w:pStyle w:val="NoSpacing"/>
        <w:spacing w:line="276" w:lineRule="auto"/>
        <w:jc w:val="both"/>
        <w:rPr>
          <w:rFonts w:ascii="Arial" w:hAnsi="Arial" w:cs="Arial"/>
          <w:b/>
          <w:bCs/>
        </w:rPr>
      </w:pPr>
      <w:r w:rsidRPr="002A3985">
        <w:rPr>
          <w:rFonts w:ascii="Arial" w:hAnsi="Arial" w:cs="Arial"/>
          <w:b/>
          <w:bCs/>
        </w:rPr>
        <w:t>Western Blot Analysis</w:t>
      </w:r>
    </w:p>
    <w:p w14:paraId="2C22BBB1" w14:textId="547BEA58" w:rsidR="00D11857" w:rsidRDefault="00D11857" w:rsidP="00D11857">
      <w:pPr>
        <w:pStyle w:val="NoSpacing"/>
        <w:spacing w:line="276" w:lineRule="auto"/>
        <w:jc w:val="both"/>
        <w:rPr>
          <w:rFonts w:ascii="Arial" w:hAnsi="Arial" w:cs="Arial"/>
        </w:rPr>
      </w:pPr>
      <w:r w:rsidRPr="002A3985">
        <w:rPr>
          <w:rFonts w:ascii="Arial" w:hAnsi="Arial" w:cs="Arial"/>
        </w:rPr>
        <w:t xml:space="preserve">The HL-60, MV4-11 and OCI-AML3 cells stably transfected with </w:t>
      </w:r>
      <w:proofErr w:type="spellStart"/>
      <w:r w:rsidRPr="002A3985">
        <w:rPr>
          <w:rFonts w:ascii="Arial" w:hAnsi="Arial" w:cs="Arial"/>
        </w:rPr>
        <w:t>pHUSH</w:t>
      </w:r>
      <w:proofErr w:type="spellEnd"/>
      <w:r w:rsidRPr="002A3985">
        <w:rPr>
          <w:rFonts w:ascii="Arial" w:hAnsi="Arial" w:cs="Arial"/>
        </w:rPr>
        <w:t xml:space="preserve"> luciferase control, </w:t>
      </w:r>
      <w:proofErr w:type="spellStart"/>
      <w:r w:rsidRPr="002A3985">
        <w:rPr>
          <w:rFonts w:ascii="Arial" w:hAnsi="Arial" w:cs="Arial"/>
        </w:rPr>
        <w:t>pHUSH</w:t>
      </w:r>
      <w:proofErr w:type="spellEnd"/>
      <w:r w:rsidRPr="002A3985">
        <w:rPr>
          <w:rFonts w:ascii="Arial" w:hAnsi="Arial" w:cs="Arial"/>
        </w:rPr>
        <w:t xml:space="preserve"> puro-KGA, </w:t>
      </w:r>
      <w:proofErr w:type="spellStart"/>
      <w:r w:rsidRPr="002A3985">
        <w:rPr>
          <w:rFonts w:ascii="Arial" w:hAnsi="Arial" w:cs="Arial"/>
        </w:rPr>
        <w:t>pHUSH</w:t>
      </w:r>
      <w:proofErr w:type="spellEnd"/>
      <w:r w:rsidRPr="002A3985">
        <w:rPr>
          <w:rFonts w:ascii="Arial" w:hAnsi="Arial" w:cs="Arial"/>
        </w:rPr>
        <w:t xml:space="preserve"> puro-GAC, or </w:t>
      </w:r>
      <w:proofErr w:type="spellStart"/>
      <w:r w:rsidRPr="002A3985">
        <w:rPr>
          <w:rFonts w:ascii="Arial" w:hAnsi="Arial" w:cs="Arial"/>
        </w:rPr>
        <w:t>pHUSH</w:t>
      </w:r>
      <w:proofErr w:type="spellEnd"/>
      <w:r w:rsidRPr="002A3985">
        <w:rPr>
          <w:rFonts w:ascii="Arial" w:hAnsi="Arial" w:cs="Arial"/>
        </w:rPr>
        <w:t xml:space="preserve"> puro-D3 shRNA were grown, collected, washed in PBS, and pelleted before lysing with RIPA buffer (PIERCE) containing protease and phosphatase inhibitors (Roche). After 30 min incubation on ice, cell lysates were subject to sonication (~2 min) and centrifugation (12,000 rpm x 10 min, 4° C). The supernatant was collected, and the protein concentration quantified using the BCA Protein Assay (Thermo Scientific). Western blot analysis was performed according to standard procedures. Following antibodies were used in western analyses: KGA (20170-1-AP, </w:t>
      </w:r>
      <w:proofErr w:type="spellStart"/>
      <w:r w:rsidRPr="002A3985">
        <w:rPr>
          <w:rFonts w:ascii="Arial" w:hAnsi="Arial" w:cs="Arial"/>
        </w:rPr>
        <w:t>Proteintech</w:t>
      </w:r>
      <w:proofErr w:type="spellEnd"/>
      <w:r w:rsidRPr="002A3985">
        <w:rPr>
          <w:rFonts w:ascii="Arial" w:hAnsi="Arial" w:cs="Arial"/>
        </w:rPr>
        <w:t xml:space="preserve">), GAC (EP7212, Abcam), β-Actin (4967, Cell Signal Technology); and donkey anti-mouse antibody </w:t>
      </w:r>
      <w:proofErr w:type="spellStart"/>
      <w:r w:rsidRPr="002A3985">
        <w:rPr>
          <w:rFonts w:ascii="Arial" w:hAnsi="Arial" w:cs="Arial"/>
        </w:rPr>
        <w:t>IRDye</w:t>
      </w:r>
      <w:proofErr w:type="spellEnd"/>
      <w:r w:rsidRPr="002A3985">
        <w:rPr>
          <w:rFonts w:ascii="Arial" w:hAnsi="Arial" w:cs="Arial"/>
        </w:rPr>
        <w:t xml:space="preserve"> 800CW </w:t>
      </w:r>
      <w:r w:rsidRPr="002A3985">
        <w:rPr>
          <w:rFonts w:ascii="Arial" w:hAnsi="Arial" w:cs="Arial"/>
        </w:rPr>
        <w:lastRenderedPageBreak/>
        <w:t>(C61116–02, LI-COR), donkey anti-rabbit antibody (C70601–05, LI-COR). The fluorescence signals were read by the Odyssey imaging system (LI-COR Biosciences, Lincoln, NE). Data were processed by Image Studio software (LI-COR Biosciences).</w:t>
      </w:r>
    </w:p>
    <w:p w14:paraId="30DA17CC" w14:textId="0228B80C" w:rsidR="008E3510" w:rsidRDefault="008E3510" w:rsidP="00D11857">
      <w:pPr>
        <w:pStyle w:val="NoSpacing"/>
        <w:spacing w:line="276" w:lineRule="auto"/>
        <w:jc w:val="both"/>
        <w:rPr>
          <w:rFonts w:ascii="Arial" w:hAnsi="Arial" w:cs="Arial"/>
        </w:rPr>
      </w:pPr>
    </w:p>
    <w:p w14:paraId="5927FFE0" w14:textId="58167419" w:rsidR="008E3510" w:rsidRPr="00245111" w:rsidRDefault="00356E8B" w:rsidP="008E3510">
      <w:pPr>
        <w:pStyle w:val="NoSpacing"/>
        <w:spacing w:line="276" w:lineRule="auto"/>
        <w:jc w:val="both"/>
        <w:rPr>
          <w:rFonts w:ascii="Arial" w:hAnsi="Arial" w:cs="Arial"/>
          <w:b/>
          <w:bCs/>
        </w:rPr>
      </w:pPr>
      <w:proofErr w:type="spellStart"/>
      <w:r>
        <w:rPr>
          <w:rFonts w:ascii="Arial" w:hAnsi="Arial" w:cs="Arial"/>
          <w:b/>
          <w:bCs/>
        </w:rPr>
        <w:t>Telaglenastat</w:t>
      </w:r>
      <w:proofErr w:type="spellEnd"/>
      <w:r w:rsidR="008E3510" w:rsidRPr="00245111">
        <w:rPr>
          <w:rFonts w:ascii="Arial" w:hAnsi="Arial" w:cs="Arial"/>
          <w:b/>
          <w:bCs/>
        </w:rPr>
        <w:t xml:space="preserve"> quantification in blood samples</w:t>
      </w:r>
    </w:p>
    <w:p w14:paraId="71CDD382" w14:textId="77777777" w:rsidR="00245111" w:rsidRDefault="008E3510" w:rsidP="00245111">
      <w:pPr>
        <w:pStyle w:val="NoSpacing"/>
        <w:spacing w:line="276" w:lineRule="auto"/>
        <w:jc w:val="both"/>
        <w:rPr>
          <w:rFonts w:ascii="Arial" w:hAnsi="Arial" w:cs="Arial"/>
        </w:rPr>
      </w:pPr>
      <w:r w:rsidRPr="008E3510">
        <w:rPr>
          <w:rFonts w:ascii="Arial" w:hAnsi="Arial" w:cs="Arial"/>
        </w:rPr>
        <w:t xml:space="preserve">Thirty </w:t>
      </w:r>
      <w:proofErr w:type="spellStart"/>
      <w:r w:rsidRPr="008E3510">
        <w:rPr>
          <w:rFonts w:ascii="Arial" w:hAnsi="Arial" w:cs="Arial"/>
        </w:rPr>
        <w:t>μL</w:t>
      </w:r>
      <w:proofErr w:type="spellEnd"/>
      <w:r w:rsidRPr="008E3510">
        <w:rPr>
          <w:rFonts w:ascii="Arial" w:hAnsi="Arial" w:cs="Arial"/>
        </w:rPr>
        <w:t xml:space="preserve"> of human plasma samples were pipetted into blank Eppendorf tubes and precipitated using 120 </w:t>
      </w:r>
      <w:proofErr w:type="spellStart"/>
      <w:r w:rsidRPr="008E3510">
        <w:rPr>
          <w:rFonts w:ascii="Arial" w:hAnsi="Arial" w:cs="Arial"/>
        </w:rPr>
        <w:t>μL</w:t>
      </w:r>
      <w:proofErr w:type="spellEnd"/>
      <w:r w:rsidRPr="008E3510">
        <w:rPr>
          <w:rFonts w:ascii="Arial" w:hAnsi="Arial" w:cs="Arial"/>
        </w:rPr>
        <w:t xml:space="preserve"> of 100% Acetonitrile with pre-spiked IS (Curcumin-d6) at a concentration of 100 ng/</w:t>
      </w:r>
      <w:proofErr w:type="spellStart"/>
      <w:r w:rsidRPr="008E3510">
        <w:rPr>
          <w:rFonts w:ascii="Arial" w:hAnsi="Arial" w:cs="Arial"/>
        </w:rPr>
        <w:t>mL.</w:t>
      </w:r>
      <w:proofErr w:type="spellEnd"/>
      <w:r w:rsidRPr="008E3510">
        <w:rPr>
          <w:rFonts w:ascii="Arial" w:hAnsi="Arial" w:cs="Arial"/>
        </w:rPr>
        <w:t xml:space="preserve"> The mixture was vortexed for 10 min and centrifuged at 14,000 RPM for 10 min at 4</w:t>
      </w:r>
      <w:r w:rsidRPr="008E3510">
        <w:rPr>
          <w:rFonts w:ascii="Cambria Math" w:hAnsi="Cambria Math" w:cs="Cambria Math"/>
        </w:rPr>
        <w:t>℃</w:t>
      </w:r>
      <w:r w:rsidRPr="008E3510">
        <w:rPr>
          <w:rFonts w:ascii="Arial" w:hAnsi="Arial" w:cs="Arial"/>
        </w:rPr>
        <w:t xml:space="preserve">. 100 </w:t>
      </w:r>
      <w:proofErr w:type="spellStart"/>
      <w:r w:rsidRPr="008E3510">
        <w:rPr>
          <w:rFonts w:ascii="Arial" w:hAnsi="Arial" w:cs="Arial"/>
        </w:rPr>
        <w:t>μL</w:t>
      </w:r>
      <w:proofErr w:type="spellEnd"/>
      <w:r w:rsidRPr="008E3510">
        <w:rPr>
          <w:rFonts w:ascii="Arial" w:hAnsi="Arial" w:cs="Arial"/>
        </w:rPr>
        <w:t xml:space="preserve"> of the supernatant was transferred into another Eppendorf tube. The </w:t>
      </w:r>
      <w:proofErr w:type="spellStart"/>
      <w:r w:rsidRPr="008E3510">
        <w:rPr>
          <w:rFonts w:ascii="Arial" w:hAnsi="Arial" w:cs="Arial"/>
        </w:rPr>
        <w:t>HybridSPE</w:t>
      </w:r>
      <w:proofErr w:type="spellEnd"/>
      <w:r w:rsidRPr="008E3510">
        <w:rPr>
          <w:rFonts w:ascii="Arial" w:hAnsi="Arial" w:cs="Arial"/>
        </w:rPr>
        <w:t xml:space="preserve"> DPX tips were conditioned by aspirating and dispensing 100% acetonitrile (using the same volume that was used for protein precipitation) and the eluent was discarded. The 100 </w:t>
      </w:r>
      <w:proofErr w:type="spellStart"/>
      <w:r w:rsidRPr="008E3510">
        <w:rPr>
          <w:rFonts w:ascii="Arial" w:hAnsi="Arial" w:cs="Arial"/>
        </w:rPr>
        <w:t>μL</w:t>
      </w:r>
      <w:proofErr w:type="spellEnd"/>
      <w:r w:rsidRPr="008E3510">
        <w:rPr>
          <w:rFonts w:ascii="Arial" w:hAnsi="Arial" w:cs="Arial"/>
        </w:rPr>
        <w:t xml:space="preserve"> supernatant was aspirated and dispensed three times with the </w:t>
      </w:r>
      <w:proofErr w:type="spellStart"/>
      <w:r w:rsidRPr="008E3510">
        <w:rPr>
          <w:rFonts w:ascii="Arial" w:hAnsi="Arial" w:cs="Arial"/>
        </w:rPr>
        <w:t>HybridSPE</w:t>
      </w:r>
      <w:proofErr w:type="spellEnd"/>
      <w:r w:rsidRPr="008E3510">
        <w:rPr>
          <w:rFonts w:ascii="Arial" w:hAnsi="Arial" w:cs="Arial"/>
        </w:rPr>
        <w:t xml:space="preserve"> DPX tips to remove the remaining proteins and phospholipids from all human clinical plasma samples prior to LC-MS/MS analysis. The samples were transferred into LC vials and analyzed using a Thermo Scientific Orbitrap IQ-X </w:t>
      </w:r>
      <w:proofErr w:type="spellStart"/>
      <w:r w:rsidRPr="008E3510">
        <w:rPr>
          <w:rFonts w:ascii="Arial" w:hAnsi="Arial" w:cs="Arial"/>
        </w:rPr>
        <w:t>Tribrid</w:t>
      </w:r>
      <w:proofErr w:type="spellEnd"/>
      <w:r w:rsidRPr="008E3510">
        <w:rPr>
          <w:rFonts w:ascii="Arial" w:hAnsi="Arial" w:cs="Arial"/>
        </w:rPr>
        <w:t xml:space="preserve"> mass spectrometer (IQ-X, Thermo Scientific, Waltham, MA, USA) hyphenated with a Thermo Scientific Vanquish Flex ultrahigh-pressure liquid chromatography (UHPLC) system via electrospray ionization source. The UHPLC system is equipped with a quaternary pump, vacuum degasser, and an open autosampler with a temperature controller. Chromatographic separation of targeted analytes and internal standard was achieved on an ACQUITY BEH C18 150 × 2.1 mm (1.7 </w:t>
      </w:r>
      <w:proofErr w:type="spellStart"/>
      <w:r w:rsidRPr="008E3510">
        <w:rPr>
          <w:rFonts w:ascii="Arial" w:hAnsi="Arial" w:cs="Arial"/>
        </w:rPr>
        <w:t>μm</w:t>
      </w:r>
      <w:proofErr w:type="spellEnd"/>
      <w:r w:rsidRPr="008E3510">
        <w:rPr>
          <w:rFonts w:ascii="Arial" w:hAnsi="Arial" w:cs="Arial"/>
        </w:rPr>
        <w:t xml:space="preserve">, 130 Å) column (Waters, Milford, MA). The mobile phase consisted of 0.1% formic acid in water (A), and 0.1% formic acid in 100% acetonitrile (B) at a flow rate of 0.3 mL/min, with gradient elution. The composition of the mobile phase was changed linearly with a curve of 5. The injection volume was 5 </w:t>
      </w:r>
      <w:proofErr w:type="spellStart"/>
      <w:r w:rsidRPr="008E3510">
        <w:rPr>
          <w:rFonts w:ascii="Arial" w:hAnsi="Arial" w:cs="Arial"/>
        </w:rPr>
        <w:t>μL</w:t>
      </w:r>
      <w:proofErr w:type="spellEnd"/>
      <w:r w:rsidRPr="008E3510">
        <w:rPr>
          <w:rFonts w:ascii="Arial" w:hAnsi="Arial" w:cs="Arial"/>
        </w:rPr>
        <w:t>.</w:t>
      </w:r>
      <w:r w:rsidR="009412F7">
        <w:rPr>
          <w:rFonts w:ascii="Arial" w:hAnsi="Arial" w:cs="Arial"/>
        </w:rPr>
        <w:t xml:space="preserve"> </w:t>
      </w:r>
      <w:r w:rsidR="009412F7" w:rsidRPr="009412F7">
        <w:rPr>
          <w:rFonts w:ascii="Arial" w:hAnsi="Arial" w:cs="Arial"/>
        </w:rPr>
        <w:t>Data processing was performed using Thermo Scientific Freestyle software (1.8. SP2 version)</w:t>
      </w:r>
      <w:r w:rsidR="00245111">
        <w:rPr>
          <w:rFonts w:ascii="Arial" w:hAnsi="Arial" w:cs="Arial"/>
        </w:rPr>
        <w:t>.</w:t>
      </w:r>
    </w:p>
    <w:p w14:paraId="40C056F1" w14:textId="0038214F" w:rsidR="00D11857" w:rsidRDefault="00D11857" w:rsidP="00245111">
      <w:pPr>
        <w:pStyle w:val="NoSpacing"/>
        <w:spacing w:line="276" w:lineRule="auto"/>
        <w:jc w:val="both"/>
      </w:pPr>
    </w:p>
    <w:p w14:paraId="5B8038F8" w14:textId="77777777" w:rsidR="00E22295" w:rsidRPr="00C928B6" w:rsidRDefault="00E22295" w:rsidP="00E22295">
      <w:pPr>
        <w:pStyle w:val="NoSpacing"/>
        <w:spacing w:line="276" w:lineRule="auto"/>
        <w:jc w:val="both"/>
        <w:rPr>
          <w:rFonts w:ascii="Arial" w:hAnsi="Arial" w:cs="Arial"/>
          <w:b/>
        </w:rPr>
      </w:pPr>
      <w:r w:rsidRPr="0016587D">
        <w:rPr>
          <w:rFonts w:ascii="Arial" w:hAnsi="Arial" w:cs="Arial"/>
          <w:b/>
        </w:rPr>
        <w:t>Preparation of samples for s</w:t>
      </w:r>
      <w:r w:rsidRPr="002A3985">
        <w:rPr>
          <w:rFonts w:ascii="Arial" w:hAnsi="Arial" w:cs="Arial"/>
          <w:b/>
        </w:rPr>
        <w:t>ingle cell RNA analysis:</w:t>
      </w:r>
    </w:p>
    <w:p w14:paraId="61166659" w14:textId="77777777" w:rsidR="00E22295" w:rsidRPr="002A3985" w:rsidRDefault="00E22295" w:rsidP="00E22295">
      <w:pPr>
        <w:pStyle w:val="NoSpacing"/>
        <w:spacing w:line="276" w:lineRule="auto"/>
        <w:jc w:val="both"/>
        <w:rPr>
          <w:rFonts w:ascii="Arial" w:hAnsi="Arial" w:cs="Arial"/>
        </w:rPr>
      </w:pPr>
      <w:r w:rsidRPr="002A3985">
        <w:rPr>
          <w:rFonts w:ascii="Arial" w:hAnsi="Arial" w:cs="Arial"/>
        </w:rPr>
        <w:t xml:space="preserve">Frozen BM cells stored in liquid nitrogen were retrieved right before sample processing. </w:t>
      </w:r>
    </w:p>
    <w:p w14:paraId="33613F85" w14:textId="6F9BCA82" w:rsidR="005201C9" w:rsidRDefault="00E22295" w:rsidP="00E22295">
      <w:pPr>
        <w:pStyle w:val="NoSpacing"/>
        <w:spacing w:line="276" w:lineRule="auto"/>
        <w:jc w:val="both"/>
        <w:rPr>
          <w:rFonts w:ascii="Arial" w:hAnsi="Arial" w:cs="Arial"/>
        </w:rPr>
      </w:pPr>
      <w:r w:rsidRPr="002A3985">
        <w:rPr>
          <w:rFonts w:ascii="Arial" w:hAnsi="Arial" w:cs="Arial"/>
        </w:rPr>
        <w:t>To maximize the cellular viability recovery, samples were processed in batches according to thawing protocol. Briefly, cells were gently thawed in water bath at 37 °C for 5 minutes until partially thawed and immediately placed on ice. Next, cells were gently transferred to 10 ml room temperature warm media (10 ml RPMI1640 supplemented with 20% FBS) and centrifuged (453 g for 5 min). After finishing centrifugation, supernatant was disposed, the cell pellet was carefully re-suspended in 10 ml thawing media (RPMI1640, supplemented with 20% FBS, containing 500 </w:t>
      </w:r>
      <w:proofErr w:type="spellStart"/>
      <w:r w:rsidRPr="002A3985">
        <w:rPr>
          <w:rFonts w:ascii="Arial" w:hAnsi="Arial" w:cs="Arial"/>
        </w:rPr>
        <w:t>μl</w:t>
      </w:r>
      <w:proofErr w:type="spellEnd"/>
      <w:r w:rsidRPr="002A3985">
        <w:rPr>
          <w:rFonts w:ascii="Arial" w:hAnsi="Arial" w:cs="Arial"/>
        </w:rPr>
        <w:t xml:space="preserve"> Heparin (stock 2 mg/ml, Cat# 9041-08-1; Sigma Aldrich), 20 </w:t>
      </w:r>
      <w:proofErr w:type="spellStart"/>
      <w:r w:rsidRPr="002A3985">
        <w:rPr>
          <w:rFonts w:ascii="Arial" w:hAnsi="Arial" w:cs="Arial"/>
        </w:rPr>
        <w:t>μl</w:t>
      </w:r>
      <w:proofErr w:type="spellEnd"/>
      <w:r w:rsidRPr="002A3985">
        <w:rPr>
          <w:rFonts w:ascii="Arial" w:hAnsi="Arial" w:cs="Arial"/>
        </w:rPr>
        <w:t xml:space="preserve"> DNase (stock 1 ug/ml, Cat# 89835, Thermo Fischer Scientific) and 200 </w:t>
      </w:r>
      <w:proofErr w:type="spellStart"/>
      <w:r w:rsidRPr="002A3985">
        <w:rPr>
          <w:rFonts w:ascii="Arial" w:hAnsi="Arial" w:cs="Arial"/>
        </w:rPr>
        <w:t>μl</w:t>
      </w:r>
      <w:proofErr w:type="spellEnd"/>
      <w:r w:rsidRPr="002A3985">
        <w:rPr>
          <w:rFonts w:ascii="Arial" w:hAnsi="Arial" w:cs="Arial"/>
        </w:rPr>
        <w:t xml:space="preserve"> MgSO4 (stock 200 mM, Sigma Aldrich) and incubate in 37 °C for 15 min to digest the DNA released from the dead cells. Following incubation, cells were centrifuged and gently washed twice in 2 ml of 0.04% BSA in PBS. Finally, to remove cell clumps, cells were filtered with 35μm mesh strainer directly to falcon tubes (BD Falcon® 5 ml Round-Bottom Tubes with Cell Strainer Cap, Corning, NY, USA). After transferring cells, 10 ul of cell suspension was stained with 10 ul of 0.4% Trypan blue, counted and assessed for viability using standard hemocytometer and light microscopy. To adjust the cell density, cells were eventually centrifuged again and re-suspended in desired amount of PBS with 0.04% BSA.</w:t>
      </w:r>
    </w:p>
    <w:p w14:paraId="46B4E1D9" w14:textId="77777777" w:rsidR="005201C9" w:rsidRDefault="005201C9">
      <w:pPr>
        <w:rPr>
          <w:rFonts w:ascii="Arial" w:hAnsi="Arial" w:cs="Arial"/>
        </w:rPr>
      </w:pPr>
      <w:r>
        <w:rPr>
          <w:rFonts w:ascii="Arial" w:hAnsi="Arial" w:cs="Arial"/>
        </w:rPr>
        <w:br w:type="page"/>
      </w:r>
    </w:p>
    <w:p w14:paraId="1AA0562B" w14:textId="60035624" w:rsidR="00666553" w:rsidRDefault="00666553" w:rsidP="00DB279F">
      <w:pPr>
        <w:spacing w:line="276" w:lineRule="auto"/>
        <w:rPr>
          <w:rFonts w:ascii="Arial" w:hAnsi="Arial" w:cs="Arial"/>
          <w:b/>
        </w:rPr>
      </w:pPr>
      <w:r>
        <w:rPr>
          <w:rFonts w:ascii="Arial" w:hAnsi="Arial" w:cs="Arial"/>
          <w:b/>
        </w:rPr>
        <w:lastRenderedPageBreak/>
        <w:t xml:space="preserve">Supplementary </w:t>
      </w:r>
      <w:r w:rsidRPr="00C928B6">
        <w:rPr>
          <w:rFonts w:ascii="Arial" w:hAnsi="Arial" w:cs="Arial"/>
          <w:b/>
        </w:rPr>
        <w:t>Table</w:t>
      </w:r>
      <w:r>
        <w:rPr>
          <w:rFonts w:ascii="Arial" w:hAnsi="Arial" w:cs="Arial"/>
          <w:b/>
        </w:rPr>
        <w:t>s:</w:t>
      </w:r>
    </w:p>
    <w:p w14:paraId="3EA70F9C" w14:textId="317618C0" w:rsidR="00DB279F" w:rsidRPr="00C928B6" w:rsidRDefault="00DB279F" w:rsidP="00DB279F">
      <w:pPr>
        <w:spacing w:line="276" w:lineRule="auto"/>
        <w:rPr>
          <w:rFonts w:ascii="Arial" w:hAnsi="Arial" w:cs="Arial"/>
        </w:rPr>
      </w:pPr>
      <w:r>
        <w:rPr>
          <w:rFonts w:ascii="Arial" w:hAnsi="Arial" w:cs="Arial"/>
          <w:b/>
        </w:rPr>
        <w:t xml:space="preserve">Supplementary </w:t>
      </w:r>
      <w:r w:rsidRPr="00C928B6">
        <w:rPr>
          <w:rFonts w:ascii="Arial" w:hAnsi="Arial" w:cs="Arial"/>
          <w:b/>
        </w:rPr>
        <w:t>Table 1:</w:t>
      </w:r>
      <w:r w:rsidRPr="0016587D">
        <w:rPr>
          <w:rFonts w:ascii="Arial" w:hAnsi="Arial" w:cs="Arial"/>
        </w:rPr>
        <w:t xml:space="preserve"> Patient Demographics</w:t>
      </w:r>
    </w:p>
    <w:tbl>
      <w:tblPr>
        <w:tblStyle w:val="PlainTable4"/>
        <w:tblW w:w="5390" w:type="dxa"/>
        <w:tblLook w:val="04A0" w:firstRow="1" w:lastRow="0" w:firstColumn="1" w:lastColumn="0" w:noHBand="0" w:noVBand="1"/>
      </w:tblPr>
      <w:tblGrid>
        <w:gridCol w:w="2970"/>
        <w:gridCol w:w="2420"/>
      </w:tblGrid>
      <w:tr w:rsidR="00DB279F" w:rsidRPr="002A3985" w14:paraId="21CF3FC6" w14:textId="77777777" w:rsidTr="00D31C44">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auto"/>
              <w:bottom w:val="single" w:sz="4" w:space="0" w:color="auto"/>
            </w:tcBorders>
            <w:hideMark/>
          </w:tcPr>
          <w:p w14:paraId="2A0EA126"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Characteristic</w:t>
            </w:r>
          </w:p>
        </w:tc>
        <w:tc>
          <w:tcPr>
            <w:tcW w:w="2420" w:type="dxa"/>
            <w:tcBorders>
              <w:top w:val="single" w:sz="4" w:space="0" w:color="auto"/>
              <w:bottom w:val="single" w:sz="4" w:space="0" w:color="auto"/>
            </w:tcBorders>
            <w:hideMark/>
          </w:tcPr>
          <w:p w14:paraId="0E49019B" w14:textId="77777777" w:rsidR="00DB279F" w:rsidRPr="00D31C44" w:rsidRDefault="00DB279F" w:rsidP="00D0617B">
            <w:pPr>
              <w:spacing w:line="276"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24"/>
                <w:sz w:val="20"/>
                <w:szCs w:val="20"/>
              </w:rPr>
            </w:pPr>
            <w:r w:rsidRPr="00D31C44">
              <w:rPr>
                <w:rFonts w:ascii="Arial" w:eastAsia="Times New Roman" w:hAnsi="Arial" w:cs="Arial"/>
                <w:color w:val="000000"/>
                <w:kern w:val="24"/>
                <w:sz w:val="20"/>
                <w:szCs w:val="20"/>
              </w:rPr>
              <w:t>N (%); Median [Range]</w:t>
            </w:r>
          </w:p>
        </w:tc>
      </w:tr>
      <w:tr w:rsidR="00DB279F" w:rsidRPr="002A3985" w14:paraId="1C7FABB9" w14:textId="77777777" w:rsidTr="00D31C44">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auto"/>
            </w:tcBorders>
            <w:hideMark/>
          </w:tcPr>
          <w:p w14:paraId="26CE45B4"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Age, years</w:t>
            </w:r>
          </w:p>
        </w:tc>
        <w:tc>
          <w:tcPr>
            <w:tcW w:w="2420" w:type="dxa"/>
            <w:tcBorders>
              <w:top w:val="single" w:sz="4" w:space="0" w:color="auto"/>
            </w:tcBorders>
            <w:hideMark/>
          </w:tcPr>
          <w:p w14:paraId="5254DBC3"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70 [41-83]</w:t>
            </w:r>
          </w:p>
        </w:tc>
      </w:tr>
      <w:tr w:rsidR="00DB279F" w:rsidRPr="002A3985" w14:paraId="3F574F2B"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68EB908D"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Sex</w:t>
            </w:r>
          </w:p>
        </w:tc>
        <w:tc>
          <w:tcPr>
            <w:tcW w:w="2420" w:type="dxa"/>
            <w:hideMark/>
          </w:tcPr>
          <w:p w14:paraId="301561D7" w14:textId="4A345813"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3BE9C6F0"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13850B33"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Female</w:t>
            </w:r>
          </w:p>
        </w:tc>
        <w:tc>
          <w:tcPr>
            <w:tcW w:w="2420" w:type="dxa"/>
            <w:hideMark/>
          </w:tcPr>
          <w:p w14:paraId="720B708D"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06BD083C"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1281A674"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Male</w:t>
            </w:r>
          </w:p>
        </w:tc>
        <w:tc>
          <w:tcPr>
            <w:tcW w:w="2420" w:type="dxa"/>
            <w:hideMark/>
          </w:tcPr>
          <w:p w14:paraId="12DB6BA3"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22 (79)</w:t>
            </w:r>
          </w:p>
        </w:tc>
      </w:tr>
      <w:tr w:rsidR="00DB279F" w:rsidRPr="002A3985" w14:paraId="227F392D"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1CF1AC3B"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Prior treatment(s)</w:t>
            </w:r>
          </w:p>
        </w:tc>
        <w:tc>
          <w:tcPr>
            <w:tcW w:w="2420" w:type="dxa"/>
            <w:hideMark/>
          </w:tcPr>
          <w:p w14:paraId="7E692361" w14:textId="5523B66E"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72C735EB"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05C12D6C"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Frontline</w:t>
            </w:r>
          </w:p>
        </w:tc>
        <w:tc>
          <w:tcPr>
            <w:tcW w:w="2420" w:type="dxa"/>
            <w:hideMark/>
          </w:tcPr>
          <w:p w14:paraId="5EF832F1"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18 (64)</w:t>
            </w:r>
          </w:p>
        </w:tc>
      </w:tr>
      <w:tr w:rsidR="00DB279F" w:rsidRPr="002A3985" w14:paraId="6340DA1C"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5F6C6790" w14:textId="5B71396F"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Prior therapy</w:t>
            </w:r>
          </w:p>
        </w:tc>
        <w:tc>
          <w:tcPr>
            <w:tcW w:w="2420" w:type="dxa"/>
            <w:hideMark/>
          </w:tcPr>
          <w:p w14:paraId="5CCDEE6E"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10 (36)</w:t>
            </w:r>
          </w:p>
        </w:tc>
      </w:tr>
      <w:tr w:rsidR="00DB279F" w:rsidRPr="002A3985" w14:paraId="71903554"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9FC507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Diagnosis, n (%)</w:t>
            </w:r>
          </w:p>
        </w:tc>
        <w:tc>
          <w:tcPr>
            <w:tcW w:w="2420" w:type="dxa"/>
            <w:hideMark/>
          </w:tcPr>
          <w:p w14:paraId="6FA6EAF2" w14:textId="561A7885"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03032688"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45ADB9D"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MDS-MLD</w:t>
            </w:r>
          </w:p>
        </w:tc>
        <w:tc>
          <w:tcPr>
            <w:tcW w:w="2420" w:type="dxa"/>
            <w:hideMark/>
          </w:tcPr>
          <w:p w14:paraId="6CA7F8DD"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4AE423A3"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2AE9E6C8"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MDS-RS-MLD</w:t>
            </w:r>
          </w:p>
        </w:tc>
        <w:tc>
          <w:tcPr>
            <w:tcW w:w="2420" w:type="dxa"/>
            <w:hideMark/>
          </w:tcPr>
          <w:p w14:paraId="6A47430C"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2 (7)</w:t>
            </w:r>
          </w:p>
        </w:tc>
      </w:tr>
      <w:tr w:rsidR="00DB279F" w:rsidRPr="002A3985" w14:paraId="1B66BD9E"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2D37FCDB"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MDS-EB-1</w:t>
            </w:r>
          </w:p>
        </w:tc>
        <w:tc>
          <w:tcPr>
            <w:tcW w:w="2420" w:type="dxa"/>
            <w:hideMark/>
          </w:tcPr>
          <w:p w14:paraId="57EC32D3"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0DE44177"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F851EA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MDS-EB-2</w:t>
            </w:r>
          </w:p>
        </w:tc>
        <w:tc>
          <w:tcPr>
            <w:tcW w:w="2420" w:type="dxa"/>
            <w:hideMark/>
          </w:tcPr>
          <w:p w14:paraId="40F4E439"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1BACFE77"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08B03525"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MDS/MPN</w:t>
            </w:r>
          </w:p>
        </w:tc>
        <w:tc>
          <w:tcPr>
            <w:tcW w:w="2420" w:type="dxa"/>
            <w:hideMark/>
          </w:tcPr>
          <w:p w14:paraId="6AF387C8"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 (4)</w:t>
            </w:r>
          </w:p>
        </w:tc>
      </w:tr>
      <w:tr w:rsidR="00DB279F" w:rsidRPr="002A3985" w14:paraId="0AB60A31"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56AAE9FB"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t-MDS</w:t>
            </w:r>
          </w:p>
        </w:tc>
        <w:tc>
          <w:tcPr>
            <w:tcW w:w="2420" w:type="dxa"/>
            <w:hideMark/>
          </w:tcPr>
          <w:p w14:paraId="75DF1859"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9 (32)</w:t>
            </w:r>
          </w:p>
        </w:tc>
      </w:tr>
      <w:tr w:rsidR="00DB279F" w:rsidRPr="002A3985" w14:paraId="5CFDCA68"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04B1B705"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CMML</w:t>
            </w:r>
          </w:p>
        </w:tc>
        <w:tc>
          <w:tcPr>
            <w:tcW w:w="2420" w:type="dxa"/>
            <w:hideMark/>
          </w:tcPr>
          <w:p w14:paraId="30C6FDA7"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7 (25)</w:t>
            </w:r>
          </w:p>
        </w:tc>
      </w:tr>
      <w:tr w:rsidR="00DB279F" w:rsidRPr="002A3985" w14:paraId="42497D93" w14:textId="77777777" w:rsidTr="003413F5">
        <w:trPr>
          <w:trHeight w:val="261"/>
        </w:trPr>
        <w:tc>
          <w:tcPr>
            <w:cnfStyle w:val="001000000000" w:firstRow="0" w:lastRow="0" w:firstColumn="1" w:lastColumn="0" w:oddVBand="0" w:evenVBand="0" w:oddHBand="0" w:evenHBand="0" w:firstRowFirstColumn="0" w:firstRowLastColumn="0" w:lastRowFirstColumn="0" w:lastRowLastColumn="0"/>
            <w:tcW w:w="2970" w:type="dxa"/>
            <w:hideMark/>
          </w:tcPr>
          <w:p w14:paraId="0F4AD05A"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Performance status (ECOG)</w:t>
            </w:r>
          </w:p>
        </w:tc>
        <w:tc>
          <w:tcPr>
            <w:tcW w:w="2420" w:type="dxa"/>
            <w:hideMark/>
          </w:tcPr>
          <w:p w14:paraId="4427B4A2" w14:textId="508E68FF"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01D857CC"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18633843"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0-1</w:t>
            </w:r>
          </w:p>
        </w:tc>
        <w:tc>
          <w:tcPr>
            <w:tcW w:w="2420" w:type="dxa"/>
            <w:hideMark/>
          </w:tcPr>
          <w:p w14:paraId="31721D3C"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23 (82)</w:t>
            </w:r>
          </w:p>
        </w:tc>
      </w:tr>
      <w:tr w:rsidR="00DB279F" w:rsidRPr="002A3985" w14:paraId="301295DD"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63ACEE25"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2</w:t>
            </w:r>
          </w:p>
        </w:tc>
        <w:tc>
          <w:tcPr>
            <w:tcW w:w="2420" w:type="dxa"/>
            <w:hideMark/>
          </w:tcPr>
          <w:p w14:paraId="7C38F4C1"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5 (18)</w:t>
            </w:r>
          </w:p>
        </w:tc>
      </w:tr>
      <w:tr w:rsidR="00DB279F" w:rsidRPr="002A3985" w14:paraId="6861EE13"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540BFB9A"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Transfusion-dependent</w:t>
            </w:r>
          </w:p>
        </w:tc>
        <w:tc>
          <w:tcPr>
            <w:tcW w:w="2420" w:type="dxa"/>
            <w:hideMark/>
          </w:tcPr>
          <w:p w14:paraId="6AC02540"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10 (36)</w:t>
            </w:r>
          </w:p>
        </w:tc>
      </w:tr>
      <w:tr w:rsidR="00DB279F" w:rsidRPr="002A3985" w14:paraId="555FBE7E"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0FF74957"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Pre-treatment </w:t>
            </w:r>
          </w:p>
        </w:tc>
        <w:tc>
          <w:tcPr>
            <w:tcW w:w="2420" w:type="dxa"/>
            <w:hideMark/>
          </w:tcPr>
          <w:p w14:paraId="1CC53A71" w14:textId="025EE0F2"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1BFFE535"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551BBF83"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ANC (x109/L)</w:t>
            </w:r>
          </w:p>
        </w:tc>
        <w:tc>
          <w:tcPr>
            <w:tcW w:w="2420" w:type="dxa"/>
            <w:hideMark/>
          </w:tcPr>
          <w:p w14:paraId="248EF955"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1.28 [0.02-24.1]</w:t>
            </w:r>
          </w:p>
        </w:tc>
      </w:tr>
      <w:tr w:rsidR="00DB279F" w:rsidRPr="002A3985" w14:paraId="14C42DFA"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308E5FD"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Hemoglobin (g/dL)</w:t>
            </w:r>
          </w:p>
        </w:tc>
        <w:tc>
          <w:tcPr>
            <w:tcW w:w="2420" w:type="dxa"/>
            <w:hideMark/>
          </w:tcPr>
          <w:p w14:paraId="476BFC8B"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9.2 [7.1-13.1]</w:t>
            </w:r>
          </w:p>
        </w:tc>
      </w:tr>
      <w:tr w:rsidR="00DB279F" w:rsidRPr="002A3985" w14:paraId="0847DDD4" w14:textId="77777777" w:rsidTr="003413F5">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5247C4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Platelets (x109/L)</w:t>
            </w:r>
          </w:p>
        </w:tc>
        <w:tc>
          <w:tcPr>
            <w:tcW w:w="2420" w:type="dxa"/>
            <w:hideMark/>
          </w:tcPr>
          <w:p w14:paraId="23BF9871"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55 [6-520]</w:t>
            </w:r>
          </w:p>
        </w:tc>
      </w:tr>
      <w:tr w:rsidR="00DB279F" w:rsidRPr="002A3985" w14:paraId="24B0C129" w14:textId="77777777" w:rsidTr="003413F5">
        <w:trPr>
          <w:trHeight w:val="223"/>
        </w:trPr>
        <w:tc>
          <w:tcPr>
            <w:cnfStyle w:val="001000000000" w:firstRow="0" w:lastRow="0" w:firstColumn="1" w:lastColumn="0" w:oddVBand="0" w:evenVBand="0" w:oddHBand="0" w:evenHBand="0" w:firstRowFirstColumn="0" w:firstRowLastColumn="0" w:lastRowFirstColumn="0" w:lastRowLastColumn="0"/>
            <w:tcW w:w="2970" w:type="dxa"/>
            <w:hideMark/>
          </w:tcPr>
          <w:p w14:paraId="4815B906"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BM blast %</w:t>
            </w:r>
          </w:p>
        </w:tc>
        <w:tc>
          <w:tcPr>
            <w:tcW w:w="2420" w:type="dxa"/>
            <w:hideMark/>
          </w:tcPr>
          <w:p w14:paraId="0467FF10"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[0-14]</w:t>
            </w:r>
          </w:p>
        </w:tc>
      </w:tr>
      <w:tr w:rsidR="00DB279F" w:rsidRPr="002A3985" w14:paraId="2019163A"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2BEF0C26"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Cytogenetics </w:t>
            </w:r>
          </w:p>
        </w:tc>
        <w:tc>
          <w:tcPr>
            <w:tcW w:w="2420" w:type="dxa"/>
            <w:hideMark/>
          </w:tcPr>
          <w:p w14:paraId="0CB1E7DF" w14:textId="0CE86362"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64C85596"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7D767C18"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Diploid</w:t>
            </w:r>
          </w:p>
        </w:tc>
        <w:tc>
          <w:tcPr>
            <w:tcW w:w="2420" w:type="dxa"/>
            <w:hideMark/>
          </w:tcPr>
          <w:p w14:paraId="45839A6E"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12 (43)</w:t>
            </w:r>
          </w:p>
        </w:tc>
      </w:tr>
      <w:tr w:rsidR="00DB279F" w:rsidRPr="002A3985" w14:paraId="6EFF6FFC"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74883D58"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Complex</w:t>
            </w:r>
          </w:p>
        </w:tc>
        <w:tc>
          <w:tcPr>
            <w:tcW w:w="2420" w:type="dxa"/>
            <w:hideMark/>
          </w:tcPr>
          <w:p w14:paraId="29A661B7"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10 (36)</w:t>
            </w:r>
          </w:p>
        </w:tc>
      </w:tr>
      <w:tr w:rsidR="00DB279F" w:rsidRPr="002A3985" w14:paraId="617007E3"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587813D3"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Other</w:t>
            </w:r>
          </w:p>
        </w:tc>
        <w:tc>
          <w:tcPr>
            <w:tcW w:w="2420" w:type="dxa"/>
            <w:hideMark/>
          </w:tcPr>
          <w:p w14:paraId="119D7A78"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2429D368"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21EB7572"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Molecular mutation panel</w:t>
            </w:r>
          </w:p>
        </w:tc>
        <w:tc>
          <w:tcPr>
            <w:tcW w:w="2420" w:type="dxa"/>
            <w:hideMark/>
          </w:tcPr>
          <w:p w14:paraId="6105520E" w14:textId="4A39544F"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575C1122"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739FFAF8"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ASXL1</w:t>
            </w:r>
          </w:p>
        </w:tc>
        <w:tc>
          <w:tcPr>
            <w:tcW w:w="2420" w:type="dxa"/>
            <w:hideMark/>
          </w:tcPr>
          <w:p w14:paraId="5B6BF327"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14 (50)</w:t>
            </w:r>
          </w:p>
        </w:tc>
      </w:tr>
      <w:tr w:rsidR="00DB279F" w:rsidRPr="002A3985" w14:paraId="602589EE"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020A29C2"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TET2</w:t>
            </w:r>
          </w:p>
        </w:tc>
        <w:tc>
          <w:tcPr>
            <w:tcW w:w="2420" w:type="dxa"/>
            <w:hideMark/>
          </w:tcPr>
          <w:p w14:paraId="5AF0BA3D"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11 (39)</w:t>
            </w:r>
          </w:p>
        </w:tc>
      </w:tr>
      <w:tr w:rsidR="00DB279F" w:rsidRPr="002A3985" w14:paraId="72B4A79B"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B296327"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TP53</w:t>
            </w:r>
          </w:p>
        </w:tc>
        <w:tc>
          <w:tcPr>
            <w:tcW w:w="2420" w:type="dxa"/>
            <w:hideMark/>
          </w:tcPr>
          <w:p w14:paraId="1DCD9408"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10 (36)</w:t>
            </w:r>
          </w:p>
        </w:tc>
      </w:tr>
      <w:tr w:rsidR="00DB279F" w:rsidRPr="002A3985" w14:paraId="459267E2"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78EE810"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RUNX1</w:t>
            </w:r>
          </w:p>
        </w:tc>
        <w:tc>
          <w:tcPr>
            <w:tcW w:w="2420" w:type="dxa"/>
            <w:hideMark/>
          </w:tcPr>
          <w:p w14:paraId="60695FF0"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8 (29)</w:t>
            </w:r>
          </w:p>
        </w:tc>
      </w:tr>
      <w:tr w:rsidR="00DB279F" w:rsidRPr="002A3985" w14:paraId="03725D79"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CA81FF2"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SRSF2</w:t>
            </w:r>
          </w:p>
        </w:tc>
        <w:tc>
          <w:tcPr>
            <w:tcW w:w="2420" w:type="dxa"/>
            <w:hideMark/>
          </w:tcPr>
          <w:p w14:paraId="78DE4E64"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6DC73FC0"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5578AA45"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U2AF1</w:t>
            </w:r>
          </w:p>
        </w:tc>
        <w:tc>
          <w:tcPr>
            <w:tcW w:w="2420" w:type="dxa"/>
            <w:hideMark/>
          </w:tcPr>
          <w:p w14:paraId="11290591"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1FF530BA"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0FE58BCF"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CBL     </w:t>
            </w:r>
          </w:p>
        </w:tc>
        <w:tc>
          <w:tcPr>
            <w:tcW w:w="2420" w:type="dxa"/>
            <w:hideMark/>
          </w:tcPr>
          <w:p w14:paraId="74313CC4"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5 (18)</w:t>
            </w:r>
          </w:p>
        </w:tc>
      </w:tr>
      <w:tr w:rsidR="00DB279F" w:rsidRPr="002A3985" w14:paraId="6D4F66CF"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C5B1D6C"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DNMT3A</w:t>
            </w:r>
          </w:p>
        </w:tc>
        <w:tc>
          <w:tcPr>
            <w:tcW w:w="2420" w:type="dxa"/>
            <w:hideMark/>
          </w:tcPr>
          <w:p w14:paraId="6E848782"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5 (18)</w:t>
            </w:r>
          </w:p>
        </w:tc>
      </w:tr>
      <w:tr w:rsidR="00DB279F" w:rsidRPr="002A3985" w14:paraId="0CE7DFF2"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A27F249"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EZH2</w:t>
            </w:r>
          </w:p>
        </w:tc>
        <w:tc>
          <w:tcPr>
            <w:tcW w:w="2420" w:type="dxa"/>
            <w:hideMark/>
          </w:tcPr>
          <w:p w14:paraId="0986A155"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4 (14)</w:t>
            </w:r>
          </w:p>
        </w:tc>
      </w:tr>
      <w:tr w:rsidR="00DB279F" w:rsidRPr="002A3985" w14:paraId="5FC8E215"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368704E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STAG2</w:t>
            </w:r>
          </w:p>
        </w:tc>
        <w:tc>
          <w:tcPr>
            <w:tcW w:w="2420" w:type="dxa"/>
            <w:hideMark/>
          </w:tcPr>
          <w:p w14:paraId="74D30DE4"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4 (14)</w:t>
            </w:r>
          </w:p>
        </w:tc>
      </w:tr>
      <w:tr w:rsidR="00DB279F" w:rsidRPr="002A3985" w14:paraId="125E3461"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38961C04"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KRAS</w:t>
            </w:r>
          </w:p>
        </w:tc>
        <w:tc>
          <w:tcPr>
            <w:tcW w:w="2420" w:type="dxa"/>
            <w:hideMark/>
          </w:tcPr>
          <w:p w14:paraId="71BD9DDE"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4E70F5CF"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430C21EA"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PTPN11</w:t>
            </w:r>
          </w:p>
        </w:tc>
        <w:tc>
          <w:tcPr>
            <w:tcW w:w="2420" w:type="dxa"/>
            <w:hideMark/>
          </w:tcPr>
          <w:p w14:paraId="437DDC15"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1162D0EE"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5E92DA6B"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IPSS </w:t>
            </w:r>
          </w:p>
        </w:tc>
        <w:tc>
          <w:tcPr>
            <w:tcW w:w="2420" w:type="dxa"/>
            <w:hideMark/>
          </w:tcPr>
          <w:p w14:paraId="42D21B01" w14:textId="146443E4"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62B31C47"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6F5EC97"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Int-1</w:t>
            </w:r>
          </w:p>
        </w:tc>
        <w:tc>
          <w:tcPr>
            <w:tcW w:w="2420" w:type="dxa"/>
            <w:hideMark/>
          </w:tcPr>
          <w:p w14:paraId="7382242F"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15 (54)</w:t>
            </w:r>
          </w:p>
        </w:tc>
      </w:tr>
      <w:tr w:rsidR="00DB279F" w:rsidRPr="002A3985" w14:paraId="39FB31C4"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0C50BDB7"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Int-2</w:t>
            </w:r>
          </w:p>
        </w:tc>
        <w:tc>
          <w:tcPr>
            <w:tcW w:w="2420" w:type="dxa"/>
            <w:hideMark/>
          </w:tcPr>
          <w:p w14:paraId="108ADADE"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10 (36)</w:t>
            </w:r>
          </w:p>
        </w:tc>
      </w:tr>
      <w:tr w:rsidR="00DB279F" w:rsidRPr="002A3985" w14:paraId="39C602FC"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74B1121A"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lastRenderedPageBreak/>
              <w:t xml:space="preserve">      High</w:t>
            </w:r>
          </w:p>
        </w:tc>
        <w:tc>
          <w:tcPr>
            <w:tcW w:w="2420" w:type="dxa"/>
            <w:hideMark/>
          </w:tcPr>
          <w:p w14:paraId="481070D9"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3 (11)</w:t>
            </w:r>
          </w:p>
        </w:tc>
      </w:tr>
      <w:tr w:rsidR="00DB279F" w:rsidRPr="002A3985" w14:paraId="57C50567"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7C6D4254"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IPSS-R</w:t>
            </w:r>
          </w:p>
        </w:tc>
        <w:tc>
          <w:tcPr>
            <w:tcW w:w="2420" w:type="dxa"/>
            <w:hideMark/>
          </w:tcPr>
          <w:p w14:paraId="069686FB"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6E196F26"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3C6D1F6D"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Low</w:t>
            </w:r>
          </w:p>
        </w:tc>
        <w:tc>
          <w:tcPr>
            <w:tcW w:w="2420" w:type="dxa"/>
            <w:hideMark/>
          </w:tcPr>
          <w:p w14:paraId="415B7EBA"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7 (25)</w:t>
            </w:r>
          </w:p>
        </w:tc>
      </w:tr>
      <w:tr w:rsidR="00DB279F" w:rsidRPr="002A3985" w14:paraId="0C14A486"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60C9ECE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Intermediate</w:t>
            </w:r>
          </w:p>
        </w:tc>
        <w:tc>
          <w:tcPr>
            <w:tcW w:w="2420" w:type="dxa"/>
            <w:hideMark/>
          </w:tcPr>
          <w:p w14:paraId="3D91591E"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336CBF5A"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0EF86D3E"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High</w:t>
            </w:r>
          </w:p>
        </w:tc>
        <w:tc>
          <w:tcPr>
            <w:tcW w:w="2420" w:type="dxa"/>
            <w:hideMark/>
          </w:tcPr>
          <w:p w14:paraId="6B839EB7"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6 (21)</w:t>
            </w:r>
          </w:p>
        </w:tc>
      </w:tr>
      <w:tr w:rsidR="00DB279F" w:rsidRPr="002A3985" w14:paraId="5180A698"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6DF5B6AF"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Very High</w:t>
            </w:r>
          </w:p>
        </w:tc>
        <w:tc>
          <w:tcPr>
            <w:tcW w:w="2420" w:type="dxa"/>
            <w:hideMark/>
          </w:tcPr>
          <w:p w14:paraId="066E535C"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9 (32)</w:t>
            </w:r>
          </w:p>
        </w:tc>
      </w:tr>
      <w:tr w:rsidR="00DB279F" w:rsidRPr="002A3985" w14:paraId="43096664"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4F83FB92"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IPSS-M</w:t>
            </w:r>
          </w:p>
        </w:tc>
        <w:tc>
          <w:tcPr>
            <w:tcW w:w="2420" w:type="dxa"/>
            <w:hideMark/>
          </w:tcPr>
          <w:p w14:paraId="1556EE87"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p>
        </w:tc>
      </w:tr>
      <w:tr w:rsidR="00DB279F" w:rsidRPr="002A3985" w14:paraId="63F6EF44"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5AA9F0C1"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Low</w:t>
            </w:r>
          </w:p>
        </w:tc>
        <w:tc>
          <w:tcPr>
            <w:tcW w:w="2420" w:type="dxa"/>
            <w:hideMark/>
          </w:tcPr>
          <w:p w14:paraId="44860191"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 (4)</w:t>
            </w:r>
          </w:p>
        </w:tc>
      </w:tr>
      <w:tr w:rsidR="00DB279F" w:rsidRPr="002A3985" w14:paraId="1389AD19" w14:textId="77777777" w:rsidTr="003413F5">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1345EA82"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Moderate Low</w:t>
            </w:r>
          </w:p>
        </w:tc>
        <w:tc>
          <w:tcPr>
            <w:tcW w:w="2420" w:type="dxa"/>
            <w:hideMark/>
          </w:tcPr>
          <w:p w14:paraId="7C4238CB"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5 (18)</w:t>
            </w:r>
          </w:p>
        </w:tc>
      </w:tr>
      <w:tr w:rsidR="00DB279F" w:rsidRPr="002A3985" w14:paraId="2CDE2D49" w14:textId="77777777" w:rsidTr="003413F5">
        <w:trPr>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23C25A8C"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Moderate High</w:t>
            </w:r>
          </w:p>
        </w:tc>
        <w:tc>
          <w:tcPr>
            <w:tcW w:w="2420" w:type="dxa"/>
            <w:hideMark/>
          </w:tcPr>
          <w:p w14:paraId="721864C1"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 (4)</w:t>
            </w:r>
          </w:p>
        </w:tc>
      </w:tr>
      <w:tr w:rsidR="00DB279F" w:rsidRPr="002A3985" w14:paraId="50159B92" w14:textId="77777777" w:rsidTr="00D31C44">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970" w:type="dxa"/>
            <w:hideMark/>
          </w:tcPr>
          <w:p w14:paraId="627C1605"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High</w:t>
            </w:r>
          </w:p>
        </w:tc>
        <w:tc>
          <w:tcPr>
            <w:tcW w:w="2420" w:type="dxa"/>
            <w:hideMark/>
          </w:tcPr>
          <w:p w14:paraId="4D65A91D" w14:textId="77777777" w:rsidR="00DB279F" w:rsidRPr="003413F5" w:rsidRDefault="00DB279F" w:rsidP="003413F5">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9 (32)</w:t>
            </w:r>
          </w:p>
        </w:tc>
      </w:tr>
      <w:tr w:rsidR="00DB279F" w:rsidRPr="002A3985" w14:paraId="41ADBBD5" w14:textId="77777777" w:rsidTr="00D31C44">
        <w:trPr>
          <w:trHeight w:val="221"/>
        </w:trPr>
        <w:tc>
          <w:tcPr>
            <w:cnfStyle w:val="001000000000" w:firstRow="0" w:lastRow="0" w:firstColumn="1" w:lastColumn="0" w:oddVBand="0" w:evenVBand="0" w:oddHBand="0" w:evenHBand="0" w:firstRowFirstColumn="0" w:firstRowLastColumn="0" w:lastRowFirstColumn="0" w:lastRowLastColumn="0"/>
            <w:tcW w:w="2970" w:type="dxa"/>
            <w:tcBorders>
              <w:bottom w:val="single" w:sz="4" w:space="0" w:color="auto"/>
            </w:tcBorders>
            <w:hideMark/>
          </w:tcPr>
          <w:p w14:paraId="67FE084D" w14:textId="77777777" w:rsidR="00DB279F" w:rsidRPr="003413F5" w:rsidRDefault="00DB279F" w:rsidP="00D0617B">
            <w:pPr>
              <w:spacing w:line="276" w:lineRule="auto"/>
              <w:rPr>
                <w:rFonts w:ascii="Arial" w:eastAsia="Times New Roman" w:hAnsi="Arial" w:cs="Arial"/>
                <w:color w:val="000000"/>
                <w:kern w:val="24"/>
                <w:sz w:val="20"/>
                <w:szCs w:val="20"/>
              </w:rPr>
            </w:pPr>
            <w:r w:rsidRPr="003413F5">
              <w:rPr>
                <w:rFonts w:ascii="Arial" w:eastAsia="Times New Roman" w:hAnsi="Arial" w:cs="Arial"/>
                <w:color w:val="000000"/>
                <w:kern w:val="24"/>
                <w:sz w:val="20"/>
                <w:szCs w:val="20"/>
              </w:rPr>
              <w:t xml:space="preserve">      Very High</w:t>
            </w:r>
          </w:p>
        </w:tc>
        <w:tc>
          <w:tcPr>
            <w:tcW w:w="2420" w:type="dxa"/>
            <w:tcBorders>
              <w:bottom w:val="single" w:sz="4" w:space="0" w:color="auto"/>
            </w:tcBorders>
            <w:hideMark/>
          </w:tcPr>
          <w:p w14:paraId="17917121" w14:textId="77777777" w:rsidR="00DB279F" w:rsidRPr="003413F5" w:rsidRDefault="00DB279F" w:rsidP="003413F5">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24"/>
                <w:sz w:val="20"/>
                <w:szCs w:val="20"/>
              </w:rPr>
            </w:pPr>
            <w:r w:rsidRPr="003413F5">
              <w:rPr>
                <w:rFonts w:ascii="Arial" w:eastAsia="Times New Roman" w:hAnsi="Arial" w:cs="Arial"/>
                <w:b/>
                <w:bCs/>
                <w:color w:val="000000"/>
                <w:kern w:val="24"/>
                <w:sz w:val="20"/>
                <w:szCs w:val="20"/>
              </w:rPr>
              <w:t>12 (43)</w:t>
            </w:r>
          </w:p>
        </w:tc>
      </w:tr>
    </w:tbl>
    <w:p w14:paraId="4F3F0F62" w14:textId="36BFD87F" w:rsidR="00DB279F" w:rsidRDefault="00DB279F">
      <w:pPr>
        <w:rPr>
          <w:rFonts w:ascii="Arial" w:hAnsi="Arial" w:cs="Arial"/>
          <w:b/>
        </w:rPr>
      </w:pPr>
    </w:p>
    <w:p w14:paraId="271DD4B9" w14:textId="658D4D47" w:rsidR="00DB279F" w:rsidRDefault="00DB279F"/>
    <w:p w14:paraId="3E767DB9" w14:textId="39180C72" w:rsidR="00DB279F" w:rsidRPr="004F17A3" w:rsidRDefault="00DB279F" w:rsidP="00DB279F">
      <w:pPr>
        <w:rPr>
          <w:rFonts w:ascii="Arial" w:hAnsi="Arial" w:cs="Arial"/>
          <w:b/>
        </w:rPr>
      </w:pPr>
      <w:r>
        <w:rPr>
          <w:rFonts w:ascii="Arial" w:hAnsi="Arial" w:cs="Arial"/>
          <w:b/>
        </w:rPr>
        <w:t xml:space="preserve">Supplementary </w:t>
      </w:r>
      <w:r w:rsidRPr="00C928B6">
        <w:rPr>
          <w:rFonts w:ascii="Arial" w:hAnsi="Arial" w:cs="Arial"/>
          <w:b/>
        </w:rPr>
        <w:t xml:space="preserve">Table </w:t>
      </w:r>
      <w:r w:rsidR="004F17A3">
        <w:rPr>
          <w:rFonts w:ascii="Arial" w:hAnsi="Arial" w:cs="Arial"/>
          <w:b/>
        </w:rPr>
        <w:t>2</w:t>
      </w:r>
      <w:r w:rsidRPr="00C928B6">
        <w:rPr>
          <w:rFonts w:ascii="Arial" w:hAnsi="Arial" w:cs="Arial"/>
          <w:b/>
        </w:rPr>
        <w:t>:</w:t>
      </w:r>
      <w:r w:rsidR="004F17A3">
        <w:rPr>
          <w:rFonts w:ascii="Arial" w:hAnsi="Arial" w:cs="Arial"/>
          <w:b/>
        </w:rPr>
        <w:t xml:space="preserve"> Summary of patient’s outcome.</w:t>
      </w:r>
    </w:p>
    <w:tbl>
      <w:tblPr>
        <w:tblW w:w="10280" w:type="dxa"/>
        <w:tblCellMar>
          <w:left w:w="0" w:type="dxa"/>
          <w:right w:w="0" w:type="dxa"/>
        </w:tblCellMar>
        <w:tblLook w:val="0600" w:firstRow="0" w:lastRow="0" w:firstColumn="0" w:lastColumn="0" w:noHBand="1" w:noVBand="1"/>
      </w:tblPr>
      <w:tblGrid>
        <w:gridCol w:w="1420"/>
        <w:gridCol w:w="1560"/>
        <w:gridCol w:w="1460"/>
        <w:gridCol w:w="1480"/>
        <w:gridCol w:w="1520"/>
        <w:gridCol w:w="1460"/>
        <w:gridCol w:w="1380"/>
      </w:tblGrid>
      <w:tr w:rsidR="003413F5" w:rsidRPr="003413F5" w14:paraId="7BD3D237" w14:textId="77777777" w:rsidTr="00D31C44">
        <w:trPr>
          <w:trHeight w:val="492"/>
        </w:trPr>
        <w:tc>
          <w:tcPr>
            <w:tcW w:w="142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7B5E3FEE" w14:textId="1DCBAC56"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w:t>
            </w:r>
          </w:p>
        </w:tc>
        <w:tc>
          <w:tcPr>
            <w:tcW w:w="156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69C7948E"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All patients​</w:t>
            </w:r>
          </w:p>
        </w:tc>
        <w:tc>
          <w:tcPr>
            <w:tcW w:w="146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289AF89C"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Treatment naive</w:t>
            </w:r>
          </w:p>
        </w:tc>
        <w:tc>
          <w:tcPr>
            <w:tcW w:w="148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5C403729"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Prior ​</w:t>
            </w:r>
          </w:p>
          <w:p w14:paraId="26910C78"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therapy​</w:t>
            </w:r>
          </w:p>
        </w:tc>
        <w:tc>
          <w:tcPr>
            <w:tcW w:w="152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259812A4" w14:textId="299F1C76"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Complex</w:t>
            </w:r>
          </w:p>
          <w:p w14:paraId="560FD626"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cytogenetics​</w:t>
            </w:r>
          </w:p>
        </w:tc>
        <w:tc>
          <w:tcPr>
            <w:tcW w:w="146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38974EF7"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TP53 mutation​</w:t>
            </w:r>
          </w:p>
        </w:tc>
        <w:tc>
          <w:tcPr>
            <w:tcW w:w="1380" w:type="dxa"/>
            <w:tcBorders>
              <w:top w:val="single" w:sz="8" w:space="0" w:color="A5A5A5"/>
              <w:left w:val="nil"/>
              <w:bottom w:val="single" w:sz="8" w:space="0" w:color="A5A5A5"/>
              <w:right w:val="nil"/>
            </w:tcBorders>
            <w:shd w:val="clear" w:color="auto" w:fill="auto"/>
            <w:tcMar>
              <w:top w:w="54" w:type="dxa"/>
              <w:left w:w="108" w:type="dxa"/>
              <w:bottom w:w="54" w:type="dxa"/>
              <w:right w:w="108" w:type="dxa"/>
            </w:tcMar>
            <w:vAlign w:val="center"/>
            <w:hideMark/>
          </w:tcPr>
          <w:p w14:paraId="1FBD276F" w14:textId="58139DB4"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RTK signaling</w:t>
            </w:r>
          </w:p>
          <w:p w14:paraId="369E8EAA" w14:textId="77777777" w:rsidR="003413F5" w:rsidRPr="003413F5" w:rsidRDefault="003413F5" w:rsidP="00D31C44">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mutation​</w:t>
            </w:r>
          </w:p>
        </w:tc>
      </w:tr>
      <w:tr w:rsidR="003413F5" w:rsidRPr="003413F5" w14:paraId="20D8853D" w14:textId="77777777" w:rsidTr="003413F5">
        <w:trPr>
          <w:trHeight w:val="300"/>
        </w:trPr>
        <w:tc>
          <w:tcPr>
            <w:tcW w:w="142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08348C9B"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N​</w:t>
            </w:r>
          </w:p>
        </w:tc>
        <w:tc>
          <w:tcPr>
            <w:tcW w:w="156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6302DD44"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28​</w:t>
            </w:r>
          </w:p>
        </w:tc>
        <w:tc>
          <w:tcPr>
            <w:tcW w:w="146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7FEF5410"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18</w:t>
            </w:r>
          </w:p>
        </w:tc>
        <w:tc>
          <w:tcPr>
            <w:tcW w:w="148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1B78EC44"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w:t>
            </w:r>
          </w:p>
        </w:tc>
        <w:tc>
          <w:tcPr>
            <w:tcW w:w="152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090CA953"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w:t>
            </w:r>
          </w:p>
        </w:tc>
        <w:tc>
          <w:tcPr>
            <w:tcW w:w="146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45C8869B"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w:t>
            </w:r>
          </w:p>
        </w:tc>
        <w:tc>
          <w:tcPr>
            <w:tcW w:w="1380" w:type="dxa"/>
            <w:tcBorders>
              <w:top w:val="single" w:sz="8" w:space="0" w:color="A5A5A5"/>
              <w:left w:val="nil"/>
              <w:bottom w:val="nil"/>
              <w:right w:val="nil"/>
            </w:tcBorders>
            <w:shd w:val="clear" w:color="auto" w:fill="E7E6E6"/>
            <w:tcMar>
              <w:top w:w="54" w:type="dxa"/>
              <w:left w:w="108" w:type="dxa"/>
              <w:bottom w:w="54" w:type="dxa"/>
              <w:right w:w="108" w:type="dxa"/>
            </w:tcMar>
            <w:hideMark/>
          </w:tcPr>
          <w:p w14:paraId="38E0BDA7"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w:t>
            </w:r>
          </w:p>
        </w:tc>
      </w:tr>
      <w:tr w:rsidR="003413F5" w:rsidRPr="003413F5" w14:paraId="69C1C4C7" w14:textId="77777777" w:rsidTr="003413F5">
        <w:trPr>
          <w:trHeight w:val="300"/>
        </w:trPr>
        <w:tc>
          <w:tcPr>
            <w:tcW w:w="1420" w:type="dxa"/>
            <w:tcBorders>
              <w:top w:val="nil"/>
              <w:left w:val="nil"/>
              <w:bottom w:val="nil"/>
              <w:right w:val="nil"/>
            </w:tcBorders>
            <w:shd w:val="clear" w:color="auto" w:fill="auto"/>
            <w:tcMar>
              <w:top w:w="54" w:type="dxa"/>
              <w:left w:w="108" w:type="dxa"/>
              <w:bottom w:w="54" w:type="dxa"/>
              <w:right w:w="108" w:type="dxa"/>
            </w:tcMar>
            <w:hideMark/>
          </w:tcPr>
          <w:p w14:paraId="2D7C3945"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Response​</w:t>
            </w:r>
          </w:p>
        </w:tc>
        <w:tc>
          <w:tcPr>
            <w:tcW w:w="1560" w:type="dxa"/>
            <w:tcBorders>
              <w:top w:val="nil"/>
              <w:left w:val="nil"/>
              <w:bottom w:val="nil"/>
              <w:right w:val="nil"/>
            </w:tcBorders>
            <w:shd w:val="clear" w:color="auto" w:fill="auto"/>
            <w:tcMar>
              <w:top w:w="54" w:type="dxa"/>
              <w:left w:w="108" w:type="dxa"/>
              <w:bottom w:w="54" w:type="dxa"/>
              <w:right w:w="108" w:type="dxa"/>
            </w:tcMar>
            <w:hideMark/>
          </w:tcPr>
          <w:p w14:paraId="11ADEA2E"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
        </w:tc>
        <w:tc>
          <w:tcPr>
            <w:tcW w:w="1460" w:type="dxa"/>
            <w:tcBorders>
              <w:top w:val="nil"/>
              <w:left w:val="nil"/>
              <w:bottom w:val="nil"/>
              <w:right w:val="nil"/>
            </w:tcBorders>
            <w:shd w:val="clear" w:color="auto" w:fill="auto"/>
            <w:tcMar>
              <w:top w:w="54" w:type="dxa"/>
              <w:left w:w="108" w:type="dxa"/>
              <w:bottom w:w="54" w:type="dxa"/>
              <w:right w:w="108" w:type="dxa"/>
            </w:tcMar>
            <w:hideMark/>
          </w:tcPr>
          <w:p w14:paraId="57FD9F95" w14:textId="77777777" w:rsidR="003413F5" w:rsidRPr="003413F5" w:rsidRDefault="003413F5" w:rsidP="003413F5">
            <w:pPr>
              <w:spacing w:after="0" w:line="240" w:lineRule="auto"/>
              <w:rPr>
                <w:rFonts w:ascii="Arial" w:eastAsia="Times New Roman" w:hAnsi="Arial" w:cs="Arial"/>
                <w:sz w:val="36"/>
                <w:szCs w:val="36"/>
              </w:rPr>
            </w:pPr>
          </w:p>
        </w:tc>
        <w:tc>
          <w:tcPr>
            <w:tcW w:w="1480" w:type="dxa"/>
            <w:tcBorders>
              <w:top w:val="nil"/>
              <w:left w:val="nil"/>
              <w:bottom w:val="nil"/>
              <w:right w:val="nil"/>
            </w:tcBorders>
            <w:shd w:val="clear" w:color="auto" w:fill="auto"/>
            <w:tcMar>
              <w:top w:w="54" w:type="dxa"/>
              <w:left w:w="108" w:type="dxa"/>
              <w:bottom w:w="54" w:type="dxa"/>
              <w:right w:w="108" w:type="dxa"/>
            </w:tcMar>
            <w:hideMark/>
          </w:tcPr>
          <w:p w14:paraId="37DFEBCC"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
        </w:tc>
        <w:tc>
          <w:tcPr>
            <w:tcW w:w="1520" w:type="dxa"/>
            <w:tcBorders>
              <w:top w:val="nil"/>
              <w:left w:val="nil"/>
              <w:bottom w:val="nil"/>
              <w:right w:val="nil"/>
            </w:tcBorders>
            <w:shd w:val="clear" w:color="auto" w:fill="auto"/>
            <w:tcMar>
              <w:top w:w="54" w:type="dxa"/>
              <w:left w:w="108" w:type="dxa"/>
              <w:bottom w:w="54" w:type="dxa"/>
              <w:right w:w="108" w:type="dxa"/>
            </w:tcMar>
            <w:hideMark/>
          </w:tcPr>
          <w:p w14:paraId="2465D4B1"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
        </w:tc>
        <w:tc>
          <w:tcPr>
            <w:tcW w:w="1460" w:type="dxa"/>
            <w:tcBorders>
              <w:top w:val="nil"/>
              <w:left w:val="nil"/>
              <w:bottom w:val="nil"/>
              <w:right w:val="nil"/>
            </w:tcBorders>
            <w:shd w:val="clear" w:color="auto" w:fill="auto"/>
            <w:tcMar>
              <w:top w:w="54" w:type="dxa"/>
              <w:left w:w="108" w:type="dxa"/>
              <w:bottom w:w="54" w:type="dxa"/>
              <w:right w:w="108" w:type="dxa"/>
            </w:tcMar>
            <w:hideMark/>
          </w:tcPr>
          <w:p w14:paraId="719D4D22"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
        </w:tc>
        <w:tc>
          <w:tcPr>
            <w:tcW w:w="1380" w:type="dxa"/>
            <w:tcBorders>
              <w:top w:val="nil"/>
              <w:left w:val="nil"/>
              <w:bottom w:val="nil"/>
              <w:right w:val="nil"/>
            </w:tcBorders>
            <w:shd w:val="clear" w:color="auto" w:fill="auto"/>
            <w:tcMar>
              <w:top w:w="54" w:type="dxa"/>
              <w:left w:w="108" w:type="dxa"/>
              <w:bottom w:w="54" w:type="dxa"/>
              <w:right w:w="108" w:type="dxa"/>
            </w:tcMar>
            <w:hideMark/>
          </w:tcPr>
          <w:p w14:paraId="3AA51274"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
        </w:tc>
      </w:tr>
      <w:tr w:rsidR="003413F5" w:rsidRPr="003413F5" w14:paraId="2368B284" w14:textId="77777777" w:rsidTr="003413F5">
        <w:trPr>
          <w:trHeight w:val="300"/>
        </w:trPr>
        <w:tc>
          <w:tcPr>
            <w:tcW w:w="1420" w:type="dxa"/>
            <w:tcBorders>
              <w:top w:val="nil"/>
              <w:left w:val="nil"/>
              <w:bottom w:val="nil"/>
              <w:right w:val="nil"/>
            </w:tcBorders>
            <w:shd w:val="clear" w:color="auto" w:fill="E7E6E6"/>
            <w:tcMar>
              <w:top w:w="54" w:type="dxa"/>
              <w:left w:w="108" w:type="dxa"/>
              <w:bottom w:w="54" w:type="dxa"/>
              <w:right w:w="108" w:type="dxa"/>
            </w:tcMar>
            <w:hideMark/>
          </w:tcPr>
          <w:p w14:paraId="49A701ED"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CR​</w:t>
            </w:r>
          </w:p>
        </w:tc>
        <w:tc>
          <w:tcPr>
            <w:tcW w:w="1560" w:type="dxa"/>
            <w:tcBorders>
              <w:top w:val="nil"/>
              <w:left w:val="nil"/>
              <w:bottom w:val="nil"/>
              <w:right w:val="nil"/>
            </w:tcBorders>
            <w:shd w:val="clear" w:color="auto" w:fill="E7E6E6"/>
            <w:tcMar>
              <w:top w:w="54" w:type="dxa"/>
              <w:left w:w="108" w:type="dxa"/>
              <w:bottom w:w="54" w:type="dxa"/>
              <w:right w:w="108" w:type="dxa"/>
            </w:tcMar>
            <w:hideMark/>
          </w:tcPr>
          <w:p w14:paraId="2701AFB3"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5 (17.9%)​</w:t>
            </w:r>
          </w:p>
        </w:tc>
        <w:tc>
          <w:tcPr>
            <w:tcW w:w="1460" w:type="dxa"/>
            <w:tcBorders>
              <w:top w:val="nil"/>
              <w:left w:val="nil"/>
              <w:bottom w:val="nil"/>
              <w:right w:val="nil"/>
            </w:tcBorders>
            <w:shd w:val="clear" w:color="auto" w:fill="E7E6E6"/>
            <w:tcMar>
              <w:top w:w="54" w:type="dxa"/>
              <w:left w:w="108" w:type="dxa"/>
              <w:bottom w:w="54" w:type="dxa"/>
              <w:right w:w="108" w:type="dxa"/>
            </w:tcMar>
            <w:hideMark/>
          </w:tcPr>
          <w:p w14:paraId="06BE2E43"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5 (27.7%)</w:t>
            </w:r>
          </w:p>
        </w:tc>
        <w:tc>
          <w:tcPr>
            <w:tcW w:w="1480" w:type="dxa"/>
            <w:tcBorders>
              <w:top w:val="nil"/>
              <w:left w:val="nil"/>
              <w:bottom w:val="nil"/>
              <w:right w:val="nil"/>
            </w:tcBorders>
            <w:shd w:val="clear" w:color="auto" w:fill="E7E6E6"/>
            <w:tcMar>
              <w:top w:w="54" w:type="dxa"/>
              <w:left w:w="108" w:type="dxa"/>
              <w:bottom w:w="54" w:type="dxa"/>
              <w:right w:w="108" w:type="dxa"/>
            </w:tcMar>
            <w:hideMark/>
          </w:tcPr>
          <w:p w14:paraId="490177B6"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0 (0%)​</w:t>
            </w:r>
          </w:p>
        </w:tc>
        <w:tc>
          <w:tcPr>
            <w:tcW w:w="1520" w:type="dxa"/>
            <w:tcBorders>
              <w:top w:val="nil"/>
              <w:left w:val="nil"/>
              <w:bottom w:val="nil"/>
              <w:right w:val="nil"/>
            </w:tcBorders>
            <w:shd w:val="clear" w:color="auto" w:fill="E7E6E6"/>
            <w:tcMar>
              <w:top w:w="54" w:type="dxa"/>
              <w:left w:w="108" w:type="dxa"/>
              <w:bottom w:w="54" w:type="dxa"/>
              <w:right w:w="108" w:type="dxa"/>
            </w:tcMar>
            <w:hideMark/>
          </w:tcPr>
          <w:p w14:paraId="585A63DF"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2 (20%)​</w:t>
            </w:r>
          </w:p>
        </w:tc>
        <w:tc>
          <w:tcPr>
            <w:tcW w:w="1460" w:type="dxa"/>
            <w:tcBorders>
              <w:top w:val="nil"/>
              <w:left w:val="nil"/>
              <w:bottom w:val="nil"/>
              <w:right w:val="nil"/>
            </w:tcBorders>
            <w:shd w:val="clear" w:color="auto" w:fill="E7E6E6"/>
            <w:tcMar>
              <w:top w:w="54" w:type="dxa"/>
              <w:left w:w="108" w:type="dxa"/>
              <w:bottom w:w="54" w:type="dxa"/>
              <w:right w:w="108" w:type="dxa"/>
            </w:tcMar>
            <w:hideMark/>
          </w:tcPr>
          <w:p w14:paraId="1EB64B4A"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 (10%)​</w:t>
            </w:r>
          </w:p>
        </w:tc>
        <w:tc>
          <w:tcPr>
            <w:tcW w:w="1380" w:type="dxa"/>
            <w:tcBorders>
              <w:top w:val="nil"/>
              <w:left w:val="nil"/>
              <w:bottom w:val="nil"/>
              <w:right w:val="nil"/>
            </w:tcBorders>
            <w:shd w:val="clear" w:color="auto" w:fill="E7E6E6"/>
            <w:tcMar>
              <w:top w:w="54" w:type="dxa"/>
              <w:left w:w="108" w:type="dxa"/>
              <w:bottom w:w="54" w:type="dxa"/>
              <w:right w:w="108" w:type="dxa"/>
            </w:tcMar>
            <w:hideMark/>
          </w:tcPr>
          <w:p w14:paraId="5273113A"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(30%)​</w:t>
            </w:r>
          </w:p>
        </w:tc>
      </w:tr>
      <w:tr w:rsidR="003413F5" w:rsidRPr="003413F5" w14:paraId="4DD5AACC" w14:textId="77777777" w:rsidTr="003413F5">
        <w:trPr>
          <w:trHeight w:val="300"/>
        </w:trPr>
        <w:tc>
          <w:tcPr>
            <w:tcW w:w="1420" w:type="dxa"/>
            <w:tcBorders>
              <w:top w:val="nil"/>
              <w:left w:val="nil"/>
              <w:bottom w:val="nil"/>
              <w:right w:val="nil"/>
            </w:tcBorders>
            <w:shd w:val="clear" w:color="auto" w:fill="FFFFFF"/>
            <w:tcMar>
              <w:top w:w="54" w:type="dxa"/>
              <w:left w:w="108" w:type="dxa"/>
              <w:bottom w:w="54" w:type="dxa"/>
              <w:right w:w="108" w:type="dxa"/>
            </w:tcMar>
            <w:hideMark/>
          </w:tcPr>
          <w:p w14:paraId="029540A2"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w:t>
            </w:r>
            <w:proofErr w:type="spellStart"/>
            <w:r w:rsidRPr="003413F5">
              <w:rPr>
                <w:rFonts w:ascii="Arial" w:eastAsia="Times New Roman" w:hAnsi="Arial" w:cs="Arial"/>
                <w:b/>
                <w:bCs/>
                <w:color w:val="000000"/>
                <w:kern w:val="24"/>
                <w:sz w:val="20"/>
                <w:szCs w:val="20"/>
              </w:rPr>
              <w:t>mCR</w:t>
            </w:r>
            <w:proofErr w:type="spellEnd"/>
            <w:r w:rsidRPr="003413F5">
              <w:rPr>
                <w:rFonts w:ascii="Arial" w:eastAsia="Times New Roman" w:hAnsi="Arial" w:cs="Arial"/>
                <w:b/>
                <w:bCs/>
                <w:color w:val="000000"/>
                <w:kern w:val="24"/>
                <w:sz w:val="20"/>
                <w:szCs w:val="20"/>
              </w:rPr>
              <w:t>​</w:t>
            </w:r>
          </w:p>
        </w:tc>
        <w:tc>
          <w:tcPr>
            <w:tcW w:w="1560" w:type="dxa"/>
            <w:tcBorders>
              <w:top w:val="nil"/>
              <w:left w:val="nil"/>
              <w:bottom w:val="nil"/>
              <w:right w:val="nil"/>
            </w:tcBorders>
            <w:shd w:val="clear" w:color="auto" w:fill="FFFFFF"/>
            <w:tcMar>
              <w:top w:w="54" w:type="dxa"/>
              <w:left w:w="108" w:type="dxa"/>
              <w:bottom w:w="54" w:type="dxa"/>
              <w:right w:w="108" w:type="dxa"/>
            </w:tcMar>
            <w:hideMark/>
          </w:tcPr>
          <w:p w14:paraId="32DD2FB0"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 (35.7%)​</w:t>
            </w:r>
          </w:p>
        </w:tc>
        <w:tc>
          <w:tcPr>
            <w:tcW w:w="1460" w:type="dxa"/>
            <w:tcBorders>
              <w:top w:val="nil"/>
              <w:left w:val="nil"/>
              <w:bottom w:val="nil"/>
              <w:right w:val="nil"/>
            </w:tcBorders>
            <w:shd w:val="clear" w:color="auto" w:fill="FFFFFF"/>
            <w:tcMar>
              <w:top w:w="54" w:type="dxa"/>
              <w:left w:w="108" w:type="dxa"/>
              <w:bottom w:w="54" w:type="dxa"/>
              <w:right w:w="108" w:type="dxa"/>
            </w:tcMar>
            <w:hideMark/>
          </w:tcPr>
          <w:p w14:paraId="6A7B4C8D"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5 (27.7%)</w:t>
            </w:r>
          </w:p>
        </w:tc>
        <w:tc>
          <w:tcPr>
            <w:tcW w:w="1480" w:type="dxa"/>
            <w:tcBorders>
              <w:top w:val="nil"/>
              <w:left w:val="nil"/>
              <w:bottom w:val="nil"/>
              <w:right w:val="nil"/>
            </w:tcBorders>
            <w:shd w:val="clear" w:color="auto" w:fill="FFFFFF"/>
            <w:tcMar>
              <w:top w:w="54" w:type="dxa"/>
              <w:left w:w="108" w:type="dxa"/>
              <w:bottom w:w="54" w:type="dxa"/>
              <w:right w:w="108" w:type="dxa"/>
            </w:tcMar>
            <w:hideMark/>
          </w:tcPr>
          <w:p w14:paraId="1734B75C"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5 (50%)​</w:t>
            </w:r>
          </w:p>
        </w:tc>
        <w:tc>
          <w:tcPr>
            <w:tcW w:w="1520" w:type="dxa"/>
            <w:tcBorders>
              <w:top w:val="nil"/>
              <w:left w:val="nil"/>
              <w:bottom w:val="nil"/>
              <w:right w:val="nil"/>
            </w:tcBorders>
            <w:shd w:val="clear" w:color="auto" w:fill="FFFFFF"/>
            <w:tcMar>
              <w:top w:w="54" w:type="dxa"/>
              <w:left w:w="108" w:type="dxa"/>
              <w:bottom w:w="54" w:type="dxa"/>
              <w:right w:w="108" w:type="dxa"/>
            </w:tcMar>
            <w:hideMark/>
          </w:tcPr>
          <w:p w14:paraId="5C6AFABE"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4 (40%)​</w:t>
            </w:r>
          </w:p>
        </w:tc>
        <w:tc>
          <w:tcPr>
            <w:tcW w:w="1460" w:type="dxa"/>
            <w:tcBorders>
              <w:top w:val="nil"/>
              <w:left w:val="nil"/>
              <w:bottom w:val="nil"/>
              <w:right w:val="nil"/>
            </w:tcBorders>
            <w:shd w:val="clear" w:color="auto" w:fill="FFFFFF"/>
            <w:tcMar>
              <w:top w:w="54" w:type="dxa"/>
              <w:left w:w="108" w:type="dxa"/>
              <w:bottom w:w="54" w:type="dxa"/>
              <w:right w:w="108" w:type="dxa"/>
            </w:tcMar>
            <w:hideMark/>
          </w:tcPr>
          <w:p w14:paraId="0F223F51"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4 (40%)​</w:t>
            </w:r>
          </w:p>
        </w:tc>
        <w:tc>
          <w:tcPr>
            <w:tcW w:w="1380" w:type="dxa"/>
            <w:tcBorders>
              <w:top w:val="nil"/>
              <w:left w:val="nil"/>
              <w:bottom w:val="nil"/>
              <w:right w:val="nil"/>
            </w:tcBorders>
            <w:shd w:val="clear" w:color="auto" w:fill="FFFFFF"/>
            <w:tcMar>
              <w:top w:w="54" w:type="dxa"/>
              <w:left w:w="108" w:type="dxa"/>
              <w:bottom w:w="54" w:type="dxa"/>
              <w:right w:w="108" w:type="dxa"/>
            </w:tcMar>
            <w:hideMark/>
          </w:tcPr>
          <w:p w14:paraId="2FE3B64E"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4 (40%)​</w:t>
            </w:r>
          </w:p>
        </w:tc>
      </w:tr>
      <w:tr w:rsidR="003413F5" w:rsidRPr="003413F5" w14:paraId="6D464BDE" w14:textId="77777777" w:rsidTr="003413F5">
        <w:trPr>
          <w:trHeight w:val="300"/>
        </w:trPr>
        <w:tc>
          <w:tcPr>
            <w:tcW w:w="1420" w:type="dxa"/>
            <w:tcBorders>
              <w:top w:val="nil"/>
              <w:left w:val="nil"/>
              <w:bottom w:val="nil"/>
              <w:right w:val="nil"/>
            </w:tcBorders>
            <w:shd w:val="clear" w:color="auto" w:fill="E7E6E6"/>
            <w:tcMar>
              <w:top w:w="54" w:type="dxa"/>
              <w:left w:w="108" w:type="dxa"/>
              <w:bottom w:w="54" w:type="dxa"/>
              <w:right w:w="108" w:type="dxa"/>
            </w:tcMar>
            <w:hideMark/>
          </w:tcPr>
          <w:p w14:paraId="1906337F"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HI​</w:t>
            </w:r>
          </w:p>
        </w:tc>
        <w:tc>
          <w:tcPr>
            <w:tcW w:w="1560" w:type="dxa"/>
            <w:tcBorders>
              <w:top w:val="nil"/>
              <w:left w:val="nil"/>
              <w:bottom w:val="nil"/>
              <w:right w:val="nil"/>
            </w:tcBorders>
            <w:shd w:val="clear" w:color="auto" w:fill="E7E6E6"/>
            <w:tcMar>
              <w:top w:w="54" w:type="dxa"/>
              <w:left w:w="108" w:type="dxa"/>
              <w:bottom w:w="54" w:type="dxa"/>
              <w:right w:w="108" w:type="dxa"/>
            </w:tcMar>
            <w:hideMark/>
          </w:tcPr>
          <w:p w14:paraId="1DF24B62"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(10.7%)​</w:t>
            </w:r>
          </w:p>
        </w:tc>
        <w:tc>
          <w:tcPr>
            <w:tcW w:w="1460" w:type="dxa"/>
            <w:tcBorders>
              <w:top w:val="nil"/>
              <w:left w:val="nil"/>
              <w:bottom w:val="nil"/>
              <w:right w:val="nil"/>
            </w:tcBorders>
            <w:shd w:val="clear" w:color="auto" w:fill="E7E6E6"/>
            <w:tcMar>
              <w:top w:w="54" w:type="dxa"/>
              <w:left w:w="108" w:type="dxa"/>
              <w:bottom w:w="54" w:type="dxa"/>
              <w:right w:w="108" w:type="dxa"/>
            </w:tcMar>
            <w:hideMark/>
          </w:tcPr>
          <w:p w14:paraId="7342A393"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 (5.6%)</w:t>
            </w:r>
          </w:p>
        </w:tc>
        <w:tc>
          <w:tcPr>
            <w:tcW w:w="1480" w:type="dxa"/>
            <w:tcBorders>
              <w:top w:val="nil"/>
              <w:left w:val="nil"/>
              <w:bottom w:val="nil"/>
              <w:right w:val="nil"/>
            </w:tcBorders>
            <w:shd w:val="clear" w:color="auto" w:fill="E7E6E6"/>
            <w:tcMar>
              <w:top w:w="54" w:type="dxa"/>
              <w:left w:w="108" w:type="dxa"/>
              <w:bottom w:w="54" w:type="dxa"/>
              <w:right w:w="108" w:type="dxa"/>
            </w:tcMar>
            <w:hideMark/>
          </w:tcPr>
          <w:p w14:paraId="5E8A2859"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2 (20%)​</w:t>
            </w:r>
          </w:p>
        </w:tc>
        <w:tc>
          <w:tcPr>
            <w:tcW w:w="1520" w:type="dxa"/>
            <w:tcBorders>
              <w:top w:val="nil"/>
              <w:left w:val="nil"/>
              <w:bottom w:val="nil"/>
              <w:right w:val="nil"/>
            </w:tcBorders>
            <w:shd w:val="clear" w:color="auto" w:fill="E7E6E6"/>
            <w:tcMar>
              <w:top w:w="54" w:type="dxa"/>
              <w:left w:w="108" w:type="dxa"/>
              <w:bottom w:w="54" w:type="dxa"/>
              <w:right w:w="108" w:type="dxa"/>
            </w:tcMar>
            <w:hideMark/>
          </w:tcPr>
          <w:p w14:paraId="753AD88A"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 (10%)​</w:t>
            </w:r>
          </w:p>
        </w:tc>
        <w:tc>
          <w:tcPr>
            <w:tcW w:w="1460" w:type="dxa"/>
            <w:tcBorders>
              <w:top w:val="nil"/>
              <w:left w:val="nil"/>
              <w:bottom w:val="nil"/>
              <w:right w:val="nil"/>
            </w:tcBorders>
            <w:shd w:val="clear" w:color="auto" w:fill="E7E6E6"/>
            <w:tcMar>
              <w:top w:w="54" w:type="dxa"/>
              <w:left w:w="108" w:type="dxa"/>
              <w:bottom w:w="54" w:type="dxa"/>
              <w:right w:w="108" w:type="dxa"/>
            </w:tcMar>
            <w:hideMark/>
          </w:tcPr>
          <w:p w14:paraId="6D9209C9"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2 (20%)​</w:t>
            </w:r>
          </w:p>
        </w:tc>
        <w:tc>
          <w:tcPr>
            <w:tcW w:w="1380" w:type="dxa"/>
            <w:tcBorders>
              <w:top w:val="nil"/>
              <w:left w:val="nil"/>
              <w:bottom w:val="nil"/>
              <w:right w:val="nil"/>
            </w:tcBorders>
            <w:shd w:val="clear" w:color="auto" w:fill="E7E6E6"/>
            <w:tcMar>
              <w:top w:w="54" w:type="dxa"/>
              <w:left w:w="108" w:type="dxa"/>
              <w:bottom w:w="54" w:type="dxa"/>
              <w:right w:w="108" w:type="dxa"/>
            </w:tcMar>
            <w:hideMark/>
          </w:tcPr>
          <w:p w14:paraId="168E5457"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0 (0%)​</w:t>
            </w:r>
          </w:p>
        </w:tc>
      </w:tr>
      <w:tr w:rsidR="003413F5" w:rsidRPr="003413F5" w14:paraId="511FBC6F" w14:textId="77777777" w:rsidTr="003413F5">
        <w:trPr>
          <w:trHeight w:val="300"/>
        </w:trPr>
        <w:tc>
          <w:tcPr>
            <w:tcW w:w="1420" w:type="dxa"/>
            <w:tcBorders>
              <w:top w:val="nil"/>
              <w:left w:val="nil"/>
              <w:bottom w:val="nil"/>
              <w:right w:val="nil"/>
            </w:tcBorders>
            <w:shd w:val="clear" w:color="auto" w:fill="FFFFFF"/>
            <w:tcMar>
              <w:top w:w="54" w:type="dxa"/>
              <w:left w:w="108" w:type="dxa"/>
              <w:bottom w:w="54" w:type="dxa"/>
              <w:right w:w="108" w:type="dxa"/>
            </w:tcMar>
            <w:hideMark/>
          </w:tcPr>
          <w:p w14:paraId="3CD981AE"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       NR​</w:t>
            </w:r>
          </w:p>
        </w:tc>
        <w:tc>
          <w:tcPr>
            <w:tcW w:w="1560" w:type="dxa"/>
            <w:tcBorders>
              <w:top w:val="nil"/>
              <w:left w:val="nil"/>
              <w:bottom w:val="nil"/>
              <w:right w:val="nil"/>
            </w:tcBorders>
            <w:shd w:val="clear" w:color="auto" w:fill="FFFFFF"/>
            <w:tcMar>
              <w:top w:w="54" w:type="dxa"/>
              <w:left w:w="108" w:type="dxa"/>
              <w:bottom w:w="54" w:type="dxa"/>
              <w:right w:w="108" w:type="dxa"/>
            </w:tcMar>
            <w:hideMark/>
          </w:tcPr>
          <w:p w14:paraId="7F50B7C4"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10 (35.7%)​</w:t>
            </w:r>
          </w:p>
        </w:tc>
        <w:tc>
          <w:tcPr>
            <w:tcW w:w="1460" w:type="dxa"/>
            <w:tcBorders>
              <w:top w:val="nil"/>
              <w:left w:val="nil"/>
              <w:bottom w:val="nil"/>
              <w:right w:val="nil"/>
            </w:tcBorders>
            <w:shd w:val="clear" w:color="auto" w:fill="FFFFFF"/>
            <w:tcMar>
              <w:top w:w="54" w:type="dxa"/>
              <w:left w:w="108" w:type="dxa"/>
              <w:bottom w:w="54" w:type="dxa"/>
              <w:right w:w="108" w:type="dxa"/>
            </w:tcMar>
            <w:hideMark/>
          </w:tcPr>
          <w:p w14:paraId="56A6C5F3"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7 (38.9%)</w:t>
            </w:r>
          </w:p>
        </w:tc>
        <w:tc>
          <w:tcPr>
            <w:tcW w:w="1480" w:type="dxa"/>
            <w:tcBorders>
              <w:top w:val="nil"/>
              <w:left w:val="nil"/>
              <w:bottom w:val="nil"/>
              <w:right w:val="nil"/>
            </w:tcBorders>
            <w:shd w:val="clear" w:color="auto" w:fill="FFFFFF"/>
            <w:tcMar>
              <w:top w:w="54" w:type="dxa"/>
              <w:left w:w="108" w:type="dxa"/>
              <w:bottom w:w="54" w:type="dxa"/>
              <w:right w:w="108" w:type="dxa"/>
            </w:tcMar>
            <w:hideMark/>
          </w:tcPr>
          <w:p w14:paraId="5704DCE8"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(30%)​</w:t>
            </w:r>
          </w:p>
        </w:tc>
        <w:tc>
          <w:tcPr>
            <w:tcW w:w="1520" w:type="dxa"/>
            <w:tcBorders>
              <w:top w:val="nil"/>
              <w:left w:val="nil"/>
              <w:bottom w:val="nil"/>
              <w:right w:val="nil"/>
            </w:tcBorders>
            <w:shd w:val="clear" w:color="auto" w:fill="FFFFFF"/>
            <w:tcMar>
              <w:top w:w="54" w:type="dxa"/>
              <w:left w:w="108" w:type="dxa"/>
              <w:bottom w:w="54" w:type="dxa"/>
              <w:right w:w="108" w:type="dxa"/>
            </w:tcMar>
            <w:hideMark/>
          </w:tcPr>
          <w:p w14:paraId="709BA41E"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(30%)​</w:t>
            </w:r>
          </w:p>
        </w:tc>
        <w:tc>
          <w:tcPr>
            <w:tcW w:w="1460" w:type="dxa"/>
            <w:tcBorders>
              <w:top w:val="nil"/>
              <w:left w:val="nil"/>
              <w:bottom w:val="nil"/>
              <w:right w:val="nil"/>
            </w:tcBorders>
            <w:shd w:val="clear" w:color="auto" w:fill="FFFFFF"/>
            <w:tcMar>
              <w:top w:w="54" w:type="dxa"/>
              <w:left w:w="108" w:type="dxa"/>
              <w:bottom w:w="54" w:type="dxa"/>
              <w:right w:w="108" w:type="dxa"/>
            </w:tcMar>
            <w:hideMark/>
          </w:tcPr>
          <w:p w14:paraId="1DF40C0F"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(30%)​</w:t>
            </w:r>
          </w:p>
        </w:tc>
        <w:tc>
          <w:tcPr>
            <w:tcW w:w="1380" w:type="dxa"/>
            <w:tcBorders>
              <w:top w:val="nil"/>
              <w:left w:val="nil"/>
              <w:bottom w:val="nil"/>
              <w:right w:val="nil"/>
            </w:tcBorders>
            <w:shd w:val="clear" w:color="auto" w:fill="FFFFFF"/>
            <w:tcMar>
              <w:top w:w="54" w:type="dxa"/>
              <w:left w:w="108" w:type="dxa"/>
              <w:bottom w:w="54" w:type="dxa"/>
              <w:right w:w="108" w:type="dxa"/>
            </w:tcMar>
            <w:hideMark/>
          </w:tcPr>
          <w:p w14:paraId="367F6A5A"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3 (30%)​</w:t>
            </w:r>
          </w:p>
        </w:tc>
      </w:tr>
      <w:tr w:rsidR="003413F5" w:rsidRPr="003413F5" w14:paraId="0051EC67" w14:textId="77777777" w:rsidTr="003413F5">
        <w:trPr>
          <w:trHeight w:val="684"/>
        </w:trPr>
        <w:tc>
          <w:tcPr>
            <w:tcW w:w="1420" w:type="dxa"/>
            <w:tcBorders>
              <w:top w:val="nil"/>
              <w:left w:val="nil"/>
              <w:bottom w:val="nil"/>
              <w:right w:val="nil"/>
            </w:tcBorders>
            <w:shd w:val="clear" w:color="auto" w:fill="E7E6E6"/>
            <w:tcMar>
              <w:top w:w="54" w:type="dxa"/>
              <w:left w:w="108" w:type="dxa"/>
              <w:bottom w:w="54" w:type="dxa"/>
              <w:right w:w="108" w:type="dxa"/>
            </w:tcMar>
            <w:vAlign w:val="center"/>
            <w:hideMark/>
          </w:tcPr>
          <w:p w14:paraId="498CE1F0" w14:textId="77777777" w:rsidR="003413F5" w:rsidRPr="003413F5" w:rsidRDefault="003413F5" w:rsidP="003413F5">
            <w:pPr>
              <w:spacing w:after="0" w:line="240" w:lineRule="auto"/>
              <w:jc w:val="center"/>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Median OS </w:t>
            </w:r>
            <w:r w:rsidRPr="003413F5">
              <w:rPr>
                <w:rFonts w:ascii="Arial" w:eastAsia="Times New Roman" w:hAnsi="Arial" w:cs="Arial"/>
                <w:b/>
                <w:bCs/>
                <w:color w:val="000000"/>
                <w:kern w:val="24"/>
                <w:sz w:val="20"/>
                <w:szCs w:val="20"/>
              </w:rPr>
              <w:br/>
              <w:t>(months)​</w:t>
            </w:r>
          </w:p>
        </w:tc>
        <w:tc>
          <w:tcPr>
            <w:tcW w:w="1560" w:type="dxa"/>
            <w:tcBorders>
              <w:top w:val="nil"/>
              <w:left w:val="nil"/>
              <w:bottom w:val="nil"/>
              <w:right w:val="nil"/>
            </w:tcBorders>
            <w:shd w:val="clear" w:color="auto" w:fill="E7E6E6"/>
            <w:tcMar>
              <w:top w:w="15" w:type="dxa"/>
              <w:left w:w="123" w:type="dxa"/>
              <w:bottom w:w="0" w:type="dxa"/>
              <w:right w:w="123" w:type="dxa"/>
            </w:tcMar>
            <w:vAlign w:val="center"/>
            <w:hideMark/>
          </w:tcPr>
          <w:p w14:paraId="3CC49871"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11.6</w:t>
            </w:r>
          </w:p>
        </w:tc>
        <w:tc>
          <w:tcPr>
            <w:tcW w:w="1460" w:type="dxa"/>
            <w:tcBorders>
              <w:top w:val="nil"/>
              <w:left w:val="nil"/>
              <w:bottom w:val="nil"/>
              <w:right w:val="nil"/>
            </w:tcBorders>
            <w:shd w:val="clear" w:color="auto" w:fill="E7E6E6"/>
            <w:tcMar>
              <w:top w:w="15" w:type="dxa"/>
              <w:left w:w="123" w:type="dxa"/>
              <w:bottom w:w="0" w:type="dxa"/>
              <w:right w:w="123" w:type="dxa"/>
            </w:tcMar>
            <w:vAlign w:val="center"/>
            <w:hideMark/>
          </w:tcPr>
          <w:p w14:paraId="5D19023D"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21.6</w:t>
            </w:r>
          </w:p>
        </w:tc>
        <w:tc>
          <w:tcPr>
            <w:tcW w:w="1480" w:type="dxa"/>
            <w:tcBorders>
              <w:top w:val="nil"/>
              <w:left w:val="nil"/>
              <w:bottom w:val="nil"/>
              <w:right w:val="nil"/>
            </w:tcBorders>
            <w:shd w:val="clear" w:color="auto" w:fill="E7E6E6"/>
            <w:tcMar>
              <w:top w:w="15" w:type="dxa"/>
              <w:left w:w="123" w:type="dxa"/>
              <w:bottom w:w="0" w:type="dxa"/>
              <w:right w:w="123" w:type="dxa"/>
            </w:tcMar>
            <w:vAlign w:val="center"/>
            <w:hideMark/>
          </w:tcPr>
          <w:p w14:paraId="2377BA2D"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6.8</w:t>
            </w:r>
          </w:p>
        </w:tc>
        <w:tc>
          <w:tcPr>
            <w:tcW w:w="1520" w:type="dxa"/>
            <w:tcBorders>
              <w:top w:val="nil"/>
              <w:left w:val="nil"/>
              <w:bottom w:val="nil"/>
              <w:right w:val="nil"/>
            </w:tcBorders>
            <w:shd w:val="clear" w:color="auto" w:fill="E7E6E6"/>
            <w:tcMar>
              <w:top w:w="15" w:type="dxa"/>
              <w:left w:w="123" w:type="dxa"/>
              <w:bottom w:w="0" w:type="dxa"/>
              <w:right w:w="123" w:type="dxa"/>
            </w:tcMar>
            <w:vAlign w:val="center"/>
            <w:hideMark/>
          </w:tcPr>
          <w:p w14:paraId="432E05EC"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10.2</w:t>
            </w:r>
          </w:p>
        </w:tc>
        <w:tc>
          <w:tcPr>
            <w:tcW w:w="1460" w:type="dxa"/>
            <w:tcBorders>
              <w:top w:val="nil"/>
              <w:left w:val="nil"/>
              <w:bottom w:val="nil"/>
              <w:right w:val="nil"/>
            </w:tcBorders>
            <w:shd w:val="clear" w:color="auto" w:fill="E7E6E6"/>
            <w:tcMar>
              <w:top w:w="15" w:type="dxa"/>
              <w:left w:w="123" w:type="dxa"/>
              <w:bottom w:w="0" w:type="dxa"/>
              <w:right w:w="123" w:type="dxa"/>
            </w:tcMar>
            <w:vAlign w:val="center"/>
            <w:hideMark/>
          </w:tcPr>
          <w:p w14:paraId="57A603B4"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6.8</w:t>
            </w:r>
          </w:p>
        </w:tc>
        <w:tc>
          <w:tcPr>
            <w:tcW w:w="1380" w:type="dxa"/>
            <w:tcBorders>
              <w:top w:val="nil"/>
              <w:left w:val="nil"/>
              <w:bottom w:val="nil"/>
              <w:right w:val="nil"/>
            </w:tcBorders>
            <w:shd w:val="clear" w:color="auto" w:fill="E7E6E6"/>
            <w:tcMar>
              <w:top w:w="15" w:type="dxa"/>
              <w:left w:w="123" w:type="dxa"/>
              <w:bottom w:w="0" w:type="dxa"/>
              <w:right w:w="123" w:type="dxa"/>
            </w:tcMar>
            <w:vAlign w:val="center"/>
            <w:hideMark/>
          </w:tcPr>
          <w:p w14:paraId="16E8E97C"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32.2</w:t>
            </w:r>
          </w:p>
        </w:tc>
      </w:tr>
      <w:tr w:rsidR="003413F5" w:rsidRPr="003413F5" w14:paraId="7571C422" w14:textId="77777777" w:rsidTr="003413F5">
        <w:trPr>
          <w:trHeight w:val="300"/>
        </w:trPr>
        <w:tc>
          <w:tcPr>
            <w:tcW w:w="1420" w:type="dxa"/>
            <w:tcBorders>
              <w:top w:val="nil"/>
              <w:left w:val="nil"/>
              <w:bottom w:val="single" w:sz="8" w:space="0" w:color="A5A5A5"/>
              <w:right w:val="nil"/>
            </w:tcBorders>
            <w:shd w:val="clear" w:color="auto" w:fill="FFFFFF"/>
            <w:tcMar>
              <w:top w:w="54" w:type="dxa"/>
              <w:left w:w="108" w:type="dxa"/>
              <w:bottom w:w="54" w:type="dxa"/>
              <w:right w:w="108" w:type="dxa"/>
            </w:tcMar>
            <w:hideMark/>
          </w:tcPr>
          <w:p w14:paraId="61E6E14A" w14:textId="77777777" w:rsidR="003413F5" w:rsidRPr="003413F5" w:rsidRDefault="003413F5" w:rsidP="003413F5">
            <w:pPr>
              <w:spacing w:after="0" w:line="240" w:lineRule="auto"/>
              <w:textAlignment w:val="baseline"/>
              <w:rPr>
                <w:rFonts w:ascii="Arial" w:eastAsia="Times New Roman" w:hAnsi="Arial" w:cs="Arial"/>
                <w:sz w:val="36"/>
                <w:szCs w:val="36"/>
              </w:rPr>
            </w:pPr>
            <w:r w:rsidRPr="003413F5">
              <w:rPr>
                <w:rFonts w:ascii="Arial" w:eastAsia="Times New Roman" w:hAnsi="Arial" w:cs="Arial"/>
                <w:b/>
                <w:bCs/>
                <w:color w:val="000000"/>
                <w:kern w:val="24"/>
                <w:sz w:val="20"/>
                <w:szCs w:val="20"/>
              </w:rPr>
              <w:t>1yr OS​</w:t>
            </w:r>
          </w:p>
        </w:tc>
        <w:tc>
          <w:tcPr>
            <w:tcW w:w="156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715DC4B9"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46.4%</w:t>
            </w:r>
          </w:p>
        </w:tc>
        <w:tc>
          <w:tcPr>
            <w:tcW w:w="146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3550EA90"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61.1%</w:t>
            </w:r>
          </w:p>
        </w:tc>
        <w:tc>
          <w:tcPr>
            <w:tcW w:w="148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7C436BCD"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10%</w:t>
            </w:r>
          </w:p>
        </w:tc>
        <w:tc>
          <w:tcPr>
            <w:tcW w:w="152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418BA157"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20%</w:t>
            </w:r>
          </w:p>
        </w:tc>
        <w:tc>
          <w:tcPr>
            <w:tcW w:w="146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24B968D7"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20%</w:t>
            </w:r>
          </w:p>
        </w:tc>
        <w:tc>
          <w:tcPr>
            <w:tcW w:w="1380" w:type="dxa"/>
            <w:tcBorders>
              <w:top w:val="nil"/>
              <w:left w:val="nil"/>
              <w:bottom w:val="single" w:sz="8" w:space="0" w:color="A5A5A5"/>
              <w:right w:val="nil"/>
            </w:tcBorders>
            <w:shd w:val="clear" w:color="auto" w:fill="FFFFFF"/>
            <w:tcMar>
              <w:top w:w="15" w:type="dxa"/>
              <w:left w:w="123" w:type="dxa"/>
              <w:bottom w:w="0" w:type="dxa"/>
              <w:right w:w="123" w:type="dxa"/>
            </w:tcMar>
            <w:hideMark/>
          </w:tcPr>
          <w:p w14:paraId="77F7B899" w14:textId="77777777" w:rsidR="003413F5" w:rsidRPr="003413F5" w:rsidRDefault="003413F5" w:rsidP="003413F5">
            <w:pPr>
              <w:spacing w:after="0" w:line="240" w:lineRule="auto"/>
              <w:jc w:val="center"/>
              <w:rPr>
                <w:rFonts w:ascii="Arial" w:eastAsia="Times New Roman" w:hAnsi="Arial" w:cs="Arial"/>
                <w:sz w:val="36"/>
                <w:szCs w:val="36"/>
              </w:rPr>
            </w:pPr>
            <w:r w:rsidRPr="003413F5">
              <w:rPr>
                <w:rFonts w:ascii="Arial" w:eastAsia="Times New Roman" w:hAnsi="Arial" w:cs="Arial"/>
                <w:b/>
                <w:bCs/>
                <w:color w:val="000000" w:themeColor="text1"/>
                <w:kern w:val="24"/>
                <w:sz w:val="20"/>
                <w:szCs w:val="20"/>
              </w:rPr>
              <w:t>50%</w:t>
            </w:r>
          </w:p>
        </w:tc>
      </w:tr>
    </w:tbl>
    <w:p w14:paraId="18AD3C2C" w14:textId="5C0C3985" w:rsidR="00DB279F" w:rsidRDefault="00DB279F"/>
    <w:p w14:paraId="26A2C589" w14:textId="77777777" w:rsidR="005201C9" w:rsidRDefault="00666553" w:rsidP="00DB279F">
      <w:pPr>
        <w:pStyle w:val="NoSpacing"/>
        <w:spacing w:line="276" w:lineRule="auto"/>
        <w:rPr>
          <w:rFonts w:ascii="Arial" w:hAnsi="Arial" w:cs="Arial"/>
          <w:b/>
        </w:rPr>
      </w:pP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p>
    <w:p w14:paraId="617E9AAD" w14:textId="77777777" w:rsidR="005201C9" w:rsidRDefault="005201C9">
      <w:pPr>
        <w:rPr>
          <w:rFonts w:ascii="Arial" w:hAnsi="Arial" w:cs="Arial"/>
          <w:b/>
        </w:rPr>
      </w:pPr>
      <w:r>
        <w:rPr>
          <w:rFonts w:ascii="Arial" w:hAnsi="Arial" w:cs="Arial"/>
          <w:b/>
        </w:rPr>
        <w:br w:type="page"/>
      </w:r>
    </w:p>
    <w:p w14:paraId="79B88585" w14:textId="21B52E05" w:rsidR="00DB279F" w:rsidRPr="002A3985" w:rsidRDefault="00DB279F" w:rsidP="00DB279F">
      <w:pPr>
        <w:pStyle w:val="NoSpacing"/>
        <w:spacing w:line="276" w:lineRule="auto"/>
        <w:rPr>
          <w:rFonts w:ascii="Arial" w:hAnsi="Arial" w:cs="Arial"/>
          <w:b/>
        </w:rPr>
      </w:pPr>
      <w:r w:rsidRPr="002A3985">
        <w:rPr>
          <w:rFonts w:ascii="Arial" w:hAnsi="Arial" w:cs="Arial"/>
          <w:b/>
        </w:rPr>
        <w:lastRenderedPageBreak/>
        <w:t>Supplementary Figure Legends:</w:t>
      </w:r>
    </w:p>
    <w:p w14:paraId="58546511" w14:textId="77777777" w:rsidR="004F17A3" w:rsidRDefault="004F17A3" w:rsidP="00DB279F">
      <w:pPr>
        <w:pStyle w:val="NoSpacing"/>
        <w:spacing w:line="276" w:lineRule="auto"/>
        <w:rPr>
          <w:rFonts w:ascii="Arial" w:hAnsi="Arial" w:cs="Arial"/>
          <w:b/>
          <w:bCs/>
        </w:rPr>
      </w:pPr>
    </w:p>
    <w:p w14:paraId="36E73913" w14:textId="41904FDB" w:rsidR="00DB279F" w:rsidRPr="002A3985" w:rsidRDefault="00DB279F" w:rsidP="00DB279F">
      <w:pPr>
        <w:pStyle w:val="NoSpacing"/>
        <w:spacing w:line="276" w:lineRule="auto"/>
        <w:rPr>
          <w:rFonts w:ascii="Arial" w:hAnsi="Arial" w:cs="Arial"/>
        </w:rPr>
      </w:pPr>
      <w:r w:rsidRPr="002A3985">
        <w:rPr>
          <w:rFonts w:ascii="Arial" w:hAnsi="Arial" w:cs="Arial"/>
          <w:b/>
          <w:bCs/>
        </w:rPr>
        <w:t xml:space="preserve">Supplementary Figure 1: </w:t>
      </w:r>
    </w:p>
    <w:p w14:paraId="5F856E2F" w14:textId="62A25720" w:rsidR="00DB279F" w:rsidRPr="002A3985" w:rsidRDefault="00DB279F" w:rsidP="00DB279F">
      <w:pPr>
        <w:pStyle w:val="NoSpacing"/>
        <w:numPr>
          <w:ilvl w:val="0"/>
          <w:numId w:val="2"/>
        </w:numPr>
        <w:spacing w:line="276" w:lineRule="auto"/>
        <w:jc w:val="both"/>
        <w:rPr>
          <w:rFonts w:ascii="Arial" w:hAnsi="Arial" w:cs="Arial"/>
        </w:rPr>
      </w:pPr>
      <w:r w:rsidRPr="002A3985">
        <w:rPr>
          <w:rFonts w:ascii="Arial" w:hAnsi="Arial" w:cs="Arial"/>
        </w:rPr>
        <w:t xml:space="preserve">Validation of knockout efficiency in stable transfected OCI-AML3 cells, generated using shRNA control, puro-GAC plasmid, puro-KGA plasmid, puro-D3 (both isoforms) plasmid with puromycin incubation (3 days, 1 µg/ml). The expression of GAC and KGA in OCIAML </w:t>
      </w:r>
    </w:p>
    <w:p w14:paraId="1CE0EA93" w14:textId="4A053E37" w:rsidR="00DB279F" w:rsidRPr="002A3985" w:rsidRDefault="00DB279F" w:rsidP="00DB279F">
      <w:pPr>
        <w:pStyle w:val="NoSpacing"/>
        <w:numPr>
          <w:ilvl w:val="0"/>
          <w:numId w:val="2"/>
        </w:numPr>
        <w:spacing w:line="276" w:lineRule="auto"/>
        <w:jc w:val="both"/>
        <w:rPr>
          <w:rFonts w:ascii="Arial" w:hAnsi="Arial" w:cs="Arial"/>
        </w:rPr>
      </w:pPr>
      <w:r w:rsidRPr="002A3985">
        <w:rPr>
          <w:rFonts w:ascii="Arial" w:hAnsi="Arial" w:cs="Arial"/>
        </w:rPr>
        <w:t>Evidence of GAC and KGA KO in MV4;11 cells was analyzed by Western blot.</w:t>
      </w:r>
    </w:p>
    <w:p w14:paraId="7B93D9A6" w14:textId="146C66CE" w:rsidR="00DB279F" w:rsidRPr="002A3985" w:rsidRDefault="00DB279F" w:rsidP="00DB279F">
      <w:pPr>
        <w:pStyle w:val="NoSpacing"/>
        <w:numPr>
          <w:ilvl w:val="0"/>
          <w:numId w:val="2"/>
        </w:numPr>
        <w:spacing w:line="276" w:lineRule="auto"/>
        <w:jc w:val="both"/>
        <w:rPr>
          <w:rFonts w:ascii="Arial" w:hAnsi="Arial" w:cs="Arial"/>
        </w:rPr>
      </w:pPr>
      <w:r w:rsidRPr="002A3985">
        <w:rPr>
          <w:rFonts w:ascii="Arial" w:hAnsi="Arial" w:cs="Arial"/>
        </w:rPr>
        <w:t xml:space="preserve">Oxygen consumption rate measured by Seahorse assay conducted in OCIAML3 cells treated with DMSO or </w:t>
      </w:r>
      <w:proofErr w:type="spellStart"/>
      <w:r w:rsidR="00072B79">
        <w:rPr>
          <w:rFonts w:ascii="Arial" w:hAnsi="Arial" w:cs="Arial"/>
        </w:rPr>
        <w:t>t</w:t>
      </w:r>
      <w:r w:rsidR="00356E8B" w:rsidRPr="00356E8B">
        <w:rPr>
          <w:rFonts w:ascii="Arial" w:hAnsi="Arial" w:cs="Arial"/>
        </w:rPr>
        <w:t>elaglenastat</w:t>
      </w:r>
      <w:proofErr w:type="spellEnd"/>
      <w:r w:rsidR="00356E8B">
        <w:rPr>
          <w:rFonts w:ascii="Arial" w:hAnsi="Arial" w:cs="Arial"/>
          <w:b/>
          <w:bCs/>
        </w:rPr>
        <w:t xml:space="preserve"> (</w:t>
      </w:r>
      <w:r w:rsidRPr="002A3985">
        <w:rPr>
          <w:rFonts w:ascii="Arial" w:hAnsi="Arial" w:cs="Arial"/>
        </w:rPr>
        <w:t>CB-839</w:t>
      </w:r>
      <w:r w:rsidR="00356E8B">
        <w:rPr>
          <w:rFonts w:ascii="Arial" w:hAnsi="Arial" w:cs="Arial"/>
        </w:rPr>
        <w:t>)</w:t>
      </w:r>
      <w:r w:rsidRPr="002A3985">
        <w:rPr>
          <w:rFonts w:ascii="Arial" w:hAnsi="Arial" w:cs="Arial"/>
        </w:rPr>
        <w:t xml:space="preserve"> 1 </w:t>
      </w:r>
      <w:proofErr w:type="spellStart"/>
      <w:r w:rsidRPr="002A3985">
        <w:rPr>
          <w:rFonts w:ascii="Arial" w:hAnsi="Arial" w:cs="Arial"/>
        </w:rPr>
        <w:t>uM</w:t>
      </w:r>
      <w:proofErr w:type="spellEnd"/>
      <w:r w:rsidRPr="002A3985">
        <w:rPr>
          <w:rFonts w:ascii="Arial" w:hAnsi="Arial" w:cs="Arial"/>
        </w:rPr>
        <w:t xml:space="preserve">; </w:t>
      </w:r>
      <w:r w:rsidRPr="002A3985">
        <w:rPr>
          <w:rFonts w:ascii="Arial" w:hAnsi="Arial" w:cs="Arial"/>
          <w:b/>
          <w:bCs/>
        </w:rPr>
        <w:t xml:space="preserve">(D) </w:t>
      </w:r>
      <w:r w:rsidRPr="002A3985">
        <w:rPr>
          <w:rFonts w:ascii="Arial" w:hAnsi="Arial" w:cs="Arial"/>
        </w:rPr>
        <w:t xml:space="preserve">in OCIAML3 cells treated with BPTES 20 </w:t>
      </w:r>
      <w:proofErr w:type="spellStart"/>
      <w:r w:rsidRPr="002A3985">
        <w:rPr>
          <w:rFonts w:ascii="Arial" w:hAnsi="Arial" w:cs="Arial"/>
        </w:rPr>
        <w:t>uM</w:t>
      </w:r>
      <w:proofErr w:type="spellEnd"/>
      <w:r w:rsidRPr="002A3985">
        <w:rPr>
          <w:rFonts w:ascii="Arial" w:hAnsi="Arial" w:cs="Arial"/>
        </w:rPr>
        <w:t xml:space="preserve">; or </w:t>
      </w:r>
      <w:r w:rsidRPr="002A3985">
        <w:rPr>
          <w:rFonts w:ascii="Arial" w:hAnsi="Arial" w:cs="Arial"/>
          <w:b/>
          <w:bCs/>
        </w:rPr>
        <w:t xml:space="preserve">(E) </w:t>
      </w:r>
      <w:r w:rsidRPr="002A3985">
        <w:rPr>
          <w:rFonts w:ascii="Arial" w:hAnsi="Arial" w:cs="Arial"/>
        </w:rPr>
        <w:t xml:space="preserve">measured in cells subjected to inducible knockout of GAC/KGA; (n=4, </w:t>
      </w:r>
      <w:proofErr w:type="spellStart"/>
      <w:r w:rsidRPr="002A3985">
        <w:rPr>
          <w:rFonts w:ascii="Arial" w:hAnsi="Arial" w:cs="Arial"/>
        </w:rPr>
        <w:t>mean±SD</w:t>
      </w:r>
      <w:proofErr w:type="spellEnd"/>
      <w:r w:rsidRPr="002A3985">
        <w:rPr>
          <w:rFonts w:ascii="Arial" w:hAnsi="Arial" w:cs="Arial"/>
        </w:rPr>
        <w:t>)</w:t>
      </w:r>
    </w:p>
    <w:p w14:paraId="7211A3BF" w14:textId="4C3A9C0E" w:rsidR="00DB279F" w:rsidRPr="002A3985" w:rsidRDefault="00DB279F" w:rsidP="00DB279F">
      <w:pPr>
        <w:pStyle w:val="NoSpacing"/>
        <w:numPr>
          <w:ilvl w:val="0"/>
          <w:numId w:val="3"/>
        </w:numPr>
        <w:spacing w:line="276" w:lineRule="auto"/>
        <w:jc w:val="both"/>
        <w:rPr>
          <w:rFonts w:ascii="Arial" w:hAnsi="Arial" w:cs="Arial"/>
        </w:rPr>
      </w:pPr>
      <w:r w:rsidRPr="002A3985">
        <w:rPr>
          <w:rFonts w:ascii="Arial" w:hAnsi="Arial" w:cs="Arial"/>
        </w:rPr>
        <w:t xml:space="preserve">Mass spectrometry measurement of UMP and AMP in OCIAML3 cells treated with DMSO or CB-839 1µM for 24 </w:t>
      </w:r>
      <w:proofErr w:type="spellStart"/>
      <w:r w:rsidRPr="002A3985">
        <w:rPr>
          <w:rFonts w:ascii="Arial" w:hAnsi="Arial" w:cs="Arial"/>
        </w:rPr>
        <w:t>hr</w:t>
      </w:r>
      <w:proofErr w:type="spellEnd"/>
      <w:r w:rsidRPr="002A3985">
        <w:rPr>
          <w:rFonts w:ascii="Arial" w:hAnsi="Arial" w:cs="Arial"/>
        </w:rPr>
        <w:t xml:space="preserve">, (n=4, </w:t>
      </w:r>
      <w:proofErr w:type="spellStart"/>
      <w:r w:rsidRPr="002A3985">
        <w:rPr>
          <w:rFonts w:ascii="Arial" w:hAnsi="Arial" w:cs="Arial"/>
        </w:rPr>
        <w:t>mean±SD</w:t>
      </w:r>
      <w:proofErr w:type="spellEnd"/>
      <w:r w:rsidRPr="002A3985">
        <w:rPr>
          <w:rFonts w:ascii="Arial" w:hAnsi="Arial" w:cs="Arial"/>
        </w:rPr>
        <w:t>)</w:t>
      </w:r>
    </w:p>
    <w:p w14:paraId="3C58C93B" w14:textId="77777777" w:rsidR="004F17A3" w:rsidRDefault="004F17A3" w:rsidP="00DB279F">
      <w:pPr>
        <w:pStyle w:val="NoSpacing"/>
        <w:spacing w:line="276" w:lineRule="auto"/>
        <w:rPr>
          <w:rFonts w:ascii="Arial" w:hAnsi="Arial" w:cs="Arial"/>
          <w:b/>
          <w:bCs/>
        </w:rPr>
      </w:pPr>
      <w:bookmarkStart w:id="3" w:name="_Hlk120631031"/>
    </w:p>
    <w:bookmarkEnd w:id="3"/>
    <w:p w14:paraId="49FC704E" w14:textId="08070F33" w:rsidR="00212A89" w:rsidRDefault="00DB279F" w:rsidP="00DB279F">
      <w:pPr>
        <w:pStyle w:val="NoSpacing"/>
        <w:spacing w:line="276" w:lineRule="auto"/>
        <w:rPr>
          <w:rFonts w:ascii="Arial" w:hAnsi="Arial" w:cs="Arial"/>
          <w:b/>
          <w:bCs/>
        </w:rPr>
      </w:pPr>
      <w:r w:rsidRPr="002A3985">
        <w:rPr>
          <w:rFonts w:ascii="Arial" w:hAnsi="Arial" w:cs="Arial"/>
          <w:b/>
          <w:bCs/>
        </w:rPr>
        <w:t xml:space="preserve">Supplementary Figure </w:t>
      </w:r>
      <w:r w:rsidR="0048056C">
        <w:rPr>
          <w:rFonts w:ascii="Arial" w:hAnsi="Arial" w:cs="Arial"/>
          <w:b/>
          <w:bCs/>
        </w:rPr>
        <w:t>2</w:t>
      </w:r>
      <w:r w:rsidRPr="002A3985">
        <w:rPr>
          <w:rFonts w:ascii="Arial" w:hAnsi="Arial" w:cs="Arial"/>
          <w:b/>
          <w:bCs/>
        </w:rPr>
        <w:t>:</w:t>
      </w:r>
    </w:p>
    <w:p w14:paraId="540873AD" w14:textId="60F85510" w:rsidR="00DB279F" w:rsidRDefault="00212A89" w:rsidP="00DB279F">
      <w:pPr>
        <w:pStyle w:val="NoSpacing"/>
        <w:spacing w:line="276" w:lineRule="auto"/>
        <w:rPr>
          <w:rFonts w:ascii="Arial" w:hAnsi="Arial" w:cs="Arial"/>
          <w:b/>
          <w:bCs/>
        </w:rPr>
      </w:pPr>
      <w:r>
        <w:rPr>
          <w:rFonts w:ascii="Arial" w:hAnsi="Arial" w:cs="Arial"/>
          <w:b/>
          <w:bCs/>
        </w:rPr>
        <w:t xml:space="preserve">      </w:t>
      </w:r>
      <w:r>
        <w:rPr>
          <w:rFonts w:ascii="Arial" w:hAnsi="Arial" w:cs="Arial"/>
        </w:rPr>
        <w:t>Patient characteristics displaying mutational status and therapy response.</w:t>
      </w:r>
      <w:r w:rsidR="00814DB8">
        <w:rPr>
          <w:rFonts w:ascii="Arial" w:hAnsi="Arial" w:cs="Arial"/>
        </w:rPr>
        <w:t xml:space="preserve"> Abbreviations:</w:t>
      </w:r>
      <w:r w:rsidR="00814DB8">
        <w:rPr>
          <w:rFonts w:ascii="Arial" w:hAnsi="Arial" w:cs="Arial"/>
        </w:rPr>
        <w:br/>
        <w:t>MDS-MLD-</w:t>
      </w:r>
      <w:r w:rsidR="00425819" w:rsidRPr="00425819">
        <w:rPr>
          <w:rFonts w:ascii="Roboto" w:hAnsi="Roboto"/>
          <w:color w:val="202124"/>
          <w:shd w:val="clear" w:color="auto" w:fill="FFFFFF"/>
        </w:rPr>
        <w:t xml:space="preserve"> </w:t>
      </w:r>
      <w:r w:rsidR="00425819">
        <w:rPr>
          <w:rFonts w:ascii="Roboto" w:hAnsi="Roboto"/>
          <w:color w:val="202124"/>
          <w:shd w:val="clear" w:color="auto" w:fill="FFFFFF"/>
        </w:rPr>
        <w:t>MDS with multilineage dysplasia;</w:t>
      </w:r>
      <w:r w:rsidR="00814DB8">
        <w:rPr>
          <w:rFonts w:ascii="Arial" w:hAnsi="Arial" w:cs="Arial"/>
        </w:rPr>
        <w:t xml:space="preserve"> MDS-RS-MLD-</w:t>
      </w:r>
      <w:r w:rsidR="00425819" w:rsidRPr="00425819">
        <w:t xml:space="preserve"> </w:t>
      </w:r>
      <w:r w:rsidR="00425819" w:rsidRPr="00425819">
        <w:rPr>
          <w:rFonts w:ascii="Arial" w:hAnsi="Arial" w:cs="Arial"/>
        </w:rPr>
        <w:t xml:space="preserve">MDS with multiple lineage dysplasia and ring </w:t>
      </w:r>
      <w:proofErr w:type="spellStart"/>
      <w:r w:rsidR="00425819" w:rsidRPr="00425819">
        <w:rPr>
          <w:rFonts w:ascii="Arial" w:hAnsi="Arial" w:cs="Arial"/>
        </w:rPr>
        <w:t>sideroblasts</w:t>
      </w:r>
      <w:proofErr w:type="spellEnd"/>
      <w:r w:rsidR="00814DB8">
        <w:rPr>
          <w:rFonts w:ascii="Arial" w:hAnsi="Arial" w:cs="Arial"/>
        </w:rPr>
        <w:t>, MDS-EB-</w:t>
      </w:r>
      <w:r w:rsidR="00425819" w:rsidRPr="00425819">
        <w:t xml:space="preserve"> </w:t>
      </w:r>
      <w:r w:rsidR="00425819" w:rsidRPr="00425819">
        <w:rPr>
          <w:rFonts w:ascii="Arial" w:hAnsi="Arial" w:cs="Arial"/>
        </w:rPr>
        <w:t>MDS with excess blasts</w:t>
      </w:r>
      <w:r w:rsidR="00814DB8">
        <w:rPr>
          <w:rFonts w:ascii="Arial" w:hAnsi="Arial" w:cs="Arial"/>
        </w:rPr>
        <w:t xml:space="preserve">, </w:t>
      </w:r>
      <w:r w:rsidR="00425819">
        <w:rPr>
          <w:rFonts w:ascii="Arial" w:hAnsi="Arial" w:cs="Arial"/>
        </w:rPr>
        <w:t>MDS/</w:t>
      </w:r>
      <w:r w:rsidR="00814DB8">
        <w:rPr>
          <w:rFonts w:ascii="Arial" w:hAnsi="Arial" w:cs="Arial"/>
        </w:rPr>
        <w:t>MPN-</w:t>
      </w:r>
      <w:r w:rsidR="00425819" w:rsidRPr="00425819">
        <w:t xml:space="preserve"> </w:t>
      </w:r>
      <w:r w:rsidR="00425819" w:rsidRPr="00425819">
        <w:rPr>
          <w:rFonts w:ascii="Arial" w:hAnsi="Arial" w:cs="Arial"/>
        </w:rPr>
        <w:t>Myelodysplastic/myeloproliferative neoplasms</w:t>
      </w:r>
      <w:r w:rsidR="00814DB8">
        <w:rPr>
          <w:rFonts w:ascii="Arial" w:hAnsi="Arial" w:cs="Arial"/>
        </w:rPr>
        <w:t>, t-MDS-</w:t>
      </w:r>
      <w:r w:rsidR="00425819">
        <w:rPr>
          <w:rFonts w:ascii="Arial" w:hAnsi="Arial" w:cs="Arial"/>
        </w:rPr>
        <w:t>therapy-related MDS</w:t>
      </w:r>
      <w:r w:rsidR="00814DB8">
        <w:rPr>
          <w:rFonts w:ascii="Arial" w:hAnsi="Arial" w:cs="Arial"/>
        </w:rPr>
        <w:t>, CMML-</w:t>
      </w:r>
      <w:r w:rsidR="00425819" w:rsidRPr="00425819">
        <w:t xml:space="preserve"> </w:t>
      </w:r>
      <w:r w:rsidR="00425819" w:rsidRPr="00425819">
        <w:rPr>
          <w:rFonts w:ascii="Arial" w:hAnsi="Arial" w:cs="Arial"/>
        </w:rPr>
        <w:t>Chronic Myelomonocytic Leukemia</w:t>
      </w:r>
      <w:r w:rsidR="00814DB8">
        <w:rPr>
          <w:rFonts w:ascii="Arial" w:hAnsi="Arial" w:cs="Arial"/>
        </w:rPr>
        <w:t>, IPSS-</w:t>
      </w:r>
      <w:r w:rsidR="00425819" w:rsidRPr="00425819">
        <w:t xml:space="preserve"> </w:t>
      </w:r>
      <w:r w:rsidR="00425819" w:rsidRPr="00425819">
        <w:rPr>
          <w:rFonts w:ascii="Arial" w:hAnsi="Arial" w:cs="Arial"/>
        </w:rPr>
        <w:t>International Prognostic Scoring System</w:t>
      </w:r>
      <w:r w:rsidR="00814DB8">
        <w:rPr>
          <w:rFonts w:ascii="Arial" w:hAnsi="Arial" w:cs="Arial"/>
        </w:rPr>
        <w:t xml:space="preserve">, </w:t>
      </w:r>
      <w:r w:rsidR="00425819">
        <w:rPr>
          <w:rFonts w:ascii="Arial" w:hAnsi="Arial" w:cs="Arial"/>
        </w:rPr>
        <w:t>r-IPSS-</w:t>
      </w:r>
      <w:r w:rsidR="00425819" w:rsidRPr="00425819">
        <w:t xml:space="preserve"> </w:t>
      </w:r>
      <w:r w:rsidR="00425819" w:rsidRPr="00425819">
        <w:rPr>
          <w:rFonts w:ascii="Arial" w:hAnsi="Arial" w:cs="Arial"/>
        </w:rPr>
        <w:t>Revised International Prognostic Scoring System</w:t>
      </w:r>
      <w:r w:rsidR="00814DB8">
        <w:rPr>
          <w:rFonts w:ascii="Arial" w:hAnsi="Arial" w:cs="Arial"/>
        </w:rPr>
        <w:t>, CR-</w:t>
      </w:r>
      <w:r w:rsidR="00425819">
        <w:rPr>
          <w:rFonts w:ascii="Arial" w:hAnsi="Arial" w:cs="Arial"/>
        </w:rPr>
        <w:t>complete remission</w:t>
      </w:r>
      <w:r w:rsidR="00814DB8">
        <w:rPr>
          <w:rFonts w:ascii="Arial" w:hAnsi="Arial" w:cs="Arial"/>
        </w:rPr>
        <w:t xml:space="preserve">, </w:t>
      </w:r>
      <w:proofErr w:type="spellStart"/>
      <w:r w:rsidR="00814DB8">
        <w:rPr>
          <w:rFonts w:ascii="Arial" w:hAnsi="Arial" w:cs="Arial"/>
        </w:rPr>
        <w:t>mCR</w:t>
      </w:r>
      <w:proofErr w:type="spellEnd"/>
      <w:r w:rsidR="00814DB8">
        <w:rPr>
          <w:rFonts w:ascii="Arial" w:hAnsi="Arial" w:cs="Arial"/>
        </w:rPr>
        <w:t>-</w:t>
      </w:r>
      <w:r w:rsidR="00425819">
        <w:rPr>
          <w:rFonts w:ascii="Arial" w:hAnsi="Arial" w:cs="Arial"/>
        </w:rPr>
        <w:t>marrow response</w:t>
      </w:r>
      <w:r w:rsidR="00814DB8">
        <w:rPr>
          <w:rFonts w:ascii="Arial" w:hAnsi="Arial" w:cs="Arial"/>
        </w:rPr>
        <w:t>, HI-</w:t>
      </w:r>
      <w:r w:rsidR="00425819">
        <w:rPr>
          <w:rFonts w:ascii="Arial" w:hAnsi="Arial" w:cs="Arial"/>
        </w:rPr>
        <w:t>hematological improvement</w:t>
      </w:r>
      <w:r w:rsidR="00814DB8">
        <w:rPr>
          <w:rFonts w:ascii="Arial" w:hAnsi="Arial" w:cs="Arial"/>
        </w:rPr>
        <w:t>, NR-</w:t>
      </w:r>
      <w:r w:rsidR="00425819">
        <w:rPr>
          <w:rFonts w:ascii="Arial" w:hAnsi="Arial" w:cs="Arial"/>
        </w:rPr>
        <w:t>no response</w:t>
      </w:r>
      <w:r w:rsidR="00814DB8">
        <w:rPr>
          <w:rFonts w:ascii="Arial" w:hAnsi="Arial" w:cs="Arial"/>
        </w:rPr>
        <w:t>, SCT-</w:t>
      </w:r>
      <w:r w:rsidR="00425819">
        <w:rPr>
          <w:rFonts w:ascii="Arial" w:hAnsi="Arial" w:cs="Arial"/>
        </w:rPr>
        <w:t>stem cell transplantation</w:t>
      </w:r>
      <w:r w:rsidR="00814DB8">
        <w:rPr>
          <w:rFonts w:ascii="Arial" w:hAnsi="Arial" w:cs="Arial"/>
        </w:rPr>
        <w:t>.</w:t>
      </w:r>
      <w:r w:rsidRPr="00212A89">
        <w:rPr>
          <w:rFonts w:ascii="Arial" w:hAnsi="Arial" w:cs="Arial"/>
        </w:rPr>
        <w:br/>
      </w:r>
      <w:r w:rsidR="00DB279F" w:rsidRPr="00212A89">
        <w:rPr>
          <w:rFonts w:ascii="Arial" w:hAnsi="Arial" w:cs="Arial"/>
        </w:rPr>
        <w:br/>
      </w:r>
      <w:r w:rsidR="00DB279F" w:rsidRPr="002A3985">
        <w:rPr>
          <w:rFonts w:ascii="Arial" w:hAnsi="Arial" w:cs="Arial"/>
          <w:b/>
          <w:bCs/>
        </w:rPr>
        <w:t xml:space="preserve">Supplementary Figure </w:t>
      </w:r>
      <w:r w:rsidR="0048056C">
        <w:rPr>
          <w:rFonts w:ascii="Arial" w:hAnsi="Arial" w:cs="Arial"/>
          <w:b/>
          <w:bCs/>
        </w:rPr>
        <w:t>3</w:t>
      </w:r>
      <w:r w:rsidR="00DB279F" w:rsidRPr="002A3985">
        <w:rPr>
          <w:rFonts w:ascii="Arial" w:hAnsi="Arial" w:cs="Arial"/>
          <w:b/>
          <w:bCs/>
        </w:rPr>
        <w:t xml:space="preserve">: </w:t>
      </w:r>
    </w:p>
    <w:p w14:paraId="0357669E" w14:textId="33F8BA18" w:rsidR="00814DB8" w:rsidRDefault="00814DB8" w:rsidP="00814DB8">
      <w:pPr>
        <w:pStyle w:val="NoSpacing"/>
        <w:numPr>
          <w:ilvl w:val="0"/>
          <w:numId w:val="5"/>
        </w:numPr>
        <w:spacing w:line="276" w:lineRule="auto"/>
        <w:jc w:val="both"/>
        <w:rPr>
          <w:rFonts w:ascii="Arial" w:hAnsi="Arial" w:cs="Arial"/>
        </w:rPr>
      </w:pPr>
      <w:r w:rsidRPr="00814DB8">
        <w:rPr>
          <w:rFonts w:ascii="Arial" w:hAnsi="Arial" w:cs="Arial"/>
        </w:rPr>
        <w:t>Overall survival</w:t>
      </w:r>
      <w:r>
        <w:rPr>
          <w:rFonts w:ascii="Arial" w:hAnsi="Arial" w:cs="Arial"/>
          <w:b/>
          <w:bCs/>
        </w:rPr>
        <w:t xml:space="preserve"> </w:t>
      </w:r>
      <w:r>
        <w:rPr>
          <w:rFonts w:ascii="Arial" w:hAnsi="Arial" w:cs="Arial"/>
        </w:rPr>
        <w:t xml:space="preserve">of patients with complex </w:t>
      </w:r>
      <w:r w:rsidR="00EF323A">
        <w:rPr>
          <w:rFonts w:ascii="Arial" w:hAnsi="Arial" w:cs="Arial"/>
        </w:rPr>
        <w:t>cytogenetics.</w:t>
      </w:r>
      <w:r>
        <w:rPr>
          <w:rFonts w:ascii="Arial" w:hAnsi="Arial" w:cs="Arial"/>
        </w:rPr>
        <w:t xml:space="preserve"> </w:t>
      </w:r>
    </w:p>
    <w:p w14:paraId="3D9BCF35" w14:textId="4886EA0A" w:rsidR="00814DB8" w:rsidRDefault="00814DB8" w:rsidP="00814DB8">
      <w:pPr>
        <w:pStyle w:val="NoSpacing"/>
        <w:numPr>
          <w:ilvl w:val="0"/>
          <w:numId w:val="5"/>
        </w:numPr>
        <w:spacing w:line="276" w:lineRule="auto"/>
        <w:jc w:val="both"/>
        <w:rPr>
          <w:rFonts w:ascii="Arial" w:hAnsi="Arial" w:cs="Arial"/>
        </w:rPr>
      </w:pPr>
      <w:r w:rsidRPr="00814DB8">
        <w:rPr>
          <w:rFonts w:ascii="Arial" w:hAnsi="Arial" w:cs="Arial"/>
        </w:rPr>
        <w:t>Overall survival</w:t>
      </w:r>
      <w:r>
        <w:rPr>
          <w:rFonts w:ascii="Arial" w:hAnsi="Arial" w:cs="Arial"/>
          <w:b/>
          <w:bCs/>
        </w:rPr>
        <w:t xml:space="preserve"> </w:t>
      </w:r>
      <w:r>
        <w:rPr>
          <w:rFonts w:ascii="Arial" w:hAnsi="Arial" w:cs="Arial"/>
        </w:rPr>
        <w:t xml:space="preserve">of patients with TP53 </w:t>
      </w:r>
      <w:r w:rsidR="00EF323A">
        <w:rPr>
          <w:rFonts w:ascii="Arial" w:hAnsi="Arial" w:cs="Arial"/>
        </w:rPr>
        <w:t>mutation.</w:t>
      </w:r>
      <w:r>
        <w:rPr>
          <w:rFonts w:ascii="Arial" w:hAnsi="Arial" w:cs="Arial"/>
        </w:rPr>
        <w:t xml:space="preserve"> </w:t>
      </w:r>
    </w:p>
    <w:p w14:paraId="4B086189" w14:textId="0C5B0F87" w:rsidR="00814DB8" w:rsidRDefault="00814DB8" w:rsidP="00814DB8">
      <w:pPr>
        <w:pStyle w:val="NoSpacing"/>
        <w:numPr>
          <w:ilvl w:val="0"/>
          <w:numId w:val="5"/>
        </w:numPr>
        <w:spacing w:line="276" w:lineRule="auto"/>
        <w:jc w:val="both"/>
        <w:rPr>
          <w:rFonts w:ascii="Arial" w:hAnsi="Arial" w:cs="Arial"/>
        </w:rPr>
      </w:pPr>
      <w:r>
        <w:rPr>
          <w:rFonts w:ascii="Arial" w:hAnsi="Arial" w:cs="Arial"/>
        </w:rPr>
        <w:t xml:space="preserve">Overall survival of patients harboring mutations in </w:t>
      </w:r>
      <w:r w:rsidR="00EF323A">
        <w:rPr>
          <w:rFonts w:ascii="Arial" w:hAnsi="Arial" w:cs="Arial"/>
        </w:rPr>
        <w:t>receptor tyrosine kinase gene</w:t>
      </w:r>
      <w:r>
        <w:rPr>
          <w:rFonts w:ascii="Arial" w:hAnsi="Arial" w:cs="Arial"/>
        </w:rPr>
        <w:t xml:space="preserve"> (RTK</w:t>
      </w:r>
      <w:proofErr w:type="gramStart"/>
      <w:r>
        <w:rPr>
          <w:rFonts w:ascii="Arial" w:hAnsi="Arial" w:cs="Arial"/>
        </w:rPr>
        <w:t>);</w:t>
      </w:r>
      <w:proofErr w:type="gramEnd"/>
    </w:p>
    <w:p w14:paraId="18373FB9" w14:textId="1DB09F6A" w:rsidR="00EF323A" w:rsidRDefault="00EF323A" w:rsidP="0027559E">
      <w:pPr>
        <w:pStyle w:val="NoSpacing"/>
        <w:numPr>
          <w:ilvl w:val="0"/>
          <w:numId w:val="5"/>
        </w:numPr>
        <w:spacing w:line="276" w:lineRule="auto"/>
        <w:jc w:val="both"/>
        <w:rPr>
          <w:rFonts w:ascii="Arial" w:hAnsi="Arial" w:cs="Arial"/>
        </w:rPr>
      </w:pPr>
      <w:r w:rsidRPr="0027559E">
        <w:rPr>
          <w:rFonts w:ascii="Arial" w:hAnsi="Arial" w:cs="Arial"/>
        </w:rPr>
        <w:t xml:space="preserve">Level of </w:t>
      </w:r>
      <w:proofErr w:type="spellStart"/>
      <w:r w:rsidR="00072B79">
        <w:rPr>
          <w:rFonts w:ascii="Arial" w:hAnsi="Arial" w:cs="Arial"/>
        </w:rPr>
        <w:t>t</w:t>
      </w:r>
      <w:r w:rsidRPr="0027559E">
        <w:rPr>
          <w:rFonts w:ascii="Arial" w:hAnsi="Arial" w:cs="Arial"/>
        </w:rPr>
        <w:t>elaglenastat</w:t>
      </w:r>
      <w:proofErr w:type="spellEnd"/>
      <w:r w:rsidRPr="0027559E">
        <w:rPr>
          <w:rFonts w:ascii="Arial" w:hAnsi="Arial" w:cs="Arial"/>
        </w:rPr>
        <w:t xml:space="preserve"> measured in plasma by LC-MS at indicated timepoints as compared between responders (CR and </w:t>
      </w:r>
      <w:proofErr w:type="spellStart"/>
      <w:r w:rsidRPr="0027559E">
        <w:rPr>
          <w:rFonts w:ascii="Arial" w:hAnsi="Arial" w:cs="Arial"/>
        </w:rPr>
        <w:t>mCR</w:t>
      </w:r>
      <w:proofErr w:type="spellEnd"/>
      <w:r w:rsidRPr="0027559E">
        <w:rPr>
          <w:rFonts w:ascii="Arial" w:hAnsi="Arial" w:cs="Arial"/>
        </w:rPr>
        <w:t xml:space="preserve">), and patients with HI and </w:t>
      </w:r>
      <w:r w:rsidR="008D376B" w:rsidRPr="0027559E">
        <w:rPr>
          <w:rFonts w:ascii="Arial" w:hAnsi="Arial" w:cs="Arial"/>
        </w:rPr>
        <w:t>NR.</w:t>
      </w:r>
    </w:p>
    <w:p w14:paraId="07D8D639" w14:textId="1BE0704A" w:rsidR="00666553" w:rsidRDefault="008D376B" w:rsidP="0027559E">
      <w:pPr>
        <w:pStyle w:val="NoSpacing"/>
        <w:numPr>
          <w:ilvl w:val="0"/>
          <w:numId w:val="5"/>
        </w:numPr>
        <w:spacing w:line="276" w:lineRule="auto"/>
        <w:jc w:val="both"/>
        <w:rPr>
          <w:rFonts w:ascii="Arial" w:hAnsi="Arial" w:cs="Arial"/>
        </w:rPr>
      </w:pPr>
      <w:r w:rsidRPr="0027559E">
        <w:rPr>
          <w:rFonts w:ascii="Arial" w:hAnsi="Arial" w:cs="Arial"/>
        </w:rPr>
        <w:t xml:space="preserve">Dynamic of changes in </w:t>
      </w:r>
      <w:proofErr w:type="spellStart"/>
      <w:r w:rsidR="00072B79">
        <w:rPr>
          <w:rFonts w:ascii="Arial" w:hAnsi="Arial" w:cs="Arial"/>
        </w:rPr>
        <w:t>t</w:t>
      </w:r>
      <w:r w:rsidRPr="0027559E">
        <w:rPr>
          <w:rFonts w:ascii="Arial" w:hAnsi="Arial" w:cs="Arial"/>
        </w:rPr>
        <w:t>elaglenastat</w:t>
      </w:r>
      <w:proofErr w:type="spellEnd"/>
      <w:r w:rsidRPr="0027559E">
        <w:rPr>
          <w:rFonts w:ascii="Arial" w:hAnsi="Arial" w:cs="Arial"/>
        </w:rPr>
        <w:t xml:space="preserve"> level measured in responders and non-responders</w:t>
      </w:r>
      <w:r w:rsidR="0027559E">
        <w:rPr>
          <w:rFonts w:ascii="Arial" w:hAnsi="Arial" w:cs="Arial"/>
        </w:rPr>
        <w:t xml:space="preserve"> at day15 of cycle1, day 1 of cycle 2 and at cycle 4 or later</w:t>
      </w:r>
      <w:r w:rsidRPr="0027559E">
        <w:rPr>
          <w:rFonts w:ascii="Arial" w:hAnsi="Arial" w:cs="Arial"/>
        </w:rPr>
        <w:t xml:space="preserve">. </w:t>
      </w:r>
    </w:p>
    <w:p w14:paraId="487E0B5E" w14:textId="3ECCBC73" w:rsidR="008D376B" w:rsidRPr="0027559E" w:rsidRDefault="008D376B" w:rsidP="00666553">
      <w:pPr>
        <w:pStyle w:val="NoSpacing"/>
        <w:spacing w:line="276" w:lineRule="auto"/>
        <w:ind w:left="720"/>
        <w:jc w:val="both"/>
        <w:rPr>
          <w:rFonts w:ascii="Arial" w:hAnsi="Arial" w:cs="Arial"/>
        </w:rPr>
      </w:pPr>
    </w:p>
    <w:p w14:paraId="3DEC46FD" w14:textId="11DEBDAB" w:rsidR="00DB279F" w:rsidRPr="002A3985" w:rsidRDefault="00DB279F" w:rsidP="00DB279F">
      <w:pPr>
        <w:pStyle w:val="NoSpacing"/>
        <w:spacing w:line="276" w:lineRule="auto"/>
        <w:rPr>
          <w:rFonts w:ascii="Arial" w:hAnsi="Arial" w:cs="Arial"/>
          <w:b/>
          <w:bCs/>
        </w:rPr>
      </w:pPr>
      <w:r w:rsidRPr="002A3985">
        <w:rPr>
          <w:rFonts w:ascii="Arial" w:hAnsi="Arial" w:cs="Arial"/>
          <w:b/>
          <w:bCs/>
        </w:rPr>
        <w:t xml:space="preserve">Supplementary Figure </w:t>
      </w:r>
      <w:r w:rsidR="0048056C">
        <w:rPr>
          <w:rFonts w:ascii="Arial" w:hAnsi="Arial" w:cs="Arial"/>
          <w:b/>
          <w:bCs/>
        </w:rPr>
        <w:t>4</w:t>
      </w:r>
      <w:r w:rsidRPr="002A3985">
        <w:rPr>
          <w:rFonts w:ascii="Arial" w:hAnsi="Arial" w:cs="Arial"/>
          <w:b/>
          <w:bCs/>
        </w:rPr>
        <w:t xml:space="preserve">: </w:t>
      </w:r>
    </w:p>
    <w:p w14:paraId="4C9D9E4B" w14:textId="3113F6CE" w:rsidR="008D376B" w:rsidRPr="002A3985" w:rsidRDefault="008D376B" w:rsidP="008D376B">
      <w:pPr>
        <w:pStyle w:val="NoSpacing"/>
        <w:spacing w:line="276" w:lineRule="auto"/>
        <w:ind w:left="720" w:hanging="360"/>
        <w:rPr>
          <w:rFonts w:ascii="Arial" w:hAnsi="Arial" w:cs="Arial"/>
          <w:bCs/>
        </w:rPr>
      </w:pPr>
      <w:proofErr w:type="spellStart"/>
      <w:r w:rsidRPr="002A3985">
        <w:rPr>
          <w:rFonts w:ascii="Arial" w:hAnsi="Arial" w:cs="Arial"/>
          <w:bCs/>
        </w:rPr>
        <w:t>scRNAseq</w:t>
      </w:r>
      <w:proofErr w:type="spellEnd"/>
      <w:r w:rsidRPr="002A3985">
        <w:rPr>
          <w:rFonts w:ascii="Arial" w:hAnsi="Arial" w:cs="Arial"/>
          <w:bCs/>
        </w:rPr>
        <w:t xml:space="preserve"> was conducted on bone marrow cells from CB</w:t>
      </w:r>
      <w:r>
        <w:rPr>
          <w:rFonts w:ascii="Arial" w:hAnsi="Arial" w:cs="Arial"/>
          <w:bCs/>
        </w:rPr>
        <w:t>839</w:t>
      </w:r>
      <w:r w:rsidRPr="002A3985">
        <w:rPr>
          <w:rFonts w:ascii="Arial" w:hAnsi="Arial" w:cs="Arial"/>
          <w:bCs/>
        </w:rPr>
        <w:t xml:space="preserve"> treated patients</w:t>
      </w:r>
      <w:r w:rsidR="004F17A3">
        <w:rPr>
          <w:rFonts w:ascii="Arial" w:hAnsi="Arial" w:cs="Arial"/>
          <w:bCs/>
        </w:rPr>
        <w:t xml:space="preserve">. </w:t>
      </w:r>
      <w:r w:rsidRPr="002A3985">
        <w:rPr>
          <w:rFonts w:ascii="Arial" w:hAnsi="Arial" w:cs="Arial"/>
          <w:bCs/>
        </w:rPr>
        <w:t>5 clinical responders and 3 non responders were analyzed, and 11 distinct cell populations identified based on gene expression patterns.</w:t>
      </w:r>
    </w:p>
    <w:p w14:paraId="55CE8B9F" w14:textId="13207B1D" w:rsidR="008D376B" w:rsidRDefault="008D376B" w:rsidP="008D376B">
      <w:pPr>
        <w:pStyle w:val="NoSpacing"/>
        <w:spacing w:line="276" w:lineRule="auto"/>
        <w:ind w:left="720"/>
        <w:rPr>
          <w:rFonts w:ascii="Arial" w:hAnsi="Arial" w:cs="Arial"/>
          <w:bCs/>
        </w:rPr>
      </w:pPr>
      <w:r>
        <w:rPr>
          <w:rFonts w:ascii="Arial" w:hAnsi="Arial" w:cs="Arial"/>
          <w:bCs/>
        </w:rPr>
        <w:t>R</w:t>
      </w:r>
      <w:r w:rsidRPr="002A3985">
        <w:rPr>
          <w:rFonts w:ascii="Arial" w:hAnsi="Arial" w:cs="Arial"/>
          <w:bCs/>
        </w:rPr>
        <w:t>epresentative UMAP figures</w:t>
      </w:r>
      <w:r>
        <w:rPr>
          <w:rFonts w:ascii="Arial" w:hAnsi="Arial" w:cs="Arial"/>
          <w:bCs/>
        </w:rPr>
        <w:t xml:space="preserve"> show enrichment of </w:t>
      </w:r>
      <w:r w:rsidRPr="002A3985">
        <w:rPr>
          <w:rFonts w:ascii="Arial" w:hAnsi="Arial" w:cs="Arial"/>
          <w:bCs/>
        </w:rPr>
        <w:t>C</w:t>
      </w:r>
      <w:r>
        <w:rPr>
          <w:rFonts w:ascii="Arial" w:hAnsi="Arial" w:cs="Arial"/>
          <w:bCs/>
        </w:rPr>
        <w:t xml:space="preserve">XCL8 </w:t>
      </w:r>
      <w:r w:rsidRPr="00EF323A">
        <w:rPr>
          <w:rFonts w:ascii="Arial" w:hAnsi="Arial" w:cs="Arial"/>
          <w:b/>
        </w:rPr>
        <w:t>(A)</w:t>
      </w:r>
      <w:r>
        <w:rPr>
          <w:rFonts w:ascii="Arial" w:hAnsi="Arial" w:cs="Arial"/>
          <w:bCs/>
        </w:rPr>
        <w:t xml:space="preserve">, S100A9 </w:t>
      </w:r>
      <w:r w:rsidRPr="00EF323A">
        <w:rPr>
          <w:rFonts w:ascii="Arial" w:hAnsi="Arial" w:cs="Arial"/>
          <w:b/>
        </w:rPr>
        <w:t xml:space="preserve">(B) </w:t>
      </w:r>
      <w:r>
        <w:rPr>
          <w:rFonts w:ascii="Arial" w:hAnsi="Arial" w:cs="Arial"/>
          <w:bCs/>
        </w:rPr>
        <w:t xml:space="preserve">and S100A8 </w:t>
      </w:r>
      <w:r w:rsidRPr="00EF323A">
        <w:rPr>
          <w:rFonts w:ascii="Arial" w:hAnsi="Arial" w:cs="Arial"/>
          <w:b/>
        </w:rPr>
        <w:t>(C)</w:t>
      </w:r>
      <w:r w:rsidRPr="002A3985">
        <w:rPr>
          <w:rFonts w:ascii="Arial" w:hAnsi="Arial" w:cs="Arial"/>
          <w:bCs/>
        </w:rPr>
        <w:t xml:space="preserve"> </w:t>
      </w:r>
      <w:r>
        <w:rPr>
          <w:rFonts w:ascii="Arial" w:hAnsi="Arial" w:cs="Arial"/>
          <w:bCs/>
        </w:rPr>
        <w:t>expression shown between responders and non-responders.</w:t>
      </w:r>
    </w:p>
    <w:p w14:paraId="4951238D" w14:textId="332E435C" w:rsidR="00DB279F" w:rsidRPr="002A3985" w:rsidRDefault="00DB279F" w:rsidP="00DB279F">
      <w:pPr>
        <w:pStyle w:val="NoSpacing"/>
        <w:spacing w:line="276" w:lineRule="auto"/>
        <w:rPr>
          <w:rFonts w:ascii="Arial" w:hAnsi="Arial" w:cs="Arial"/>
          <w:b/>
          <w:bCs/>
        </w:rPr>
      </w:pPr>
    </w:p>
    <w:p w14:paraId="45BCC6DE" w14:textId="77777777" w:rsidR="004F17A3" w:rsidRDefault="004F17A3" w:rsidP="00D31C44">
      <w:pPr>
        <w:pStyle w:val="NoSpacing"/>
        <w:spacing w:line="276" w:lineRule="auto"/>
        <w:rPr>
          <w:rFonts w:ascii="Arial" w:hAnsi="Arial" w:cs="Arial"/>
          <w:b/>
          <w:bCs/>
        </w:rPr>
      </w:pPr>
    </w:p>
    <w:p w14:paraId="4CE7D85D" w14:textId="7CEAD5BB" w:rsidR="00D31C44" w:rsidRPr="003D641A" w:rsidRDefault="00D31C44" w:rsidP="005201C9">
      <w:pPr>
        <w:pStyle w:val="NoSpacing"/>
        <w:spacing w:line="276" w:lineRule="auto"/>
        <w:jc w:val="both"/>
        <w:rPr>
          <w:rFonts w:ascii="Arial" w:hAnsi="Arial" w:cs="Arial"/>
          <w:b/>
          <w:bCs/>
        </w:rPr>
      </w:pPr>
      <w:r w:rsidRPr="003D641A">
        <w:rPr>
          <w:rFonts w:ascii="Arial" w:hAnsi="Arial" w:cs="Arial"/>
          <w:b/>
          <w:bCs/>
        </w:rPr>
        <w:t xml:space="preserve">Supplementary Reference: </w:t>
      </w:r>
    </w:p>
    <w:bookmarkStart w:id="4" w:name="_Hlk123739375"/>
    <w:p w14:paraId="74EB1604" w14:textId="276B0D1F" w:rsidR="00DB279F" w:rsidRPr="005201C9" w:rsidRDefault="00D31C44" w:rsidP="003D641A">
      <w:pPr>
        <w:pStyle w:val="EndNoteBibliography"/>
        <w:ind w:left="720" w:hanging="720"/>
        <w:rPr>
          <w:rFonts w:ascii="Arial" w:hAnsi="Arial"/>
        </w:rPr>
      </w:pPr>
      <w:r w:rsidRPr="005201C9">
        <w:rPr>
          <w:rFonts w:ascii="Arial" w:hAnsi="Arial"/>
        </w:rPr>
        <w:fldChar w:fldCharType="begin"/>
      </w:r>
      <w:r w:rsidRPr="005201C9">
        <w:rPr>
          <w:rFonts w:ascii="Arial" w:hAnsi="Arial"/>
        </w:rPr>
        <w:instrText xml:space="preserve"> ADDIN EN.REFLIST </w:instrText>
      </w:r>
      <w:r w:rsidRPr="005201C9">
        <w:rPr>
          <w:rFonts w:ascii="Arial" w:hAnsi="Arial"/>
        </w:rPr>
        <w:fldChar w:fldCharType="separate"/>
      </w:r>
      <w:r w:rsidR="00666553" w:rsidRPr="005201C9">
        <w:rPr>
          <w:rFonts w:ascii="Arial" w:hAnsi="Arial"/>
        </w:rPr>
        <w:t>1.</w:t>
      </w:r>
      <w:r w:rsidR="00666553" w:rsidRPr="005201C9">
        <w:rPr>
          <w:rFonts w:ascii="Arial" w:hAnsi="Arial"/>
        </w:rPr>
        <w:tab/>
        <w:t>Daemen A, Liu B, Song K, Kwong M, Gao M, Hong R</w:t>
      </w:r>
      <w:r w:rsidR="00666553" w:rsidRPr="005201C9">
        <w:rPr>
          <w:rFonts w:ascii="Arial" w:hAnsi="Arial"/>
          <w:i/>
        </w:rPr>
        <w:t>, et al.</w:t>
      </w:r>
      <w:r w:rsidR="00666553" w:rsidRPr="005201C9">
        <w:rPr>
          <w:rFonts w:ascii="Arial" w:hAnsi="Arial"/>
        </w:rPr>
        <w:t xml:space="preserve"> Pan-Cancer Metabolic Signature Predicts Co-Dependency on Glutaminase and De Novo Glutathione Synthesis Linked to a High-Mesenchymal Cell State. Cell Metab </w:t>
      </w:r>
      <w:r w:rsidR="00666553" w:rsidRPr="005201C9">
        <w:rPr>
          <w:rFonts w:ascii="Arial" w:hAnsi="Arial"/>
          <w:b/>
        </w:rPr>
        <w:t>2018</w:t>
      </w:r>
      <w:r w:rsidR="00666553" w:rsidRPr="005201C9">
        <w:rPr>
          <w:rFonts w:ascii="Arial" w:hAnsi="Arial"/>
        </w:rPr>
        <w:t>;28(3):383-99 e9 doi 10.1016/j.cmet.2018.06.003.</w:t>
      </w:r>
      <w:r w:rsidRPr="005201C9">
        <w:rPr>
          <w:rFonts w:ascii="Arial" w:hAnsi="Arial"/>
        </w:rPr>
        <w:fldChar w:fldCharType="end"/>
      </w:r>
      <w:bookmarkEnd w:id="4"/>
    </w:p>
    <w:sectPr w:rsidR="00DB279F" w:rsidRPr="00520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0DD8"/>
    <w:multiLevelType w:val="hybridMultilevel"/>
    <w:tmpl w:val="BDBECF52"/>
    <w:lvl w:ilvl="0" w:tplc="D1C2A196">
      <w:start w:val="1"/>
      <w:numFmt w:val="upperLetter"/>
      <w:lvlText w:val="(%1)"/>
      <w:lvlJc w:val="left"/>
      <w:pPr>
        <w:tabs>
          <w:tab w:val="num" w:pos="720"/>
        </w:tabs>
        <w:ind w:left="720" w:hanging="360"/>
      </w:pPr>
      <w:rPr>
        <w:b/>
      </w:rPr>
    </w:lvl>
    <w:lvl w:ilvl="1" w:tplc="573622D2" w:tentative="1">
      <w:start w:val="1"/>
      <w:numFmt w:val="upperLetter"/>
      <w:lvlText w:val="(%2)"/>
      <w:lvlJc w:val="left"/>
      <w:pPr>
        <w:tabs>
          <w:tab w:val="num" w:pos="1440"/>
        </w:tabs>
        <w:ind w:left="1440" w:hanging="360"/>
      </w:pPr>
    </w:lvl>
    <w:lvl w:ilvl="2" w:tplc="3814DEE6" w:tentative="1">
      <w:start w:val="1"/>
      <w:numFmt w:val="upperLetter"/>
      <w:lvlText w:val="(%3)"/>
      <w:lvlJc w:val="left"/>
      <w:pPr>
        <w:tabs>
          <w:tab w:val="num" w:pos="2160"/>
        </w:tabs>
        <w:ind w:left="2160" w:hanging="360"/>
      </w:pPr>
    </w:lvl>
    <w:lvl w:ilvl="3" w:tplc="D46607D8" w:tentative="1">
      <w:start w:val="1"/>
      <w:numFmt w:val="upperLetter"/>
      <w:lvlText w:val="(%4)"/>
      <w:lvlJc w:val="left"/>
      <w:pPr>
        <w:tabs>
          <w:tab w:val="num" w:pos="2880"/>
        </w:tabs>
        <w:ind w:left="2880" w:hanging="360"/>
      </w:pPr>
    </w:lvl>
    <w:lvl w:ilvl="4" w:tplc="25766376" w:tentative="1">
      <w:start w:val="1"/>
      <w:numFmt w:val="upperLetter"/>
      <w:lvlText w:val="(%5)"/>
      <w:lvlJc w:val="left"/>
      <w:pPr>
        <w:tabs>
          <w:tab w:val="num" w:pos="3600"/>
        </w:tabs>
        <w:ind w:left="3600" w:hanging="360"/>
      </w:pPr>
    </w:lvl>
    <w:lvl w:ilvl="5" w:tplc="04EC3984" w:tentative="1">
      <w:start w:val="1"/>
      <w:numFmt w:val="upperLetter"/>
      <w:lvlText w:val="(%6)"/>
      <w:lvlJc w:val="left"/>
      <w:pPr>
        <w:tabs>
          <w:tab w:val="num" w:pos="4320"/>
        </w:tabs>
        <w:ind w:left="4320" w:hanging="360"/>
      </w:pPr>
    </w:lvl>
    <w:lvl w:ilvl="6" w:tplc="0F5460D2" w:tentative="1">
      <w:start w:val="1"/>
      <w:numFmt w:val="upperLetter"/>
      <w:lvlText w:val="(%7)"/>
      <w:lvlJc w:val="left"/>
      <w:pPr>
        <w:tabs>
          <w:tab w:val="num" w:pos="5040"/>
        </w:tabs>
        <w:ind w:left="5040" w:hanging="360"/>
      </w:pPr>
    </w:lvl>
    <w:lvl w:ilvl="7" w:tplc="F5F44878" w:tentative="1">
      <w:start w:val="1"/>
      <w:numFmt w:val="upperLetter"/>
      <w:lvlText w:val="(%8)"/>
      <w:lvlJc w:val="left"/>
      <w:pPr>
        <w:tabs>
          <w:tab w:val="num" w:pos="5760"/>
        </w:tabs>
        <w:ind w:left="5760" w:hanging="360"/>
      </w:pPr>
    </w:lvl>
    <w:lvl w:ilvl="8" w:tplc="A0823E4E" w:tentative="1">
      <w:start w:val="1"/>
      <w:numFmt w:val="upperLetter"/>
      <w:lvlText w:val="(%9)"/>
      <w:lvlJc w:val="left"/>
      <w:pPr>
        <w:tabs>
          <w:tab w:val="num" w:pos="6480"/>
        </w:tabs>
        <w:ind w:left="6480" w:hanging="360"/>
      </w:pPr>
    </w:lvl>
  </w:abstractNum>
  <w:abstractNum w:abstractNumId="1" w15:restartNumberingAfterBreak="0">
    <w:nsid w:val="243A0AB0"/>
    <w:multiLevelType w:val="multilevel"/>
    <w:tmpl w:val="5B16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CE3B9D"/>
    <w:multiLevelType w:val="hybridMultilevel"/>
    <w:tmpl w:val="883AB8C4"/>
    <w:lvl w:ilvl="0" w:tplc="8FB82FB4">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DC5B25"/>
    <w:multiLevelType w:val="hybridMultilevel"/>
    <w:tmpl w:val="05CEF7BA"/>
    <w:lvl w:ilvl="0" w:tplc="47EECF22">
      <w:start w:val="1"/>
      <w:numFmt w:val="upperLetter"/>
      <w:lvlText w:val="(%1)"/>
      <w:lvlJc w:val="left"/>
      <w:pPr>
        <w:ind w:left="670" w:hanging="360"/>
      </w:pPr>
      <w:rPr>
        <w:rFonts w:hint="default"/>
        <w:b/>
        <w:bCs/>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4" w15:restartNumberingAfterBreak="0">
    <w:nsid w:val="767F2F95"/>
    <w:multiLevelType w:val="hybridMultilevel"/>
    <w:tmpl w:val="63C27E8A"/>
    <w:lvl w:ilvl="0" w:tplc="7CB6EE84">
      <w:start w:val="6"/>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FC6ABB"/>
    <w:multiLevelType w:val="hybridMultilevel"/>
    <w:tmpl w:val="BDBECF52"/>
    <w:lvl w:ilvl="0" w:tplc="D1C2A196">
      <w:start w:val="1"/>
      <w:numFmt w:val="upperLetter"/>
      <w:lvlText w:val="(%1)"/>
      <w:lvlJc w:val="left"/>
      <w:pPr>
        <w:tabs>
          <w:tab w:val="num" w:pos="720"/>
        </w:tabs>
        <w:ind w:left="720" w:hanging="360"/>
      </w:pPr>
      <w:rPr>
        <w:b/>
      </w:rPr>
    </w:lvl>
    <w:lvl w:ilvl="1" w:tplc="573622D2" w:tentative="1">
      <w:start w:val="1"/>
      <w:numFmt w:val="upperLetter"/>
      <w:lvlText w:val="(%2)"/>
      <w:lvlJc w:val="left"/>
      <w:pPr>
        <w:tabs>
          <w:tab w:val="num" w:pos="1440"/>
        </w:tabs>
        <w:ind w:left="1440" w:hanging="360"/>
      </w:pPr>
    </w:lvl>
    <w:lvl w:ilvl="2" w:tplc="3814DEE6" w:tentative="1">
      <w:start w:val="1"/>
      <w:numFmt w:val="upperLetter"/>
      <w:lvlText w:val="(%3)"/>
      <w:lvlJc w:val="left"/>
      <w:pPr>
        <w:tabs>
          <w:tab w:val="num" w:pos="2160"/>
        </w:tabs>
        <w:ind w:left="2160" w:hanging="360"/>
      </w:pPr>
    </w:lvl>
    <w:lvl w:ilvl="3" w:tplc="D46607D8" w:tentative="1">
      <w:start w:val="1"/>
      <w:numFmt w:val="upperLetter"/>
      <w:lvlText w:val="(%4)"/>
      <w:lvlJc w:val="left"/>
      <w:pPr>
        <w:tabs>
          <w:tab w:val="num" w:pos="2880"/>
        </w:tabs>
        <w:ind w:left="2880" w:hanging="360"/>
      </w:pPr>
    </w:lvl>
    <w:lvl w:ilvl="4" w:tplc="25766376" w:tentative="1">
      <w:start w:val="1"/>
      <w:numFmt w:val="upperLetter"/>
      <w:lvlText w:val="(%5)"/>
      <w:lvlJc w:val="left"/>
      <w:pPr>
        <w:tabs>
          <w:tab w:val="num" w:pos="3600"/>
        </w:tabs>
        <w:ind w:left="3600" w:hanging="360"/>
      </w:pPr>
    </w:lvl>
    <w:lvl w:ilvl="5" w:tplc="04EC3984" w:tentative="1">
      <w:start w:val="1"/>
      <w:numFmt w:val="upperLetter"/>
      <w:lvlText w:val="(%6)"/>
      <w:lvlJc w:val="left"/>
      <w:pPr>
        <w:tabs>
          <w:tab w:val="num" w:pos="4320"/>
        </w:tabs>
        <w:ind w:left="4320" w:hanging="360"/>
      </w:pPr>
    </w:lvl>
    <w:lvl w:ilvl="6" w:tplc="0F5460D2" w:tentative="1">
      <w:start w:val="1"/>
      <w:numFmt w:val="upperLetter"/>
      <w:lvlText w:val="(%7)"/>
      <w:lvlJc w:val="left"/>
      <w:pPr>
        <w:tabs>
          <w:tab w:val="num" w:pos="5040"/>
        </w:tabs>
        <w:ind w:left="5040" w:hanging="360"/>
      </w:pPr>
    </w:lvl>
    <w:lvl w:ilvl="7" w:tplc="F5F44878" w:tentative="1">
      <w:start w:val="1"/>
      <w:numFmt w:val="upperLetter"/>
      <w:lvlText w:val="(%8)"/>
      <w:lvlJc w:val="left"/>
      <w:pPr>
        <w:tabs>
          <w:tab w:val="num" w:pos="5760"/>
        </w:tabs>
        <w:ind w:left="5760" w:hanging="360"/>
      </w:pPr>
    </w:lvl>
    <w:lvl w:ilvl="8" w:tplc="A0823E4E" w:tentative="1">
      <w:start w:val="1"/>
      <w:numFmt w:val="upperLetter"/>
      <w:lvlText w:val="(%9)"/>
      <w:lvlJc w:val="left"/>
      <w:pPr>
        <w:tabs>
          <w:tab w:val="num" w:pos="6480"/>
        </w:tabs>
        <w:ind w:left="6480" w:hanging="360"/>
      </w:pPr>
    </w:lvl>
  </w:abstractNum>
  <w:abstractNum w:abstractNumId="6" w15:restartNumberingAfterBreak="0">
    <w:nsid w:val="7FA35259"/>
    <w:multiLevelType w:val="hybridMultilevel"/>
    <w:tmpl w:val="BDBECF52"/>
    <w:lvl w:ilvl="0" w:tplc="D1C2A196">
      <w:start w:val="1"/>
      <w:numFmt w:val="upperLetter"/>
      <w:lvlText w:val="(%1)"/>
      <w:lvlJc w:val="left"/>
      <w:pPr>
        <w:tabs>
          <w:tab w:val="num" w:pos="720"/>
        </w:tabs>
        <w:ind w:left="720" w:hanging="360"/>
      </w:pPr>
      <w:rPr>
        <w:b/>
      </w:rPr>
    </w:lvl>
    <w:lvl w:ilvl="1" w:tplc="573622D2" w:tentative="1">
      <w:start w:val="1"/>
      <w:numFmt w:val="upperLetter"/>
      <w:lvlText w:val="(%2)"/>
      <w:lvlJc w:val="left"/>
      <w:pPr>
        <w:tabs>
          <w:tab w:val="num" w:pos="1440"/>
        </w:tabs>
        <w:ind w:left="1440" w:hanging="360"/>
      </w:pPr>
    </w:lvl>
    <w:lvl w:ilvl="2" w:tplc="3814DEE6" w:tentative="1">
      <w:start w:val="1"/>
      <w:numFmt w:val="upperLetter"/>
      <w:lvlText w:val="(%3)"/>
      <w:lvlJc w:val="left"/>
      <w:pPr>
        <w:tabs>
          <w:tab w:val="num" w:pos="2160"/>
        </w:tabs>
        <w:ind w:left="2160" w:hanging="360"/>
      </w:pPr>
    </w:lvl>
    <w:lvl w:ilvl="3" w:tplc="D46607D8" w:tentative="1">
      <w:start w:val="1"/>
      <w:numFmt w:val="upperLetter"/>
      <w:lvlText w:val="(%4)"/>
      <w:lvlJc w:val="left"/>
      <w:pPr>
        <w:tabs>
          <w:tab w:val="num" w:pos="2880"/>
        </w:tabs>
        <w:ind w:left="2880" w:hanging="360"/>
      </w:pPr>
    </w:lvl>
    <w:lvl w:ilvl="4" w:tplc="25766376" w:tentative="1">
      <w:start w:val="1"/>
      <w:numFmt w:val="upperLetter"/>
      <w:lvlText w:val="(%5)"/>
      <w:lvlJc w:val="left"/>
      <w:pPr>
        <w:tabs>
          <w:tab w:val="num" w:pos="3600"/>
        </w:tabs>
        <w:ind w:left="3600" w:hanging="360"/>
      </w:pPr>
    </w:lvl>
    <w:lvl w:ilvl="5" w:tplc="04EC3984" w:tentative="1">
      <w:start w:val="1"/>
      <w:numFmt w:val="upperLetter"/>
      <w:lvlText w:val="(%6)"/>
      <w:lvlJc w:val="left"/>
      <w:pPr>
        <w:tabs>
          <w:tab w:val="num" w:pos="4320"/>
        </w:tabs>
        <w:ind w:left="4320" w:hanging="360"/>
      </w:pPr>
    </w:lvl>
    <w:lvl w:ilvl="6" w:tplc="0F5460D2" w:tentative="1">
      <w:start w:val="1"/>
      <w:numFmt w:val="upperLetter"/>
      <w:lvlText w:val="(%7)"/>
      <w:lvlJc w:val="left"/>
      <w:pPr>
        <w:tabs>
          <w:tab w:val="num" w:pos="5040"/>
        </w:tabs>
        <w:ind w:left="5040" w:hanging="360"/>
      </w:pPr>
    </w:lvl>
    <w:lvl w:ilvl="7" w:tplc="F5F44878" w:tentative="1">
      <w:start w:val="1"/>
      <w:numFmt w:val="upperLetter"/>
      <w:lvlText w:val="(%8)"/>
      <w:lvlJc w:val="left"/>
      <w:pPr>
        <w:tabs>
          <w:tab w:val="num" w:pos="5760"/>
        </w:tabs>
        <w:ind w:left="5760" w:hanging="360"/>
      </w:pPr>
    </w:lvl>
    <w:lvl w:ilvl="8" w:tplc="A0823E4E" w:tentative="1">
      <w:start w:val="1"/>
      <w:numFmt w:val="upperLetter"/>
      <w:lvlText w:val="(%9)"/>
      <w:lvlJc w:val="left"/>
      <w:pPr>
        <w:tabs>
          <w:tab w:val="num" w:pos="6480"/>
        </w:tabs>
        <w:ind w:left="6480" w:hanging="360"/>
      </w:p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ancer Discover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24E90"/>
    <w:rsid w:val="0001309C"/>
    <w:rsid w:val="000217E1"/>
    <w:rsid w:val="00044790"/>
    <w:rsid w:val="000459F5"/>
    <w:rsid w:val="00072B79"/>
    <w:rsid w:val="00137B2C"/>
    <w:rsid w:val="00201338"/>
    <w:rsid w:val="00212A89"/>
    <w:rsid w:val="00245111"/>
    <w:rsid w:val="00274BFC"/>
    <w:rsid w:val="0027559E"/>
    <w:rsid w:val="003413F5"/>
    <w:rsid w:val="00356E8B"/>
    <w:rsid w:val="00382C8A"/>
    <w:rsid w:val="003D16D5"/>
    <w:rsid w:val="003D641A"/>
    <w:rsid w:val="00417B2B"/>
    <w:rsid w:val="00425819"/>
    <w:rsid w:val="0048056C"/>
    <w:rsid w:val="004A54DA"/>
    <w:rsid w:val="004B056F"/>
    <w:rsid w:val="004F17A3"/>
    <w:rsid w:val="005017E1"/>
    <w:rsid w:val="00513D5D"/>
    <w:rsid w:val="005201C9"/>
    <w:rsid w:val="005A57D1"/>
    <w:rsid w:val="00612816"/>
    <w:rsid w:val="00666553"/>
    <w:rsid w:val="006E781D"/>
    <w:rsid w:val="00704689"/>
    <w:rsid w:val="00814DB8"/>
    <w:rsid w:val="00821791"/>
    <w:rsid w:val="008646E6"/>
    <w:rsid w:val="008D376B"/>
    <w:rsid w:val="008E3510"/>
    <w:rsid w:val="009412F7"/>
    <w:rsid w:val="00960C80"/>
    <w:rsid w:val="00A115C2"/>
    <w:rsid w:val="00A35649"/>
    <w:rsid w:val="00AC34A5"/>
    <w:rsid w:val="00AD049D"/>
    <w:rsid w:val="00AD268C"/>
    <w:rsid w:val="00B0211C"/>
    <w:rsid w:val="00B065E2"/>
    <w:rsid w:val="00B24E90"/>
    <w:rsid w:val="00B8247B"/>
    <w:rsid w:val="00B87E9E"/>
    <w:rsid w:val="00BC68B8"/>
    <w:rsid w:val="00BF042C"/>
    <w:rsid w:val="00D11857"/>
    <w:rsid w:val="00D31C44"/>
    <w:rsid w:val="00D35F3C"/>
    <w:rsid w:val="00D63B27"/>
    <w:rsid w:val="00DB279F"/>
    <w:rsid w:val="00E22295"/>
    <w:rsid w:val="00E82D4F"/>
    <w:rsid w:val="00E93E29"/>
    <w:rsid w:val="00EB5F1B"/>
    <w:rsid w:val="00EF323A"/>
    <w:rsid w:val="00EF3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5009"/>
  <w15:chartTrackingRefBased/>
  <w15:docId w15:val="{90041495-9042-46DF-B0AA-19D2BFCC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7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274BFC"/>
    <w:pPr>
      <w:spacing w:line="240" w:lineRule="auto"/>
      <w:jc w:val="both"/>
    </w:pPr>
    <w:rPr>
      <w:rFonts w:ascii="Calibri" w:hAnsi="Calibri" w:cs="Calibri"/>
    </w:rPr>
  </w:style>
  <w:style w:type="character" w:customStyle="1" w:styleId="EndNoteBibliographyChar">
    <w:name w:val="EndNote Bibliography Char"/>
    <w:basedOn w:val="DefaultParagraphFont"/>
    <w:link w:val="EndNoteBibliography"/>
    <w:rsid w:val="00274BFC"/>
    <w:rPr>
      <w:rFonts w:ascii="Calibri" w:hAnsi="Calibri" w:cs="Calibri"/>
    </w:rPr>
  </w:style>
  <w:style w:type="paragraph" w:customStyle="1" w:styleId="EndNoteBibliographyTitle">
    <w:name w:val="EndNote Bibliography Title"/>
    <w:basedOn w:val="Normal"/>
    <w:link w:val="EndNoteBibliographyTitleChar"/>
    <w:rsid w:val="00274BFC"/>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274BFC"/>
    <w:rPr>
      <w:rFonts w:ascii="Calibri" w:hAnsi="Calibri" w:cs="Calibri"/>
    </w:rPr>
  </w:style>
  <w:style w:type="character" w:styleId="EndnoteReference">
    <w:name w:val="endnote reference"/>
    <w:basedOn w:val="DefaultParagraphFont"/>
    <w:uiPriority w:val="99"/>
    <w:semiHidden/>
    <w:unhideWhenUsed/>
    <w:rsid w:val="00274BFC"/>
    <w:rPr>
      <w:vertAlign w:val="superscript"/>
    </w:rPr>
  </w:style>
  <w:style w:type="paragraph" w:styleId="EndnoteText">
    <w:name w:val="endnote text"/>
    <w:basedOn w:val="Normal"/>
    <w:link w:val="EndnoteTextChar"/>
    <w:uiPriority w:val="99"/>
    <w:semiHidden/>
    <w:unhideWhenUsed/>
    <w:rsid w:val="00274B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74BFC"/>
    <w:rPr>
      <w:sz w:val="20"/>
      <w:szCs w:val="20"/>
    </w:rPr>
  </w:style>
  <w:style w:type="paragraph" w:styleId="NoSpacing">
    <w:name w:val="No Spacing"/>
    <w:link w:val="NoSpacingChar"/>
    <w:uiPriority w:val="1"/>
    <w:qFormat/>
    <w:rsid w:val="00B24E90"/>
    <w:pPr>
      <w:spacing w:after="0" w:line="240" w:lineRule="auto"/>
    </w:pPr>
  </w:style>
  <w:style w:type="character" w:customStyle="1" w:styleId="NoSpacingChar">
    <w:name w:val="No Spacing Char"/>
    <w:basedOn w:val="DefaultParagraphFont"/>
    <w:link w:val="NoSpacing"/>
    <w:uiPriority w:val="1"/>
    <w:rsid w:val="00B24E90"/>
  </w:style>
  <w:style w:type="character" w:styleId="CommentReference">
    <w:name w:val="annotation reference"/>
    <w:basedOn w:val="DefaultParagraphFont"/>
    <w:uiPriority w:val="99"/>
    <w:semiHidden/>
    <w:unhideWhenUsed/>
    <w:rsid w:val="00B24E90"/>
    <w:rPr>
      <w:sz w:val="16"/>
      <w:szCs w:val="16"/>
    </w:rPr>
  </w:style>
  <w:style w:type="paragraph" w:styleId="CommentText">
    <w:name w:val="annotation text"/>
    <w:basedOn w:val="Normal"/>
    <w:link w:val="CommentTextChar"/>
    <w:uiPriority w:val="99"/>
    <w:unhideWhenUsed/>
    <w:rsid w:val="00B24E90"/>
    <w:pPr>
      <w:spacing w:line="240" w:lineRule="auto"/>
    </w:pPr>
    <w:rPr>
      <w:sz w:val="20"/>
      <w:szCs w:val="20"/>
    </w:rPr>
  </w:style>
  <w:style w:type="character" w:customStyle="1" w:styleId="CommentTextChar">
    <w:name w:val="Comment Text Char"/>
    <w:basedOn w:val="DefaultParagraphFont"/>
    <w:link w:val="CommentText"/>
    <w:uiPriority w:val="99"/>
    <w:rsid w:val="00B24E90"/>
    <w:rPr>
      <w:sz w:val="20"/>
      <w:szCs w:val="20"/>
    </w:rPr>
  </w:style>
  <w:style w:type="table" w:styleId="PlainTable4">
    <w:name w:val="Plain Table 4"/>
    <w:basedOn w:val="TableNormal"/>
    <w:uiPriority w:val="44"/>
    <w:rsid w:val="00DB27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3413F5"/>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14DB8"/>
    <w:rPr>
      <w:b/>
      <w:bCs/>
    </w:rPr>
  </w:style>
  <w:style w:type="character" w:customStyle="1" w:styleId="CommentSubjectChar">
    <w:name w:val="Comment Subject Char"/>
    <w:basedOn w:val="CommentTextChar"/>
    <w:link w:val="CommentSubject"/>
    <w:uiPriority w:val="99"/>
    <w:semiHidden/>
    <w:rsid w:val="00814DB8"/>
    <w:rPr>
      <w:b/>
      <w:bCs/>
      <w:sz w:val="20"/>
      <w:szCs w:val="20"/>
    </w:rPr>
  </w:style>
  <w:style w:type="paragraph" w:styleId="Revision">
    <w:name w:val="Revision"/>
    <w:hidden/>
    <w:uiPriority w:val="99"/>
    <w:semiHidden/>
    <w:rsid w:val="008E3510"/>
    <w:pPr>
      <w:spacing w:after="0" w:line="240" w:lineRule="auto"/>
    </w:pPr>
  </w:style>
  <w:style w:type="character" w:styleId="Hyperlink">
    <w:name w:val="Hyperlink"/>
    <w:basedOn w:val="DefaultParagraphFont"/>
    <w:uiPriority w:val="99"/>
    <w:semiHidden/>
    <w:unhideWhenUsed/>
    <w:rsid w:val="005201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981372">
      <w:bodyDiv w:val="1"/>
      <w:marLeft w:val="0"/>
      <w:marRight w:val="0"/>
      <w:marTop w:val="0"/>
      <w:marBottom w:val="0"/>
      <w:divBdr>
        <w:top w:val="none" w:sz="0" w:space="0" w:color="auto"/>
        <w:left w:val="none" w:sz="0" w:space="0" w:color="auto"/>
        <w:bottom w:val="none" w:sz="0" w:space="0" w:color="auto"/>
        <w:right w:val="none" w:sz="0" w:space="0" w:color="auto"/>
      </w:divBdr>
    </w:div>
    <w:div w:id="1398935125">
      <w:bodyDiv w:val="1"/>
      <w:marLeft w:val="0"/>
      <w:marRight w:val="0"/>
      <w:marTop w:val="0"/>
      <w:marBottom w:val="0"/>
      <w:divBdr>
        <w:top w:val="none" w:sz="0" w:space="0" w:color="auto"/>
        <w:left w:val="none" w:sz="0" w:space="0" w:color="auto"/>
        <w:bottom w:val="none" w:sz="0" w:space="0" w:color="auto"/>
        <w:right w:val="none" w:sz="0" w:space="0" w:color="auto"/>
      </w:divBdr>
    </w:div>
    <w:div w:id="1484930905">
      <w:bodyDiv w:val="1"/>
      <w:marLeft w:val="0"/>
      <w:marRight w:val="0"/>
      <w:marTop w:val="0"/>
      <w:marBottom w:val="0"/>
      <w:divBdr>
        <w:top w:val="none" w:sz="0" w:space="0" w:color="auto"/>
        <w:left w:val="none" w:sz="0" w:space="0" w:color="auto"/>
        <w:bottom w:val="none" w:sz="0" w:space="0" w:color="auto"/>
        <w:right w:val="none" w:sz="0" w:space="0" w:color="auto"/>
      </w:divBdr>
    </w:div>
    <w:div w:id="1590042315">
      <w:bodyDiv w:val="1"/>
      <w:marLeft w:val="0"/>
      <w:marRight w:val="0"/>
      <w:marTop w:val="0"/>
      <w:marBottom w:val="0"/>
      <w:divBdr>
        <w:top w:val="none" w:sz="0" w:space="0" w:color="auto"/>
        <w:left w:val="none" w:sz="0" w:space="0" w:color="auto"/>
        <w:bottom w:val="none" w:sz="0" w:space="0" w:color="auto"/>
        <w:right w:val="none" w:sz="0" w:space="0" w:color="auto"/>
      </w:divBdr>
    </w:div>
    <w:div w:id="1849439485">
      <w:bodyDiv w:val="1"/>
      <w:marLeft w:val="0"/>
      <w:marRight w:val="0"/>
      <w:marTop w:val="0"/>
      <w:marBottom w:val="0"/>
      <w:divBdr>
        <w:top w:val="none" w:sz="0" w:space="0" w:color="auto"/>
        <w:left w:val="none" w:sz="0" w:space="0" w:color="auto"/>
        <w:bottom w:val="none" w:sz="0" w:space="0" w:color="auto"/>
        <w:right w:val="none" w:sz="0" w:space="0" w:color="auto"/>
      </w:divBdr>
    </w:div>
    <w:div w:id="207940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author/N.-Daver/145819669" TargetMode="External"/><Relationship Id="rId3" Type="http://schemas.openxmlformats.org/officeDocument/2006/relationships/styles" Target="styles.xml"/><Relationship Id="rId7" Type="http://schemas.openxmlformats.org/officeDocument/2006/relationships/hyperlink" Target="https://www.semanticscholar.org/author/S.-Kornblau/2684688"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manticscholar.org/author/Vinitha-M-Kuruvilla/1385108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emanticscholar.org/author/N.-Short/2068784" TargetMode="External"/><Relationship Id="rId4" Type="http://schemas.openxmlformats.org/officeDocument/2006/relationships/settings" Target="settings.xml"/><Relationship Id="rId9" Type="http://schemas.openxmlformats.org/officeDocument/2006/relationships/hyperlink" Target="https://www.semanticscholar.org/author/K.-Naqvi/398886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FC70C-C9CF-486D-8A8E-D6828BFB6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Baran,Natalia</dc:creator>
  <cp:keywords/>
  <dc:description/>
  <cp:lastModifiedBy>Baran,Natalia</cp:lastModifiedBy>
  <cp:revision>2</cp:revision>
  <dcterms:created xsi:type="dcterms:W3CDTF">2023-01-26T21:59:00Z</dcterms:created>
  <dcterms:modified xsi:type="dcterms:W3CDTF">2023-01-26T21:59:00Z</dcterms:modified>
</cp:coreProperties>
</file>