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01507E" w14:textId="58FD1F2D" w:rsidR="00D45335" w:rsidRPr="00F07882" w:rsidRDefault="00D45335" w:rsidP="008D6BD1">
      <w:pPr>
        <w:pStyle w:val="Podtytu"/>
        <w:spacing w:line="360" w:lineRule="auto"/>
        <w:rPr>
          <w:rFonts w:cstheme="minorHAnsi"/>
          <w:b/>
          <w:bCs/>
          <w:lang w:val="en-GB"/>
        </w:rPr>
      </w:pPr>
      <w:r w:rsidRPr="00F07882">
        <w:rPr>
          <w:rFonts w:cstheme="minorHAnsi"/>
          <w:b/>
          <w:bCs/>
          <w:lang w:val="en-GB"/>
        </w:rPr>
        <w:t>Supplementary Appendix</w:t>
      </w:r>
    </w:p>
    <w:p w14:paraId="01A1DD83" w14:textId="77777777" w:rsidR="00AA3590" w:rsidRPr="00F07882" w:rsidRDefault="00AA3590" w:rsidP="00AA3590">
      <w:pPr>
        <w:rPr>
          <w:lang w:val="en-GB"/>
        </w:rPr>
      </w:pPr>
    </w:p>
    <w:p w14:paraId="296408FA" w14:textId="59620EBE" w:rsidR="00F07882" w:rsidRPr="00F07882" w:rsidRDefault="00F07882" w:rsidP="008D6BD1">
      <w:pPr>
        <w:spacing w:line="360" w:lineRule="auto"/>
        <w:jc w:val="center"/>
        <w:rPr>
          <w:rFonts w:cstheme="minorHAnsi"/>
          <w:lang w:val="en-GB"/>
        </w:rPr>
      </w:pPr>
      <w:r w:rsidRPr="00F07882">
        <w:rPr>
          <w:rFonts w:cstheme="minorHAnsi"/>
          <w:b/>
          <w:bCs/>
          <w:color w:val="000000" w:themeColor="text1"/>
          <w:lang w:val="en-GB"/>
        </w:rPr>
        <w:t>Impact of diabetes mellitus severity, treatment regimen and glycaemic control on atrial fibrillation</w:t>
      </w:r>
      <w:r>
        <w:rPr>
          <w:rFonts w:cstheme="minorHAnsi"/>
          <w:b/>
          <w:bCs/>
          <w:color w:val="000000" w:themeColor="text1"/>
          <w:lang w:val="en-GB"/>
        </w:rPr>
        <w:t xml:space="preserve"> p</w:t>
      </w:r>
      <w:r w:rsidRPr="00F07882">
        <w:rPr>
          <w:rFonts w:cstheme="minorHAnsi"/>
          <w:b/>
          <w:bCs/>
          <w:color w:val="000000" w:themeColor="text1"/>
          <w:lang w:val="en-GB"/>
        </w:rPr>
        <w:t>revalence</w:t>
      </w:r>
      <w:r>
        <w:rPr>
          <w:rFonts w:cstheme="minorHAnsi"/>
          <w:b/>
          <w:bCs/>
          <w:color w:val="000000" w:themeColor="text1"/>
          <w:lang w:val="en-GB"/>
        </w:rPr>
        <w:t>.</w:t>
      </w:r>
      <w:r w:rsidRPr="00F07882">
        <w:rPr>
          <w:rFonts w:cstheme="minorHAnsi"/>
          <w:lang w:val="en-GB"/>
        </w:rPr>
        <w:t xml:space="preserve"> </w:t>
      </w:r>
    </w:p>
    <w:p w14:paraId="596C8884" w14:textId="4AF162B1" w:rsidR="008D6BD1" w:rsidRPr="00F07882" w:rsidRDefault="008D6BD1" w:rsidP="008D6BD1">
      <w:pPr>
        <w:spacing w:line="360" w:lineRule="auto"/>
        <w:jc w:val="center"/>
        <w:rPr>
          <w:rFonts w:cstheme="minorHAnsi"/>
          <w:b/>
          <w:bCs/>
          <w:lang w:val="en-GB"/>
        </w:rPr>
      </w:pPr>
      <w:r w:rsidRPr="00F07882">
        <w:rPr>
          <w:rFonts w:cstheme="minorHAnsi"/>
          <w:lang w:val="en-GB"/>
        </w:rPr>
        <w:t>A report from the Non-invasive Monitoring for Early Detection of Atrial Fibrillation (NOMED-AF)</w:t>
      </w:r>
      <w:r w:rsidRPr="00F07882">
        <w:rPr>
          <w:rFonts w:cstheme="minorHAnsi"/>
          <w:b/>
          <w:bCs/>
          <w:lang w:val="en-GB"/>
        </w:rPr>
        <w:t xml:space="preserve"> </w:t>
      </w:r>
      <w:r w:rsidRPr="00F07882">
        <w:rPr>
          <w:rFonts w:cstheme="minorHAnsi"/>
          <w:lang w:val="en-GB"/>
        </w:rPr>
        <w:t>prospective cross-sectional observational study</w:t>
      </w:r>
      <w:r w:rsidRPr="00F07882">
        <w:rPr>
          <w:rFonts w:cstheme="minorHAnsi"/>
          <w:b/>
          <w:bCs/>
          <w:lang w:val="en-GB"/>
        </w:rPr>
        <w:t xml:space="preserve"> </w:t>
      </w:r>
    </w:p>
    <w:p w14:paraId="40535BFF" w14:textId="77777777" w:rsidR="00AA3590" w:rsidRPr="00F07882" w:rsidRDefault="00AA3590" w:rsidP="008D6BD1">
      <w:pPr>
        <w:spacing w:line="360" w:lineRule="auto"/>
        <w:jc w:val="center"/>
        <w:rPr>
          <w:rFonts w:cstheme="minorHAnsi"/>
          <w:b/>
          <w:bCs/>
          <w:lang w:val="en-GB"/>
        </w:rPr>
      </w:pPr>
    </w:p>
    <w:p w14:paraId="43211FC5" w14:textId="12CC5A77" w:rsidR="008D6BD1" w:rsidRPr="00F07882" w:rsidRDefault="008D6BD1" w:rsidP="008D6BD1">
      <w:pPr>
        <w:spacing w:line="360" w:lineRule="auto"/>
        <w:rPr>
          <w:rFonts w:cstheme="minorHAnsi"/>
          <w:vertAlign w:val="superscript"/>
          <w:lang w:val="en-GB"/>
        </w:rPr>
      </w:pPr>
      <w:r w:rsidRPr="00F07882">
        <w:rPr>
          <w:rFonts w:cstheme="minorHAnsi"/>
        </w:rPr>
        <w:t xml:space="preserve">Jakub Gumprecht </w:t>
      </w:r>
      <w:r w:rsidRPr="00F07882">
        <w:rPr>
          <w:rFonts w:cstheme="minorHAnsi"/>
          <w:vertAlign w:val="superscript"/>
        </w:rPr>
        <w:t>a, c</w:t>
      </w:r>
      <w:r w:rsidRPr="00F07882">
        <w:rPr>
          <w:rFonts w:cstheme="minorHAnsi"/>
        </w:rPr>
        <w:t xml:space="preserve">, Gregory Y.H Lip </w:t>
      </w:r>
      <w:r w:rsidRPr="00F07882">
        <w:rPr>
          <w:rFonts w:cstheme="minorHAnsi"/>
          <w:vertAlign w:val="superscript"/>
        </w:rPr>
        <w:t>a, b</w:t>
      </w:r>
      <w:r w:rsidRPr="00F07882">
        <w:rPr>
          <w:rFonts w:cstheme="minorHAnsi"/>
        </w:rPr>
        <w:t xml:space="preserve">, Adam Sokal </w:t>
      </w:r>
      <w:r w:rsidRPr="00F07882">
        <w:rPr>
          <w:rFonts w:cstheme="minorHAnsi"/>
          <w:vertAlign w:val="superscript"/>
        </w:rPr>
        <w:t>d</w:t>
      </w:r>
      <w:r w:rsidRPr="00F07882">
        <w:rPr>
          <w:rFonts w:cstheme="minorHAnsi"/>
        </w:rPr>
        <w:t xml:space="preserve">, Beata Średniawa </w:t>
      </w:r>
      <w:proofErr w:type="spellStart"/>
      <w:proofErr w:type="gramStart"/>
      <w:r w:rsidRPr="00F07882">
        <w:rPr>
          <w:rFonts w:cstheme="minorHAnsi"/>
          <w:vertAlign w:val="superscript"/>
        </w:rPr>
        <w:t>c,d</w:t>
      </w:r>
      <w:proofErr w:type="gramEnd"/>
      <w:r w:rsidR="000A3A80" w:rsidRPr="00F07882">
        <w:rPr>
          <w:rFonts w:cstheme="minorHAnsi"/>
          <w:vertAlign w:val="superscript"/>
        </w:rPr>
        <w:t>,j</w:t>
      </w:r>
      <w:proofErr w:type="spellEnd"/>
      <w:r w:rsidRPr="00F07882">
        <w:rPr>
          <w:rFonts w:cstheme="minorHAnsi"/>
        </w:rPr>
        <w:t xml:space="preserve">, Jakub </w:t>
      </w:r>
      <w:proofErr w:type="spellStart"/>
      <w:r w:rsidRPr="00F07882">
        <w:rPr>
          <w:rFonts w:cstheme="minorHAnsi"/>
        </w:rPr>
        <w:t>Stokwiszewski</w:t>
      </w:r>
      <w:proofErr w:type="spellEnd"/>
      <w:r w:rsidRPr="00F07882">
        <w:rPr>
          <w:rFonts w:cstheme="minorHAnsi"/>
        </w:rPr>
        <w:t xml:space="preserve"> </w:t>
      </w:r>
      <w:r w:rsidRPr="00F07882">
        <w:rPr>
          <w:rFonts w:cstheme="minorHAnsi"/>
          <w:vertAlign w:val="superscript"/>
        </w:rPr>
        <w:t>e</w:t>
      </w:r>
      <w:r w:rsidRPr="00F07882">
        <w:rPr>
          <w:rFonts w:cstheme="minorHAnsi"/>
        </w:rPr>
        <w:t>, Marcin Rutkowski</w:t>
      </w:r>
      <w:r w:rsidRPr="00F07882">
        <w:rPr>
          <w:rFonts w:cstheme="minorHAnsi"/>
          <w:vertAlign w:val="superscript"/>
        </w:rPr>
        <w:t xml:space="preserve"> i </w:t>
      </w:r>
      <w:r w:rsidRPr="00F07882">
        <w:rPr>
          <w:rFonts w:cstheme="minorHAnsi"/>
        </w:rPr>
        <w:t xml:space="preserve">, Tomasz Zdrojewski </w:t>
      </w:r>
      <w:r w:rsidRPr="00F07882">
        <w:rPr>
          <w:rFonts w:cstheme="minorHAnsi"/>
          <w:vertAlign w:val="superscript"/>
        </w:rPr>
        <w:t xml:space="preserve">i </w:t>
      </w:r>
      <w:r w:rsidRPr="00F07882">
        <w:rPr>
          <w:rFonts w:cstheme="minorHAnsi"/>
        </w:rPr>
        <w:t xml:space="preserve">, Tomasz Grodzicki </w:t>
      </w:r>
      <w:r w:rsidRPr="00F07882">
        <w:rPr>
          <w:rFonts w:cstheme="minorHAnsi"/>
          <w:vertAlign w:val="superscript"/>
        </w:rPr>
        <w:t xml:space="preserve">f </w:t>
      </w:r>
      <w:r w:rsidRPr="00F07882">
        <w:rPr>
          <w:rFonts w:cstheme="minorHAnsi"/>
        </w:rPr>
        <w:t xml:space="preserve">, Jarosław Kaźmierczak </w:t>
      </w:r>
      <w:r w:rsidRPr="00F07882">
        <w:rPr>
          <w:rFonts w:cstheme="minorHAnsi"/>
          <w:vertAlign w:val="superscript"/>
        </w:rPr>
        <w:t xml:space="preserve">g </w:t>
      </w:r>
      <w:r w:rsidRPr="00F07882">
        <w:rPr>
          <w:rFonts w:cstheme="minorHAnsi"/>
        </w:rPr>
        <w:t xml:space="preserve">, Grzegorz Opolski </w:t>
      </w:r>
      <w:r w:rsidRPr="00F07882">
        <w:rPr>
          <w:rFonts w:cstheme="minorHAnsi"/>
          <w:vertAlign w:val="superscript"/>
        </w:rPr>
        <w:t>h</w:t>
      </w:r>
      <w:r w:rsidRPr="00F07882">
        <w:rPr>
          <w:rFonts w:cstheme="minorHAnsi"/>
        </w:rPr>
        <w:t xml:space="preserve">, Zbigniew Kalarus </w:t>
      </w:r>
      <w:r w:rsidRPr="00F07882">
        <w:rPr>
          <w:rFonts w:cstheme="minorHAnsi"/>
          <w:vertAlign w:val="superscript"/>
        </w:rPr>
        <w:t>c, d</w:t>
      </w:r>
      <w:r w:rsidR="000A3A80" w:rsidRPr="00F07882">
        <w:rPr>
          <w:rFonts w:cstheme="minorHAnsi"/>
          <w:vertAlign w:val="superscript"/>
          <w:lang w:val="en-GB"/>
        </w:rPr>
        <w:t>, j</w:t>
      </w:r>
    </w:p>
    <w:p w14:paraId="606558A2" w14:textId="77777777" w:rsidR="008D6BD1" w:rsidRPr="00F07882" w:rsidRDefault="008D6BD1" w:rsidP="008D6BD1">
      <w:pPr>
        <w:spacing w:line="360" w:lineRule="auto"/>
        <w:rPr>
          <w:rFonts w:cstheme="minorHAnsi"/>
          <w:vertAlign w:val="superscript"/>
          <w:lang w:val="en-GB"/>
        </w:rPr>
      </w:pPr>
    </w:p>
    <w:p w14:paraId="68CC9A16" w14:textId="66336C03" w:rsidR="008D6BD1" w:rsidRPr="00F07882" w:rsidRDefault="008D6BD1" w:rsidP="008D6BD1">
      <w:pPr>
        <w:spacing w:line="360" w:lineRule="auto"/>
        <w:rPr>
          <w:rFonts w:cstheme="minorHAnsi"/>
          <w:lang w:val="en-GB"/>
        </w:rPr>
      </w:pPr>
      <w:r w:rsidRPr="00F07882">
        <w:rPr>
          <w:rFonts w:cstheme="minorHAnsi"/>
          <w:vertAlign w:val="superscript"/>
          <w:lang w:val="en-GB" w:bidi="th-TH"/>
        </w:rPr>
        <w:t xml:space="preserve">a </w:t>
      </w:r>
      <w:r w:rsidRPr="00F07882">
        <w:rPr>
          <w:rFonts w:cstheme="minorHAnsi"/>
          <w:lang w:val="en-GB"/>
        </w:rPr>
        <w:t>Liverpool Centre for Cardiovascular Science, University of Liverpool and Liverpool Heart &amp; Chest Hospital, Liverpool, United Kingdom</w:t>
      </w:r>
      <w:r w:rsidRPr="00F07882">
        <w:rPr>
          <w:rFonts w:cstheme="minorHAnsi"/>
          <w:lang w:val="en-GB" w:bidi="th-TH"/>
        </w:rPr>
        <w:t xml:space="preserve">, </w:t>
      </w:r>
      <w:r w:rsidRPr="00F07882">
        <w:rPr>
          <w:rFonts w:cstheme="minorHAnsi"/>
          <w:vertAlign w:val="superscript"/>
          <w:lang w:val="en-GB" w:bidi="th-TH"/>
        </w:rPr>
        <w:t xml:space="preserve">b </w:t>
      </w:r>
      <w:r w:rsidRPr="00F07882">
        <w:rPr>
          <w:rFonts w:cstheme="minorHAnsi"/>
          <w:lang w:val="en-GB"/>
        </w:rPr>
        <w:t>Aalborg Thrombosis Research Unit, Department of Clinical Medicine, Aalborg University, Aalborg, Denmark,</w:t>
      </w:r>
      <w:r w:rsidRPr="00F07882">
        <w:rPr>
          <w:rFonts w:cstheme="minorHAnsi"/>
          <w:vertAlign w:val="superscript"/>
          <w:lang w:val="en-GB" w:bidi="th-TH"/>
        </w:rPr>
        <w:t xml:space="preserve"> c, </w:t>
      </w:r>
      <w:r w:rsidRPr="00F07882">
        <w:rPr>
          <w:rFonts w:cstheme="minorHAnsi"/>
          <w:lang w:val="en-GB"/>
        </w:rPr>
        <w:t xml:space="preserve">DMS in Zabrze, Medical University of Silesia, Department of Cardiology, </w:t>
      </w:r>
      <w:r w:rsidRPr="00F07882">
        <w:rPr>
          <w:rFonts w:cstheme="minorHAnsi"/>
          <w:vertAlign w:val="superscript"/>
          <w:lang w:val="en-GB"/>
        </w:rPr>
        <w:t xml:space="preserve">d </w:t>
      </w:r>
      <w:r w:rsidRPr="00F07882">
        <w:rPr>
          <w:rFonts w:cstheme="minorHAnsi"/>
          <w:lang w:val="en-GB"/>
        </w:rPr>
        <w:t xml:space="preserve">Department of Cardiology, Silesian Centre for Heart Diseases, Zabrze, Poland, </w:t>
      </w:r>
      <w:r w:rsidRPr="00F07882">
        <w:rPr>
          <w:rFonts w:cstheme="minorHAnsi"/>
          <w:vertAlign w:val="superscript"/>
          <w:lang w:val="en-GB"/>
        </w:rPr>
        <w:t xml:space="preserve">e </w:t>
      </w:r>
      <w:r w:rsidRPr="00F07882">
        <w:rPr>
          <w:rFonts w:cstheme="minorHAnsi"/>
          <w:lang w:val="en-GB"/>
        </w:rPr>
        <w:t xml:space="preserve">National Institute of Hygiene, Poland, </w:t>
      </w:r>
      <w:r w:rsidRPr="00F07882">
        <w:rPr>
          <w:rFonts w:cstheme="minorHAnsi"/>
          <w:vertAlign w:val="superscript"/>
          <w:lang w:val="en-GB"/>
        </w:rPr>
        <w:t xml:space="preserve">f </w:t>
      </w:r>
      <w:r w:rsidRPr="00F07882">
        <w:rPr>
          <w:rFonts w:cstheme="minorHAnsi"/>
          <w:lang w:val="en-GB"/>
        </w:rPr>
        <w:t xml:space="preserve">Department of Internal Medicine and Gerontology, Jagiellonian University Medical College, Kraków, Poland </w:t>
      </w:r>
      <w:r w:rsidRPr="00F07882">
        <w:rPr>
          <w:rFonts w:cstheme="minorHAnsi"/>
          <w:vertAlign w:val="superscript"/>
          <w:lang w:val="en-GB"/>
        </w:rPr>
        <w:t>g</w:t>
      </w:r>
      <w:r w:rsidRPr="00F07882">
        <w:rPr>
          <w:rFonts w:cstheme="minorHAnsi"/>
          <w:lang w:val="en-GB"/>
        </w:rPr>
        <w:t xml:space="preserve"> Department of Cardiology, Pomeranian Medical University, Szczecin, Poland, </w:t>
      </w:r>
      <w:r w:rsidRPr="00F07882">
        <w:rPr>
          <w:rFonts w:cstheme="minorHAnsi"/>
          <w:vertAlign w:val="superscript"/>
          <w:lang w:val="en-GB"/>
        </w:rPr>
        <w:t>h</w:t>
      </w:r>
      <w:r w:rsidRPr="00F07882">
        <w:rPr>
          <w:rFonts w:cstheme="minorHAnsi"/>
          <w:lang w:val="en-GB"/>
        </w:rPr>
        <w:t xml:space="preserve"> First Chair and Department of Cardiology, Medical University of Warsaw, Poland, </w:t>
      </w:r>
      <w:proofErr w:type="spellStart"/>
      <w:r w:rsidRPr="00F07882">
        <w:rPr>
          <w:rFonts w:cstheme="minorHAnsi"/>
          <w:vertAlign w:val="superscript"/>
          <w:lang w:val="en-GB"/>
        </w:rPr>
        <w:t>i</w:t>
      </w:r>
      <w:proofErr w:type="spellEnd"/>
      <w:r w:rsidRPr="00F07882">
        <w:rPr>
          <w:rFonts w:cstheme="minorHAnsi"/>
          <w:lang w:val="en-GB"/>
        </w:rPr>
        <w:t xml:space="preserve"> Department of Preventive Medicine and Education Medical University of Gdansk</w:t>
      </w:r>
      <w:r w:rsidR="000A3A80" w:rsidRPr="00F07882">
        <w:rPr>
          <w:rFonts w:cstheme="minorHAnsi"/>
          <w:lang w:val="en-GB"/>
        </w:rPr>
        <w:t xml:space="preserve">, </w:t>
      </w:r>
      <w:r w:rsidR="000A3A80" w:rsidRPr="00F07882">
        <w:rPr>
          <w:rFonts w:cstheme="minorHAnsi"/>
          <w:vertAlign w:val="superscript"/>
          <w:lang w:val="en-GB"/>
        </w:rPr>
        <w:t xml:space="preserve">j </w:t>
      </w:r>
      <w:r w:rsidR="000A3A80" w:rsidRPr="00F07882">
        <w:rPr>
          <w:rFonts w:cstheme="minorHAnsi"/>
          <w:lang w:val="en-GB"/>
        </w:rPr>
        <w:t xml:space="preserve">Silesian Park of Medical Technology </w:t>
      </w:r>
      <w:proofErr w:type="spellStart"/>
      <w:r w:rsidR="000A3A80" w:rsidRPr="00F07882">
        <w:rPr>
          <w:rFonts w:cstheme="minorHAnsi"/>
          <w:lang w:val="en-GB"/>
        </w:rPr>
        <w:t>Kardio</w:t>
      </w:r>
      <w:proofErr w:type="spellEnd"/>
      <w:r w:rsidR="000A3A80" w:rsidRPr="00F07882">
        <w:rPr>
          <w:rFonts w:cstheme="minorHAnsi"/>
          <w:lang w:val="en-GB"/>
        </w:rPr>
        <w:t>-Med Silesia in Zabrze, Poland</w:t>
      </w:r>
    </w:p>
    <w:p w14:paraId="5A21BE00" w14:textId="77777777" w:rsidR="00630FB2" w:rsidRPr="00F07882" w:rsidRDefault="00630FB2" w:rsidP="008D6BD1">
      <w:pPr>
        <w:spacing w:line="360" w:lineRule="auto"/>
        <w:rPr>
          <w:rFonts w:eastAsia="Times New Roman" w:cstheme="minorHAnsi"/>
          <w:lang w:val="en-GB" w:eastAsia="pl-PL"/>
        </w:rPr>
      </w:pPr>
    </w:p>
    <w:p w14:paraId="5B589602" w14:textId="3F62AB8C" w:rsidR="00530AE0" w:rsidRPr="00F07882" w:rsidRDefault="00530AE0" w:rsidP="008D6BD1">
      <w:pPr>
        <w:pStyle w:val="Nagwek1"/>
        <w:spacing w:line="360" w:lineRule="auto"/>
        <w:rPr>
          <w:rFonts w:asciiTheme="minorHAnsi" w:hAnsiTheme="minorHAnsi" w:cstheme="minorHAnsi"/>
          <w:b/>
          <w:bCs/>
          <w:color w:val="auto"/>
          <w:sz w:val="22"/>
          <w:szCs w:val="22"/>
          <w:lang w:val="en-GB"/>
        </w:rPr>
      </w:pPr>
      <w:r w:rsidRPr="00F07882">
        <w:rPr>
          <w:rFonts w:asciiTheme="minorHAnsi" w:hAnsiTheme="minorHAnsi" w:cstheme="minorHAnsi"/>
          <w:b/>
          <w:bCs/>
          <w:color w:val="auto"/>
          <w:sz w:val="22"/>
          <w:szCs w:val="22"/>
          <w:lang w:val="en-GB"/>
        </w:rPr>
        <w:t>Study sample selection procedure</w:t>
      </w:r>
    </w:p>
    <w:p w14:paraId="6EB61F5E" w14:textId="77777777" w:rsidR="00530AE0" w:rsidRPr="00F07882" w:rsidRDefault="00530AE0" w:rsidP="008D6BD1">
      <w:pPr>
        <w:spacing w:line="360" w:lineRule="auto"/>
        <w:jc w:val="both"/>
        <w:rPr>
          <w:rFonts w:cstheme="minorHAnsi"/>
          <w:lang w:val="en-GB"/>
        </w:rPr>
      </w:pPr>
    </w:p>
    <w:p w14:paraId="5D3CA67F" w14:textId="551E5CBC" w:rsidR="00530AE0" w:rsidRPr="00F07882" w:rsidRDefault="00530AE0" w:rsidP="008D6BD1">
      <w:pPr>
        <w:spacing w:line="360" w:lineRule="auto"/>
        <w:jc w:val="both"/>
        <w:rPr>
          <w:rFonts w:cstheme="minorHAnsi"/>
          <w:lang w:val="en-GB"/>
        </w:rPr>
      </w:pPr>
      <w:r w:rsidRPr="00F07882">
        <w:rPr>
          <w:rFonts w:cstheme="minorHAnsi"/>
          <w:lang w:val="en-GB"/>
        </w:rPr>
        <w:t xml:space="preserve">The sample consisted of 3,014 randomly chosen individuals, representative </w:t>
      </w:r>
      <w:r w:rsidR="000A3A80" w:rsidRPr="00F07882">
        <w:rPr>
          <w:rFonts w:cstheme="minorHAnsi"/>
          <w:lang w:val="en-GB"/>
        </w:rPr>
        <w:t>of</w:t>
      </w:r>
      <w:r w:rsidRPr="00F07882">
        <w:rPr>
          <w:rFonts w:cstheme="minorHAnsi"/>
          <w:lang w:val="en-GB"/>
        </w:rPr>
        <w:t xml:space="preserve"> </w:t>
      </w:r>
      <w:r w:rsidR="000A3A80" w:rsidRPr="00F07882">
        <w:rPr>
          <w:rFonts w:cstheme="minorHAnsi"/>
          <w:lang w:val="en-GB"/>
        </w:rPr>
        <w:t xml:space="preserve">the </w:t>
      </w:r>
      <w:r w:rsidRPr="00F07882">
        <w:rPr>
          <w:rFonts w:cstheme="minorHAnsi"/>
          <w:lang w:val="en-GB"/>
        </w:rPr>
        <w:t>Polish general, noninstitutionalized population aged 65+. Multistage, stratified and clustered sampling procedure was used.</w:t>
      </w:r>
    </w:p>
    <w:p w14:paraId="7ACC3F8F" w14:textId="3F16EC50" w:rsidR="00530AE0" w:rsidRPr="00F07882" w:rsidRDefault="00530AE0" w:rsidP="008D6BD1">
      <w:pPr>
        <w:spacing w:line="360" w:lineRule="auto"/>
        <w:jc w:val="both"/>
        <w:rPr>
          <w:rFonts w:cstheme="minorHAnsi"/>
          <w:lang w:val="en-GB"/>
        </w:rPr>
      </w:pPr>
      <w:r w:rsidRPr="00F07882">
        <w:rPr>
          <w:rFonts w:cstheme="minorHAnsi"/>
          <w:lang w:val="en-GB"/>
        </w:rPr>
        <w:t xml:space="preserve">During the first stage of the sampling procedure, 59 strata were created by dividing each of 16 provinces (voivodships) into up to four categories of municipalities: villages, towns with population: &lt;50,000, 50,001-200,000 and over 200,000. The final number of strata was lower </w:t>
      </w:r>
      <w:r w:rsidR="000A3A80" w:rsidRPr="00F07882">
        <w:rPr>
          <w:rFonts w:cstheme="minorHAnsi"/>
          <w:lang w:val="en-GB"/>
        </w:rPr>
        <w:t>than</w:t>
      </w:r>
      <w:r w:rsidRPr="00F07882">
        <w:rPr>
          <w:rFonts w:cstheme="minorHAnsi"/>
          <w:lang w:val="en-GB"/>
        </w:rPr>
        <w:t xml:space="preserve"> theoretically possible 64 because not all </w:t>
      </w:r>
      <w:r w:rsidR="008D6BD1" w:rsidRPr="00F07882">
        <w:rPr>
          <w:rFonts w:cstheme="minorHAnsi"/>
          <w:lang w:val="en-GB"/>
        </w:rPr>
        <w:t>provinces</w:t>
      </w:r>
      <w:r w:rsidRPr="00F07882">
        <w:rPr>
          <w:rFonts w:cstheme="minorHAnsi"/>
          <w:lang w:val="en-GB"/>
        </w:rPr>
        <w:t xml:space="preserve"> municipalities of the highest population category existed. The </w:t>
      </w:r>
      <w:r w:rsidRPr="00F07882">
        <w:rPr>
          <w:rFonts w:cstheme="minorHAnsi"/>
          <w:lang w:val="en-GB"/>
        </w:rPr>
        <w:lastRenderedPageBreak/>
        <w:t xml:space="preserve">number of respondents to draw in each stratum was set proportional to </w:t>
      </w:r>
      <w:r w:rsidR="000A3A80" w:rsidRPr="00F07882">
        <w:rPr>
          <w:rFonts w:cstheme="minorHAnsi"/>
          <w:lang w:val="en-GB"/>
        </w:rPr>
        <w:t xml:space="preserve">the </w:t>
      </w:r>
      <w:r w:rsidRPr="00F07882">
        <w:rPr>
          <w:rFonts w:cstheme="minorHAnsi"/>
          <w:lang w:val="en-GB"/>
        </w:rPr>
        <w:t>size of its population aged 65+</w:t>
      </w:r>
    </w:p>
    <w:p w14:paraId="08AF4099" w14:textId="394800CD" w:rsidR="00530AE0" w:rsidRPr="00F07882" w:rsidRDefault="00530AE0" w:rsidP="008D6BD1">
      <w:pPr>
        <w:spacing w:line="360" w:lineRule="auto"/>
        <w:jc w:val="both"/>
        <w:rPr>
          <w:rFonts w:cstheme="minorHAnsi"/>
          <w:lang w:val="en-GB"/>
        </w:rPr>
      </w:pPr>
      <w:r w:rsidRPr="00F07882">
        <w:rPr>
          <w:rFonts w:cstheme="minorHAnsi"/>
          <w:lang w:val="en-GB"/>
        </w:rPr>
        <w:t xml:space="preserve">During the second stage of sampling, individual municipalities were drawn in each of </w:t>
      </w:r>
      <w:r w:rsidR="000A3A80" w:rsidRPr="00F07882">
        <w:rPr>
          <w:rFonts w:cstheme="minorHAnsi"/>
          <w:lang w:val="en-GB"/>
        </w:rPr>
        <w:t xml:space="preserve">the </w:t>
      </w:r>
      <w:r w:rsidRPr="00F07882">
        <w:rPr>
          <w:rFonts w:cstheme="minorHAnsi"/>
          <w:lang w:val="en-GB"/>
        </w:rPr>
        <w:t xml:space="preserve">previously defined strata separately, with the probability proportional to the </w:t>
      </w:r>
      <w:r w:rsidR="000A3A80" w:rsidRPr="00F07882">
        <w:rPr>
          <w:rFonts w:cstheme="minorHAnsi"/>
          <w:lang w:val="en-GB"/>
        </w:rPr>
        <w:t>municipality's population size</w:t>
      </w:r>
      <w:r w:rsidRPr="00F07882">
        <w:rPr>
          <w:rFonts w:cstheme="minorHAnsi"/>
          <w:lang w:val="en-GB"/>
        </w:rPr>
        <w:t>. In total, 137 municipalities were selected from the complete list of 3 118 Polish municipalities. Finally, each municipality was divided into territorial clusters of approximately similar population size. Then the clusters were randomly selected in each municipality. The clustering was aimed to lower the cost of the study.</w:t>
      </w:r>
    </w:p>
    <w:p w14:paraId="464DD392" w14:textId="10412A31" w:rsidR="00530AE0" w:rsidRPr="00F07882" w:rsidRDefault="00530AE0" w:rsidP="008D6BD1">
      <w:pPr>
        <w:spacing w:line="360" w:lineRule="auto"/>
        <w:jc w:val="both"/>
        <w:rPr>
          <w:rFonts w:cstheme="minorHAnsi"/>
          <w:shd w:val="clear" w:color="auto" w:fill="FFFFFF"/>
          <w:lang w:val="en-GB"/>
        </w:rPr>
      </w:pPr>
      <w:r w:rsidRPr="00F07882">
        <w:rPr>
          <w:rFonts w:cstheme="minorHAnsi"/>
          <w:lang w:val="en-GB"/>
        </w:rPr>
        <w:t xml:space="preserve">The third stage of </w:t>
      </w:r>
      <w:r w:rsidR="000A3A80" w:rsidRPr="00F07882">
        <w:rPr>
          <w:rFonts w:cstheme="minorHAnsi"/>
          <w:lang w:val="en-GB"/>
        </w:rPr>
        <w:t xml:space="preserve">the </w:t>
      </w:r>
      <w:r w:rsidRPr="00F07882">
        <w:rPr>
          <w:rFonts w:cstheme="minorHAnsi"/>
          <w:lang w:val="en-GB"/>
        </w:rPr>
        <w:t xml:space="preserve">sampling procedure was selecting individual respondents within previously drawn clusters. The sampling frame consisted of all individuals living in selected clusters aged 65+. recorded in the PESEL database (national registry covering all Polish citizens). In each of </w:t>
      </w:r>
      <w:r w:rsidR="000A3A80" w:rsidRPr="00F07882">
        <w:rPr>
          <w:rFonts w:cstheme="minorHAnsi"/>
          <w:lang w:val="en-GB"/>
        </w:rPr>
        <w:t xml:space="preserve">the </w:t>
      </w:r>
      <w:r w:rsidRPr="00F07882">
        <w:rPr>
          <w:rFonts w:cstheme="minorHAnsi"/>
          <w:lang w:val="en-GB"/>
        </w:rPr>
        <w:t xml:space="preserve">age categories </w:t>
      </w:r>
      <w:r w:rsidRPr="00F07882">
        <w:rPr>
          <w:rFonts w:cstheme="minorHAnsi"/>
          <w:shd w:val="clear" w:color="auto" w:fill="FFFFFF"/>
          <w:lang w:val="en-GB"/>
        </w:rPr>
        <w:t>(65-69, 70-74, 75-79, 80-84, 85-89 and 90+ years) similar numbers of men and women were selected. This resulted in oversampling of older age groups. This was done to ensure that the size of the final subsample of the eldest subjects will be enough for separate analyses. The oversampling was corrected at the stage of statistical analysis with weights to get population estimates.</w:t>
      </w:r>
    </w:p>
    <w:p w14:paraId="32BA6567" w14:textId="21865EF3" w:rsidR="00530AE0" w:rsidRPr="00F07882" w:rsidRDefault="00530AE0" w:rsidP="008D6BD1">
      <w:pPr>
        <w:spacing w:line="360" w:lineRule="auto"/>
        <w:jc w:val="both"/>
        <w:rPr>
          <w:rFonts w:cstheme="minorHAnsi"/>
          <w:shd w:val="clear" w:color="auto" w:fill="FFFFFF"/>
          <w:lang w:val="en-GB"/>
        </w:rPr>
      </w:pPr>
      <w:r w:rsidRPr="00F07882">
        <w:rPr>
          <w:rFonts w:cstheme="minorHAnsi"/>
          <w:shd w:val="clear" w:color="auto" w:fill="FFFFFF"/>
          <w:lang w:val="en-GB"/>
        </w:rPr>
        <w:t>For each of the 3000 participants</w:t>
      </w:r>
      <w:r w:rsidR="000A3A80" w:rsidRPr="00F07882">
        <w:rPr>
          <w:rFonts w:cstheme="minorHAnsi"/>
          <w:shd w:val="clear" w:color="auto" w:fill="FFFFFF"/>
          <w:lang w:val="en-GB"/>
        </w:rPr>
        <w:t>,</w:t>
      </w:r>
      <w:r w:rsidRPr="00F07882">
        <w:rPr>
          <w:rFonts w:cstheme="minorHAnsi"/>
          <w:shd w:val="clear" w:color="auto" w:fill="FFFFFF"/>
          <w:lang w:val="en-GB"/>
        </w:rPr>
        <w:t xml:space="preserve"> another 9 subjects living in the same cluster were drawn. These “spare” addresses were used only if the address of </w:t>
      </w:r>
      <w:r w:rsidR="000A3A80" w:rsidRPr="00F07882">
        <w:rPr>
          <w:rFonts w:cstheme="minorHAnsi"/>
          <w:shd w:val="clear" w:color="auto" w:fill="FFFFFF"/>
          <w:lang w:val="en-GB"/>
        </w:rPr>
        <w:t xml:space="preserve">the </w:t>
      </w:r>
      <w:r w:rsidRPr="00F07882">
        <w:rPr>
          <w:rFonts w:cstheme="minorHAnsi"/>
          <w:shd w:val="clear" w:color="auto" w:fill="FFFFFF"/>
          <w:lang w:val="en-GB"/>
        </w:rPr>
        <w:t>primarily chosen subject was incorrect or an individual refused to take part in the study.</w:t>
      </w:r>
    </w:p>
    <w:p w14:paraId="33D0E055" w14:textId="2CE03696" w:rsidR="00530AE0" w:rsidRPr="00F07882" w:rsidRDefault="00530AE0" w:rsidP="008D6BD1">
      <w:pPr>
        <w:spacing w:line="360" w:lineRule="auto"/>
        <w:jc w:val="both"/>
        <w:rPr>
          <w:rFonts w:cstheme="minorHAnsi"/>
          <w:shd w:val="clear" w:color="auto" w:fill="FFFFFF"/>
          <w:lang w:val="en-GB"/>
        </w:rPr>
      </w:pPr>
      <w:r w:rsidRPr="00F07882">
        <w:rPr>
          <w:rFonts w:cstheme="minorHAnsi"/>
          <w:lang w:val="en-GB"/>
        </w:rPr>
        <w:t>Inability</w:t>
      </w:r>
      <w:r w:rsidRPr="00F07882">
        <w:rPr>
          <w:rFonts w:cstheme="minorHAnsi"/>
          <w:shd w:val="clear" w:color="auto" w:fill="FFFFFF"/>
          <w:lang w:val="en-GB"/>
        </w:rPr>
        <w:t xml:space="preserve"> to answer the questionnaire by patients </w:t>
      </w:r>
      <w:r w:rsidRPr="00F07882">
        <w:rPr>
          <w:rFonts w:cstheme="minorHAnsi"/>
          <w:lang w:val="en-GB"/>
        </w:rPr>
        <w:t>(i.e.,</w:t>
      </w:r>
      <w:r w:rsidRPr="00F07882">
        <w:rPr>
          <w:rFonts w:cstheme="minorHAnsi"/>
          <w:shd w:val="clear" w:color="auto" w:fill="FFFFFF"/>
          <w:lang w:val="en-GB"/>
        </w:rPr>
        <w:t xml:space="preserve"> because of dementia) did not exclude them from the study. In such cases, caregivers or close family members were asked to provide information. This was done to avoid selection bias towards </w:t>
      </w:r>
      <w:r w:rsidR="000A3A80" w:rsidRPr="00F07882">
        <w:rPr>
          <w:rFonts w:cstheme="minorHAnsi"/>
          <w:shd w:val="clear" w:color="auto" w:fill="FFFFFF"/>
          <w:lang w:val="en-GB"/>
        </w:rPr>
        <w:t xml:space="preserve">the </w:t>
      </w:r>
      <w:r w:rsidRPr="00F07882">
        <w:rPr>
          <w:rFonts w:cstheme="minorHAnsi"/>
          <w:shd w:val="clear" w:color="auto" w:fill="FFFFFF"/>
          <w:lang w:val="en-GB"/>
        </w:rPr>
        <w:t xml:space="preserve">healthier part of the population. Patients with already diagnosed AF were included. The only exclusion criterium was lack of </w:t>
      </w:r>
      <w:r w:rsidRPr="00F07882">
        <w:rPr>
          <w:rFonts w:cstheme="minorHAnsi"/>
          <w:lang w:val="en-GB"/>
        </w:rPr>
        <w:t>patient</w:t>
      </w:r>
      <w:r w:rsidRPr="00F07882">
        <w:rPr>
          <w:rFonts w:cstheme="minorHAnsi"/>
          <w:shd w:val="clear" w:color="auto" w:fill="FFFFFF"/>
          <w:lang w:val="en-GB"/>
        </w:rPr>
        <w:t xml:space="preserve">’s </w:t>
      </w:r>
      <w:r w:rsidRPr="00F07882">
        <w:rPr>
          <w:rFonts w:cstheme="minorHAnsi"/>
          <w:lang w:val="en-GB"/>
        </w:rPr>
        <w:t>consent</w:t>
      </w:r>
      <w:r w:rsidRPr="00F07882">
        <w:rPr>
          <w:rFonts w:cstheme="minorHAnsi"/>
          <w:shd w:val="clear" w:color="auto" w:fill="FFFFFF"/>
          <w:lang w:val="en-GB"/>
        </w:rPr>
        <w:t xml:space="preserve"> or </w:t>
      </w:r>
      <w:r w:rsidR="000A3A80" w:rsidRPr="00F07882">
        <w:rPr>
          <w:rFonts w:cstheme="minorHAnsi"/>
          <w:shd w:val="clear" w:color="auto" w:fill="FFFFFF"/>
          <w:lang w:val="en-GB"/>
        </w:rPr>
        <w:t>infrequent</w:t>
      </w:r>
      <w:r w:rsidRPr="00F07882">
        <w:rPr>
          <w:rFonts w:cstheme="minorHAnsi"/>
          <w:shd w:val="clear" w:color="auto" w:fill="FFFFFF"/>
          <w:lang w:val="en-GB"/>
        </w:rPr>
        <w:t xml:space="preserve"> situation of local environment potentially dangerous for the study nurse</w:t>
      </w:r>
      <w:r w:rsidRPr="00F07882">
        <w:rPr>
          <w:rFonts w:cstheme="minorHAnsi"/>
          <w:lang w:val="en-GB"/>
        </w:rPr>
        <w:t>.</w:t>
      </w:r>
    </w:p>
    <w:p w14:paraId="438ACE3B" w14:textId="6B195D99" w:rsidR="004F7AE2" w:rsidRPr="00F07882" w:rsidRDefault="004A6025" w:rsidP="008D6BD1">
      <w:pPr>
        <w:spacing w:line="360" w:lineRule="auto"/>
        <w:jc w:val="both"/>
        <w:rPr>
          <w:rFonts w:cstheme="minorHAnsi"/>
          <w:shd w:val="clear" w:color="auto" w:fill="FFFFFF"/>
          <w:lang w:val="en-GB"/>
        </w:rPr>
      </w:pPr>
      <w:r w:rsidRPr="00F07882">
        <w:rPr>
          <w:rFonts w:cstheme="minorHAnsi"/>
          <w:shd w:val="clear" w:color="auto" w:fill="FFFFFF"/>
          <w:lang w:val="en-GB"/>
        </w:rPr>
        <w:t>T</w:t>
      </w:r>
      <w:r w:rsidR="004F7AE2" w:rsidRPr="00F07882">
        <w:rPr>
          <w:rFonts w:cstheme="minorHAnsi"/>
          <w:shd w:val="clear" w:color="auto" w:fill="FFFFFF"/>
          <w:lang w:val="en-GB"/>
        </w:rPr>
        <w:t>here were attempts to contact 10 425 respondents. Among them</w:t>
      </w:r>
      <w:r w:rsidR="000A3A80" w:rsidRPr="00F07882">
        <w:rPr>
          <w:rFonts w:cstheme="minorHAnsi"/>
          <w:shd w:val="clear" w:color="auto" w:fill="FFFFFF"/>
          <w:lang w:val="en-GB"/>
        </w:rPr>
        <w:t>,</w:t>
      </w:r>
      <w:r w:rsidR="004F7AE2" w:rsidRPr="00F07882">
        <w:rPr>
          <w:rFonts w:cstheme="minorHAnsi"/>
          <w:shd w:val="clear" w:color="auto" w:fill="FFFFFF"/>
          <w:lang w:val="en-GB"/>
        </w:rPr>
        <w:t xml:space="preserve"> 7 429 cases were eligible to participate. The remaining 2 996 cases were confirmed invalid or outdated addresses (542), subject deceased before contact attempt (357), was away during </w:t>
      </w:r>
      <w:r w:rsidR="000A3A80" w:rsidRPr="00F07882">
        <w:rPr>
          <w:rFonts w:cstheme="minorHAnsi"/>
          <w:shd w:val="clear" w:color="auto" w:fill="FFFFFF"/>
          <w:lang w:val="en-GB"/>
        </w:rPr>
        <w:t xml:space="preserve">the </w:t>
      </w:r>
      <w:r w:rsidR="004F7AE2" w:rsidRPr="00F07882">
        <w:rPr>
          <w:rFonts w:cstheme="minorHAnsi"/>
          <w:shd w:val="clear" w:color="auto" w:fill="FFFFFF"/>
          <w:lang w:val="en-GB"/>
        </w:rPr>
        <w:t>study period (281)</w:t>
      </w:r>
      <w:r w:rsidR="000A3A80" w:rsidRPr="00F07882">
        <w:rPr>
          <w:rFonts w:cstheme="minorHAnsi"/>
          <w:shd w:val="clear" w:color="auto" w:fill="FFFFFF"/>
          <w:lang w:val="en-GB"/>
        </w:rPr>
        <w:t>,</w:t>
      </w:r>
      <w:r w:rsidR="004F7AE2" w:rsidRPr="00F07882">
        <w:rPr>
          <w:rFonts w:cstheme="minorHAnsi"/>
          <w:shd w:val="clear" w:color="auto" w:fill="FFFFFF"/>
          <w:lang w:val="en-GB"/>
        </w:rPr>
        <w:t xml:space="preserve"> or nurse was unable to contact patient despite three attempts (1 816). The final number of the interviewed patients was 3</w:t>
      </w:r>
      <w:r w:rsidR="004F7AE2" w:rsidRPr="00F07882">
        <w:rPr>
          <w:rFonts w:cstheme="minorHAnsi"/>
          <w:lang w:val="en-GB"/>
        </w:rPr>
        <w:t> </w:t>
      </w:r>
      <w:r w:rsidR="004F7AE2" w:rsidRPr="00F07882">
        <w:rPr>
          <w:rFonts w:cstheme="minorHAnsi"/>
          <w:shd w:val="clear" w:color="auto" w:fill="FFFFFF"/>
          <w:lang w:val="en-GB"/>
        </w:rPr>
        <w:t xml:space="preserve">014, resulting in </w:t>
      </w:r>
      <w:r w:rsidR="000A3A80" w:rsidRPr="00F07882">
        <w:rPr>
          <w:rFonts w:cstheme="minorHAnsi"/>
          <w:shd w:val="clear" w:color="auto" w:fill="FFFFFF"/>
          <w:lang w:val="en-GB"/>
        </w:rPr>
        <w:t xml:space="preserve">a </w:t>
      </w:r>
      <w:r w:rsidR="004F7AE2" w:rsidRPr="00F07882">
        <w:rPr>
          <w:rFonts w:cstheme="minorHAnsi"/>
          <w:shd w:val="clear" w:color="auto" w:fill="FFFFFF"/>
          <w:lang w:val="en-GB"/>
        </w:rPr>
        <w:t xml:space="preserve">response rate of about 41%. The group of non-respondents consisted of subjects who refused to take part in the study (3 602), whose family refused (742), or did not participate </w:t>
      </w:r>
      <w:r w:rsidR="000A3A80" w:rsidRPr="00F07882">
        <w:rPr>
          <w:rFonts w:cstheme="minorHAnsi"/>
          <w:shd w:val="clear" w:color="auto" w:fill="FFFFFF"/>
          <w:lang w:val="en-GB"/>
        </w:rPr>
        <w:t>for</w:t>
      </w:r>
      <w:r w:rsidR="004F7AE2" w:rsidRPr="00F07882">
        <w:rPr>
          <w:rFonts w:cstheme="minorHAnsi"/>
          <w:shd w:val="clear" w:color="auto" w:fill="FFFFFF"/>
          <w:lang w:val="en-GB"/>
        </w:rPr>
        <w:t xml:space="preserve"> other reasons (71).  Long term ECG monitoring was performed in the final sample of adults aged ≥65 years (n = 3 014)</w:t>
      </w:r>
      <w:r w:rsidR="002C5703" w:rsidRPr="00F07882">
        <w:rPr>
          <w:rFonts w:cstheme="minorHAnsi"/>
          <w:shd w:val="clear" w:color="auto" w:fill="FFFFFF"/>
          <w:lang w:val="en-GB"/>
        </w:rPr>
        <w:t xml:space="preserve"> (</w:t>
      </w:r>
      <w:proofErr w:type="spellStart"/>
      <w:r w:rsidR="0001567E" w:rsidRPr="00F07882">
        <w:rPr>
          <w:rFonts w:cstheme="minorHAnsi"/>
          <w:shd w:val="clear" w:color="auto" w:fill="FFFFFF"/>
          <w:lang w:val="en-GB"/>
        </w:rPr>
        <w:t>eFigure</w:t>
      </w:r>
      <w:proofErr w:type="spellEnd"/>
      <w:r w:rsidR="002C5703" w:rsidRPr="00F07882">
        <w:rPr>
          <w:rFonts w:cstheme="minorHAnsi"/>
          <w:shd w:val="clear" w:color="auto" w:fill="FFFFFF"/>
          <w:lang w:val="en-GB"/>
        </w:rPr>
        <w:t xml:space="preserve"> 1).</w:t>
      </w:r>
    </w:p>
    <w:p w14:paraId="778D68EE" w14:textId="06FF6794" w:rsidR="0083615D" w:rsidRPr="00F07882" w:rsidRDefault="0083615D" w:rsidP="008D6BD1">
      <w:pPr>
        <w:spacing w:line="360" w:lineRule="auto"/>
        <w:rPr>
          <w:rFonts w:cstheme="minorHAnsi"/>
          <w:lang w:val="en-GB"/>
        </w:rPr>
      </w:pPr>
    </w:p>
    <w:p w14:paraId="339C3866" w14:textId="4728B1D7" w:rsidR="0083615D" w:rsidRPr="00F07882" w:rsidRDefault="002C5703" w:rsidP="008D6BD1">
      <w:pPr>
        <w:spacing w:line="360" w:lineRule="auto"/>
        <w:rPr>
          <w:rFonts w:cstheme="minorHAnsi"/>
          <w:b/>
          <w:bCs/>
          <w:lang w:val="en-GB"/>
        </w:rPr>
      </w:pPr>
      <w:r w:rsidRPr="00F07882">
        <w:rPr>
          <w:rFonts w:cstheme="minorHAnsi"/>
          <w:b/>
          <w:lang w:val="en-GB"/>
        </w:rPr>
        <w:br w:type="page"/>
      </w:r>
      <w:proofErr w:type="spellStart"/>
      <w:r w:rsidR="0001567E" w:rsidRPr="00F07882">
        <w:rPr>
          <w:rFonts w:cstheme="minorHAnsi"/>
          <w:b/>
          <w:bCs/>
          <w:lang w:val="en-GB"/>
        </w:rPr>
        <w:lastRenderedPageBreak/>
        <w:t>eFigure</w:t>
      </w:r>
      <w:proofErr w:type="spellEnd"/>
      <w:r w:rsidRPr="00F07882">
        <w:rPr>
          <w:rFonts w:cstheme="minorHAnsi"/>
          <w:b/>
          <w:bCs/>
          <w:lang w:val="en-GB"/>
        </w:rPr>
        <w:t xml:space="preserve"> 1. </w:t>
      </w:r>
      <w:r w:rsidR="0083615D" w:rsidRPr="00F07882">
        <w:rPr>
          <w:rFonts w:cstheme="minorHAnsi"/>
          <w:b/>
          <w:bCs/>
          <w:lang w:val="en-GB"/>
        </w:rPr>
        <w:t xml:space="preserve">NOMED-AF – </w:t>
      </w:r>
      <w:r w:rsidR="000A3A80" w:rsidRPr="00F07882">
        <w:rPr>
          <w:rFonts w:cstheme="minorHAnsi"/>
          <w:b/>
          <w:bCs/>
          <w:lang w:val="en-GB"/>
        </w:rPr>
        <w:t xml:space="preserve">a </w:t>
      </w:r>
      <w:r w:rsidR="0083615D" w:rsidRPr="00F07882">
        <w:rPr>
          <w:rFonts w:cstheme="minorHAnsi"/>
          <w:b/>
          <w:bCs/>
          <w:lang w:val="en-GB"/>
        </w:rPr>
        <w:t>flow of the study</w:t>
      </w:r>
    </w:p>
    <w:p w14:paraId="0B2C5DE6" w14:textId="77777777" w:rsidR="0083615D" w:rsidRPr="00F07882" w:rsidRDefault="0083615D" w:rsidP="008D6BD1">
      <w:pPr>
        <w:spacing w:line="360" w:lineRule="auto"/>
        <w:rPr>
          <w:rFonts w:cstheme="minorHAnsi"/>
          <w:lang w:val="en-GB"/>
        </w:rPr>
      </w:pPr>
    </w:p>
    <w:p w14:paraId="0F3548A6" w14:textId="0CB1E3BD" w:rsidR="0083615D" w:rsidRPr="00F07882" w:rsidRDefault="0083615D" w:rsidP="008D6BD1">
      <w:pPr>
        <w:spacing w:line="360" w:lineRule="auto"/>
        <w:rPr>
          <w:rFonts w:cstheme="minorHAnsi"/>
          <w:lang w:val="en-GB"/>
        </w:rPr>
      </w:pPr>
      <w:r w:rsidRPr="00F07882">
        <w:rPr>
          <w:rFonts w:cstheme="minorHAnsi"/>
          <w:noProof/>
          <w:lang w:val="en-GB" w:eastAsia="pl-PL"/>
        </w:rPr>
        <mc:AlternateContent>
          <mc:Choice Requires="wps">
            <w:drawing>
              <wp:anchor distT="0" distB="0" distL="114300" distR="114300" simplePos="0" relativeHeight="251659264" behindDoc="0" locked="0" layoutInCell="1" allowOverlap="1" wp14:anchorId="67E507FC" wp14:editId="58704B9A">
                <wp:simplePos x="0" y="0"/>
                <wp:positionH relativeFrom="column">
                  <wp:posOffset>1650900</wp:posOffset>
                </wp:positionH>
                <wp:positionV relativeFrom="paragraph">
                  <wp:posOffset>1117432</wp:posOffset>
                </wp:positionV>
                <wp:extent cx="1617278" cy="10313"/>
                <wp:effectExtent l="0" t="0" r="21590" b="27940"/>
                <wp:wrapNone/>
                <wp:docPr id="56" name="Łącznik prosty 55">
                  <a:extLst xmlns:a="http://schemas.openxmlformats.org/drawingml/2006/main">
                    <a:ext uri="{FF2B5EF4-FFF2-40B4-BE49-F238E27FC236}">
                      <a16:creationId xmlns:a16="http://schemas.microsoft.com/office/drawing/2014/main" id="{F16F164A-FD0A-4578-AB12-F0449CFC571B}"/>
                    </a:ext>
                  </a:extLst>
                </wp:docPr>
                <wp:cNvGraphicFramePr/>
                <a:graphic xmlns:a="http://schemas.openxmlformats.org/drawingml/2006/main">
                  <a:graphicData uri="http://schemas.microsoft.com/office/word/2010/wordprocessingShape">
                    <wps:wsp>
                      <wps:cNvCnPr/>
                      <wps:spPr>
                        <a:xfrm flipH="1">
                          <a:off x="0" y="0"/>
                          <a:ext cx="1617278" cy="1031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0A38E409" id="Łącznik prosty 5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pt,88pt" to="257.35pt,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" strokecolor="black [3200]" strokeweight=".5pt">
                <v:stroke joinstyle="miter"/>
              </v:line>
            </w:pict>
          </mc:Fallback>
        </mc:AlternateContent>
      </w:r>
      <w:r w:rsidRPr="00F07882">
        <w:rPr>
          <w:rFonts w:cstheme="minorHAnsi"/>
          <w:noProof/>
          <w:lang w:val="en-GB" w:eastAsia="pl-PL"/>
        </w:rPr>
        <mc:AlternateContent>
          <mc:Choice Requires="wps">
            <w:drawing>
              <wp:anchor distT="0" distB="0" distL="114300" distR="114300" simplePos="0" relativeHeight="251662336" behindDoc="0" locked="0" layoutInCell="1" allowOverlap="1" wp14:anchorId="671132DA" wp14:editId="19D8C238">
                <wp:simplePos x="0" y="0"/>
                <wp:positionH relativeFrom="column">
                  <wp:posOffset>3202973</wp:posOffset>
                </wp:positionH>
                <wp:positionV relativeFrom="paragraph">
                  <wp:posOffset>1995738</wp:posOffset>
                </wp:positionV>
                <wp:extent cx="2700936" cy="1034415"/>
                <wp:effectExtent l="0" t="0" r="23495" b="13335"/>
                <wp:wrapNone/>
                <wp:docPr id="58" name="pole tekstowe 57">
                  <a:extLst xmlns:a="http://schemas.openxmlformats.org/drawingml/2006/main">
                    <a:ext uri="{FF2B5EF4-FFF2-40B4-BE49-F238E27FC236}">
                      <a16:creationId xmlns:a16="http://schemas.microsoft.com/office/drawing/2014/main" id="{5C39372C-B1AE-4DCA-8C74-6A78D001D7AD}"/>
                    </a:ext>
                  </a:extLst>
                </wp:docPr>
                <wp:cNvGraphicFramePr/>
                <a:graphic xmlns:a="http://schemas.openxmlformats.org/drawingml/2006/main">
                  <a:graphicData uri="http://schemas.microsoft.com/office/word/2010/wordprocessingShape">
                    <wps:wsp>
                      <wps:cNvSpPr txBox="1"/>
                      <wps:spPr>
                        <a:xfrm>
                          <a:off x="0" y="0"/>
                          <a:ext cx="2700936" cy="103441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B0554CE" w14:textId="77777777" w:rsidR="0083615D" w:rsidRPr="00F07882" w:rsidRDefault="0083615D" w:rsidP="0083615D">
                            <w:pPr>
                              <w:pStyle w:val="NormalnyWeb"/>
                              <w:spacing w:before="0" w:beforeAutospacing="0" w:after="0" w:afterAutospacing="0"/>
                              <w:rPr>
                                <w:lang w:val="en-GB"/>
                              </w:rPr>
                            </w:pPr>
                            <w:r w:rsidRPr="00E92F2E">
                              <w:rPr>
                                <w:rFonts w:asciiTheme="minorHAnsi" w:hAnsi="Calibri" w:cstheme="minorBidi"/>
                                <w:color w:val="000000" w:themeColor="dark1"/>
                              </w:rPr>
                              <w:t>4</w:t>
                            </w:r>
                            <w:r w:rsidRPr="00F07882">
                              <w:rPr>
                                <w:rFonts w:asciiTheme="minorHAnsi" w:hAnsi="Calibri" w:cstheme="minorBidi"/>
                                <w:color w:val="000000" w:themeColor="dark1"/>
                                <w:lang w:val="en-GB"/>
                              </w:rPr>
                              <w:t>415 non-participants:</w:t>
                            </w:r>
                          </w:p>
                          <w:p w14:paraId="66931F14" w14:textId="77777777" w:rsidR="0083615D" w:rsidRPr="00F07882" w:rsidRDefault="0083615D" w:rsidP="0083615D">
                            <w:pPr>
                              <w:pStyle w:val="Akapitzlist"/>
                              <w:numPr>
                                <w:ilvl w:val="0"/>
                                <w:numId w:val="2"/>
                              </w:numPr>
                              <w:rPr>
                                <w:rFonts w:eastAsia="Times New Roman"/>
                                <w:lang w:val="en-GB"/>
                              </w:rPr>
                            </w:pPr>
                            <w:r w:rsidRPr="00F07882">
                              <w:rPr>
                                <w:rFonts w:asciiTheme="minorHAnsi" w:hAnsi="Calibri" w:cstheme="minorBidi"/>
                                <w:color w:val="000000" w:themeColor="dark1"/>
                                <w:lang w:val="en-GB"/>
                              </w:rPr>
                              <w:t>3602 – refusal of participant</w:t>
                            </w:r>
                          </w:p>
                          <w:p w14:paraId="351C1D9B" w14:textId="77777777" w:rsidR="0083615D" w:rsidRPr="00F07882" w:rsidRDefault="0083615D" w:rsidP="0083615D">
                            <w:pPr>
                              <w:pStyle w:val="Akapitzlist"/>
                              <w:numPr>
                                <w:ilvl w:val="0"/>
                                <w:numId w:val="2"/>
                              </w:numPr>
                              <w:rPr>
                                <w:rFonts w:eastAsia="Times New Roman"/>
                                <w:lang w:val="en-GB"/>
                              </w:rPr>
                            </w:pPr>
                            <w:r w:rsidRPr="00F07882">
                              <w:rPr>
                                <w:rFonts w:asciiTheme="minorHAnsi" w:hAnsi="Calibri" w:cstheme="minorBidi"/>
                                <w:color w:val="000000" w:themeColor="dark1"/>
                                <w:lang w:val="en-GB"/>
                              </w:rPr>
                              <w:t>742 – refusal of participant’s family member</w:t>
                            </w:r>
                          </w:p>
                          <w:p w14:paraId="12A886E6" w14:textId="77777777" w:rsidR="0083615D" w:rsidRPr="00F07882" w:rsidRDefault="0083615D" w:rsidP="0083615D">
                            <w:pPr>
                              <w:pStyle w:val="Akapitzlist"/>
                              <w:numPr>
                                <w:ilvl w:val="0"/>
                                <w:numId w:val="2"/>
                              </w:numPr>
                              <w:rPr>
                                <w:rFonts w:eastAsia="Times New Roman"/>
                                <w:lang w:val="en-GB"/>
                              </w:rPr>
                            </w:pPr>
                            <w:r w:rsidRPr="00F07882">
                              <w:rPr>
                                <w:rFonts w:asciiTheme="minorHAnsi" w:hAnsi="Calibri" w:cstheme="minorBidi"/>
                                <w:color w:val="000000" w:themeColor="dark1"/>
                                <w:lang w:val="en-GB"/>
                              </w:rPr>
                              <w:t>71 – other reasons</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671132DA" id="_x0000_t202" coordsize="21600,21600" o:spt="202" path="m,l,21600r21600,l21600,xe">
                <v:stroke joinstyle="miter"/>
                <v:path gradientshapeok="t" o:connecttype="rect"/>
              </v:shapetype>
              <v:shape id="pole tekstowe 57" o:spid="_x0000_s1026" type="#_x0000_t202" style="position:absolute;margin-left:252.2pt;margin-top:157.15pt;width:212.65pt;height:8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" fillcolor="white [3201]" strokecolor="#7f7f7f [1601]">
                <v:textbox>
                  <w:txbxContent>
                    <w:p w14:paraId="0B0554CE" w14:textId="77777777" w:rsidR="0083615D" w:rsidRPr="00F07882" w:rsidRDefault="0083615D" w:rsidP="0083615D">
                      <w:pPr>
                        <w:pStyle w:val="NormalnyWeb"/>
                        <w:spacing w:before="0" w:beforeAutospacing="0" w:after="0" w:afterAutospacing="0"/>
                        <w:rPr>
                          <w:lang w:val="en-GB"/>
                        </w:rPr>
                      </w:pPr>
                      <w:r w:rsidRPr="00E92F2E">
                        <w:rPr>
                          <w:rFonts w:asciiTheme="minorHAnsi" w:hAnsi="Calibri" w:cstheme="minorBidi"/>
                          <w:color w:val="000000" w:themeColor="dark1"/>
                        </w:rPr>
                        <w:t>4</w:t>
                      </w:r>
                      <w:r w:rsidRPr="00F07882">
                        <w:rPr>
                          <w:rFonts w:asciiTheme="minorHAnsi" w:hAnsi="Calibri" w:cstheme="minorBidi"/>
                          <w:color w:val="000000" w:themeColor="dark1"/>
                          <w:lang w:val="en-GB"/>
                        </w:rPr>
                        <w:t>415 non-participants:</w:t>
                      </w:r>
                    </w:p>
                    <w:p w14:paraId="66931F14" w14:textId="77777777" w:rsidR="0083615D" w:rsidRPr="00F07882" w:rsidRDefault="0083615D" w:rsidP="0083615D">
                      <w:pPr>
                        <w:pStyle w:val="Akapitzlist"/>
                        <w:numPr>
                          <w:ilvl w:val="0"/>
                          <w:numId w:val="2"/>
                        </w:numPr>
                        <w:rPr>
                          <w:rFonts w:eastAsia="Times New Roman"/>
                          <w:lang w:val="en-GB"/>
                        </w:rPr>
                      </w:pPr>
                      <w:r w:rsidRPr="00F07882">
                        <w:rPr>
                          <w:rFonts w:asciiTheme="minorHAnsi" w:hAnsi="Calibri" w:cstheme="minorBidi"/>
                          <w:color w:val="000000" w:themeColor="dark1"/>
                          <w:lang w:val="en-GB"/>
                        </w:rPr>
                        <w:t>3602 – refusal of participant</w:t>
                      </w:r>
                    </w:p>
                    <w:p w14:paraId="351C1D9B" w14:textId="77777777" w:rsidR="0083615D" w:rsidRPr="00F07882" w:rsidRDefault="0083615D" w:rsidP="0083615D">
                      <w:pPr>
                        <w:pStyle w:val="Akapitzlist"/>
                        <w:numPr>
                          <w:ilvl w:val="0"/>
                          <w:numId w:val="2"/>
                        </w:numPr>
                        <w:rPr>
                          <w:rFonts w:eastAsia="Times New Roman"/>
                          <w:lang w:val="en-GB"/>
                        </w:rPr>
                      </w:pPr>
                      <w:r w:rsidRPr="00F07882">
                        <w:rPr>
                          <w:rFonts w:asciiTheme="minorHAnsi" w:hAnsi="Calibri" w:cstheme="minorBidi"/>
                          <w:color w:val="000000" w:themeColor="dark1"/>
                          <w:lang w:val="en-GB"/>
                        </w:rPr>
                        <w:t>742 – refusal of participant’s family member</w:t>
                      </w:r>
                    </w:p>
                    <w:p w14:paraId="12A886E6" w14:textId="77777777" w:rsidR="0083615D" w:rsidRPr="00F07882" w:rsidRDefault="0083615D" w:rsidP="0083615D">
                      <w:pPr>
                        <w:pStyle w:val="Akapitzlist"/>
                        <w:numPr>
                          <w:ilvl w:val="0"/>
                          <w:numId w:val="2"/>
                        </w:numPr>
                        <w:rPr>
                          <w:rFonts w:eastAsia="Times New Roman"/>
                          <w:lang w:val="en-GB"/>
                        </w:rPr>
                      </w:pPr>
                      <w:r w:rsidRPr="00F07882">
                        <w:rPr>
                          <w:rFonts w:asciiTheme="minorHAnsi" w:hAnsi="Calibri" w:cstheme="minorBidi"/>
                          <w:color w:val="000000" w:themeColor="dark1"/>
                          <w:lang w:val="en-GB"/>
                        </w:rPr>
                        <w:t>71 – other reasons</w:t>
                      </w:r>
                    </w:p>
                  </w:txbxContent>
                </v:textbox>
              </v:shape>
            </w:pict>
          </mc:Fallback>
        </mc:AlternateContent>
      </w:r>
      <w:r w:rsidRPr="00F07882">
        <w:rPr>
          <w:rFonts w:cstheme="minorHAnsi"/>
          <w:noProof/>
          <w:lang w:val="en-GB" w:eastAsia="pl-PL"/>
        </w:rPr>
        <mc:AlternateContent>
          <mc:Choice Requires="wps">
            <w:drawing>
              <wp:anchor distT="0" distB="0" distL="114300" distR="114300" simplePos="0" relativeHeight="251660288" behindDoc="0" locked="0" layoutInCell="1" allowOverlap="1" wp14:anchorId="2B9F9CD6" wp14:editId="255083F4">
                <wp:simplePos x="0" y="0"/>
                <wp:positionH relativeFrom="column">
                  <wp:posOffset>1670050</wp:posOffset>
                </wp:positionH>
                <wp:positionV relativeFrom="paragraph">
                  <wp:posOffset>2540401</wp:posOffset>
                </wp:positionV>
                <wp:extent cx="1557655" cy="13335"/>
                <wp:effectExtent l="0" t="0" r="23495" b="24765"/>
                <wp:wrapNone/>
                <wp:docPr id="55" name="Łącznik prosty 54">
                  <a:extLst xmlns:a="http://schemas.openxmlformats.org/drawingml/2006/main">
                    <a:ext uri="{FF2B5EF4-FFF2-40B4-BE49-F238E27FC236}">
                      <a16:creationId xmlns:a16="http://schemas.microsoft.com/office/drawing/2014/main" id="{F8F7A863-CF43-4EB6-B3AD-987990027ED2}"/>
                    </a:ext>
                  </a:extLst>
                </wp:docPr>
                <wp:cNvGraphicFramePr/>
                <a:graphic xmlns:a="http://schemas.openxmlformats.org/drawingml/2006/main">
                  <a:graphicData uri="http://schemas.microsoft.com/office/word/2010/wordprocessingShape">
                    <wps:wsp>
                      <wps:cNvCnPr/>
                      <wps:spPr>
                        <a:xfrm flipH="1">
                          <a:off x="0" y="0"/>
                          <a:ext cx="1557655" cy="133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3DAC0821" id="Łącznik prosty 5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pt,200.05pt" to="254.15pt,2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" strokecolor="black [3200]" strokeweight=".5pt">
                <v:stroke joinstyle="miter"/>
              </v:line>
            </w:pict>
          </mc:Fallback>
        </mc:AlternateContent>
      </w:r>
      <w:r w:rsidRPr="00F07882">
        <w:rPr>
          <w:rFonts w:cstheme="minorHAnsi"/>
          <w:noProof/>
          <w:lang w:val="en-GB" w:eastAsia="pl-PL"/>
        </w:rPr>
        <mc:AlternateContent>
          <mc:Choice Requires="wps">
            <w:drawing>
              <wp:anchor distT="0" distB="0" distL="114300" distR="114300" simplePos="0" relativeHeight="251661312" behindDoc="0" locked="0" layoutInCell="1" allowOverlap="1" wp14:anchorId="1CE2E2B0" wp14:editId="471F3282">
                <wp:simplePos x="0" y="0"/>
                <wp:positionH relativeFrom="column">
                  <wp:posOffset>3208989</wp:posOffset>
                </wp:positionH>
                <wp:positionV relativeFrom="paragraph">
                  <wp:posOffset>269207</wp:posOffset>
                </wp:positionV>
                <wp:extent cx="2689058" cy="1664335"/>
                <wp:effectExtent l="0" t="0" r="16510" b="18415"/>
                <wp:wrapNone/>
                <wp:docPr id="57" name="pole tekstowe 56">
                  <a:extLst xmlns:a="http://schemas.openxmlformats.org/drawingml/2006/main">
                    <a:ext uri="{FF2B5EF4-FFF2-40B4-BE49-F238E27FC236}">
                      <a16:creationId xmlns:a16="http://schemas.microsoft.com/office/drawing/2014/main" id="{326706BA-8B68-454A-9BB4-409C07C459D1}"/>
                    </a:ext>
                  </a:extLst>
                </wp:docPr>
                <wp:cNvGraphicFramePr/>
                <a:graphic xmlns:a="http://schemas.openxmlformats.org/drawingml/2006/main">
                  <a:graphicData uri="http://schemas.microsoft.com/office/word/2010/wordprocessingShape">
                    <wps:wsp>
                      <wps:cNvSpPr txBox="1"/>
                      <wps:spPr>
                        <a:xfrm>
                          <a:off x="0" y="0"/>
                          <a:ext cx="2689058" cy="166433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5E62430" w14:textId="77777777" w:rsidR="0083615D" w:rsidRPr="00F07882" w:rsidRDefault="0083615D" w:rsidP="0083615D">
                            <w:pPr>
                              <w:pStyle w:val="NormalnyWeb"/>
                              <w:spacing w:before="0" w:beforeAutospacing="0" w:after="0" w:afterAutospacing="0"/>
                              <w:rPr>
                                <w:sz w:val="18"/>
                                <w:szCs w:val="18"/>
                                <w:lang w:val="en-GB"/>
                              </w:rPr>
                            </w:pPr>
                            <w:r w:rsidRPr="00F07882">
                              <w:rPr>
                                <w:rFonts w:asciiTheme="minorHAnsi" w:hAnsi="Calibri" w:cstheme="minorBidi"/>
                                <w:color w:val="000000" w:themeColor="dark1"/>
                                <w:sz w:val="18"/>
                                <w:szCs w:val="18"/>
                                <w:lang w:val="en-GB"/>
                              </w:rPr>
                              <w:t>2996 non eligible:</w:t>
                            </w:r>
                          </w:p>
                          <w:p w14:paraId="6906F11E" w14:textId="77777777" w:rsidR="0083615D" w:rsidRPr="00F07882" w:rsidRDefault="0083615D" w:rsidP="0083615D">
                            <w:pPr>
                              <w:pStyle w:val="Akapitzlist"/>
                              <w:numPr>
                                <w:ilvl w:val="0"/>
                                <w:numId w:val="1"/>
                              </w:numPr>
                              <w:rPr>
                                <w:rFonts w:eastAsia="Times New Roman"/>
                                <w:sz w:val="18"/>
                                <w:szCs w:val="18"/>
                                <w:lang w:val="en-GB"/>
                              </w:rPr>
                            </w:pPr>
                            <w:r w:rsidRPr="00F07882">
                              <w:rPr>
                                <w:rFonts w:asciiTheme="minorHAnsi" w:hAnsi="Calibri" w:cstheme="minorBidi"/>
                                <w:color w:val="000000" w:themeColor="dark1"/>
                                <w:sz w:val="18"/>
                                <w:szCs w:val="18"/>
                                <w:lang w:val="en-GB"/>
                              </w:rPr>
                              <w:t>303 – correct address, resident has moved out prior to the study</w:t>
                            </w:r>
                          </w:p>
                          <w:p w14:paraId="4A5D0821" w14:textId="77777777" w:rsidR="0083615D" w:rsidRPr="00F07882" w:rsidRDefault="0083615D" w:rsidP="0083615D">
                            <w:pPr>
                              <w:pStyle w:val="Akapitzlist"/>
                              <w:numPr>
                                <w:ilvl w:val="0"/>
                                <w:numId w:val="1"/>
                              </w:numPr>
                              <w:rPr>
                                <w:rFonts w:eastAsia="Times New Roman"/>
                                <w:sz w:val="18"/>
                                <w:szCs w:val="18"/>
                                <w:lang w:val="en-GB"/>
                              </w:rPr>
                            </w:pPr>
                            <w:r w:rsidRPr="00F07882">
                              <w:rPr>
                                <w:rFonts w:asciiTheme="minorHAnsi" w:hAnsi="Calibri" w:cstheme="minorBidi"/>
                                <w:color w:val="000000" w:themeColor="dark1"/>
                                <w:sz w:val="18"/>
                                <w:szCs w:val="18"/>
                                <w:lang w:val="en-GB"/>
                              </w:rPr>
                              <w:t>1816 – ‘closed door’ (any contact with the resident impossible during study period)</w:t>
                            </w:r>
                          </w:p>
                          <w:p w14:paraId="6E0DB9F8" w14:textId="77777777" w:rsidR="0083615D" w:rsidRPr="00F07882" w:rsidRDefault="0083615D" w:rsidP="0083615D">
                            <w:pPr>
                              <w:pStyle w:val="Akapitzlist"/>
                              <w:numPr>
                                <w:ilvl w:val="0"/>
                                <w:numId w:val="1"/>
                              </w:numPr>
                              <w:rPr>
                                <w:rFonts w:eastAsia="Times New Roman"/>
                                <w:sz w:val="18"/>
                                <w:szCs w:val="18"/>
                                <w:lang w:val="en-GB"/>
                              </w:rPr>
                            </w:pPr>
                            <w:r w:rsidRPr="00F07882">
                              <w:rPr>
                                <w:rFonts w:asciiTheme="minorHAnsi" w:hAnsi="Calibri" w:cstheme="minorBidi"/>
                                <w:color w:val="000000" w:themeColor="dark1"/>
                                <w:sz w:val="18"/>
                                <w:szCs w:val="18"/>
                                <w:lang w:val="en-GB"/>
                              </w:rPr>
                              <w:t>74 – incorrect address</w:t>
                            </w:r>
                          </w:p>
                          <w:p w14:paraId="1FA45316" w14:textId="77777777" w:rsidR="0083615D" w:rsidRPr="00F07882" w:rsidRDefault="0083615D" w:rsidP="0083615D">
                            <w:pPr>
                              <w:pStyle w:val="Akapitzlist"/>
                              <w:numPr>
                                <w:ilvl w:val="0"/>
                                <w:numId w:val="1"/>
                              </w:numPr>
                              <w:rPr>
                                <w:rFonts w:eastAsia="Times New Roman"/>
                                <w:sz w:val="18"/>
                                <w:szCs w:val="18"/>
                                <w:lang w:val="en-GB"/>
                              </w:rPr>
                            </w:pPr>
                            <w:r w:rsidRPr="00F07882">
                              <w:rPr>
                                <w:rFonts w:asciiTheme="minorHAnsi" w:hAnsi="Calibri" w:cstheme="minorBidi"/>
                                <w:color w:val="000000" w:themeColor="dark1"/>
                                <w:sz w:val="18"/>
                                <w:szCs w:val="18"/>
                                <w:lang w:val="en-GB"/>
                              </w:rPr>
                              <w:t xml:space="preserve">165 – resident dwelling in a hospital, </w:t>
                            </w:r>
                          </w:p>
                          <w:p w14:paraId="7E142D5C" w14:textId="77777777" w:rsidR="0083615D" w:rsidRPr="00F07882" w:rsidRDefault="0083615D" w:rsidP="0083615D">
                            <w:pPr>
                              <w:pStyle w:val="Akapitzlist"/>
                              <w:rPr>
                                <w:rFonts w:eastAsia="Times New Roman"/>
                                <w:sz w:val="18"/>
                                <w:szCs w:val="18"/>
                                <w:lang w:val="en-GB"/>
                              </w:rPr>
                            </w:pPr>
                            <w:r w:rsidRPr="00F07882">
                              <w:rPr>
                                <w:rFonts w:asciiTheme="minorHAnsi" w:hAnsi="Calibri" w:cstheme="minorBidi"/>
                                <w:color w:val="000000" w:themeColor="dark1"/>
                                <w:sz w:val="18"/>
                                <w:szCs w:val="18"/>
                                <w:lang w:val="en-GB"/>
                              </w:rPr>
                              <w:t>a nursing home or a health care centre</w:t>
                            </w:r>
                          </w:p>
                          <w:p w14:paraId="671D0F5E" w14:textId="77777777" w:rsidR="0083615D" w:rsidRPr="00F07882" w:rsidRDefault="0083615D" w:rsidP="0083615D">
                            <w:pPr>
                              <w:pStyle w:val="Akapitzlist"/>
                              <w:numPr>
                                <w:ilvl w:val="0"/>
                                <w:numId w:val="1"/>
                              </w:numPr>
                              <w:rPr>
                                <w:rFonts w:eastAsia="Times New Roman"/>
                                <w:sz w:val="18"/>
                                <w:szCs w:val="18"/>
                                <w:lang w:val="en-GB"/>
                              </w:rPr>
                            </w:pPr>
                            <w:r w:rsidRPr="00F07882">
                              <w:rPr>
                                <w:rFonts w:asciiTheme="minorHAnsi" w:hAnsi="Calibri" w:cstheme="minorBidi"/>
                                <w:color w:val="000000" w:themeColor="dark1"/>
                                <w:sz w:val="18"/>
                                <w:szCs w:val="18"/>
                                <w:lang w:val="en-GB"/>
                              </w:rPr>
                              <w:t>281 – resident away, not present during study period</w:t>
                            </w:r>
                          </w:p>
                          <w:p w14:paraId="60E3672F" w14:textId="77777777" w:rsidR="0083615D" w:rsidRPr="00F07882" w:rsidRDefault="0083615D" w:rsidP="0083615D">
                            <w:pPr>
                              <w:pStyle w:val="Akapitzlist"/>
                              <w:numPr>
                                <w:ilvl w:val="0"/>
                                <w:numId w:val="1"/>
                              </w:numPr>
                              <w:rPr>
                                <w:rFonts w:eastAsia="Times New Roman"/>
                                <w:sz w:val="18"/>
                                <w:szCs w:val="18"/>
                                <w:lang w:val="en-GB"/>
                              </w:rPr>
                            </w:pPr>
                            <w:r w:rsidRPr="00F07882">
                              <w:rPr>
                                <w:rFonts w:asciiTheme="minorHAnsi" w:hAnsi="Calibri" w:cstheme="minorBidi"/>
                                <w:color w:val="000000" w:themeColor="dark1"/>
                                <w:sz w:val="18"/>
                                <w:szCs w:val="18"/>
                                <w:lang w:val="en-GB"/>
                              </w:rPr>
                              <w:t xml:space="preserve">357 – died before start of the </w:t>
                            </w:r>
                            <w:proofErr w:type="spellStart"/>
                            <w:r w:rsidRPr="00F07882">
                              <w:rPr>
                                <w:rFonts w:asciiTheme="minorHAnsi" w:hAnsi="Calibri" w:cstheme="minorBidi"/>
                                <w:color w:val="000000" w:themeColor="dark1"/>
                                <w:sz w:val="18"/>
                                <w:szCs w:val="18"/>
                                <w:lang w:val="en-GB"/>
                              </w:rPr>
                              <w:t>to</w:t>
                            </w:r>
                            <w:proofErr w:type="spellEnd"/>
                            <w:r w:rsidRPr="00F07882">
                              <w:rPr>
                                <w:rFonts w:asciiTheme="minorHAnsi" w:hAnsi="Calibri" w:cstheme="minorBidi"/>
                                <w:color w:val="000000" w:themeColor="dark1"/>
                                <w:sz w:val="18"/>
                                <w:szCs w:val="18"/>
                                <w:lang w:val="en-GB"/>
                              </w:rPr>
                              <w:t xml:space="preserve"> survey</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CE2E2B0" id="pole tekstowe 56" o:spid="_x0000_s1027" type="#_x0000_t202" style="position:absolute;margin-left:252.7pt;margin-top:21.2pt;width:211.75pt;height:13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" fillcolor="white [3201]" strokecolor="#7f7f7f [1601]">
                <v:textbox>
                  <w:txbxContent>
                    <w:p w14:paraId="05E62430" w14:textId="77777777" w:rsidR="0083615D" w:rsidRPr="00F07882" w:rsidRDefault="0083615D" w:rsidP="0083615D">
                      <w:pPr>
                        <w:pStyle w:val="NormalnyWeb"/>
                        <w:spacing w:before="0" w:beforeAutospacing="0" w:after="0" w:afterAutospacing="0"/>
                        <w:rPr>
                          <w:sz w:val="18"/>
                          <w:szCs w:val="18"/>
                          <w:lang w:val="en-GB"/>
                        </w:rPr>
                      </w:pPr>
                      <w:r w:rsidRPr="00F07882">
                        <w:rPr>
                          <w:rFonts w:asciiTheme="minorHAnsi" w:hAnsi="Calibri" w:cstheme="minorBidi"/>
                          <w:color w:val="000000" w:themeColor="dark1"/>
                          <w:sz w:val="18"/>
                          <w:szCs w:val="18"/>
                          <w:lang w:val="en-GB"/>
                        </w:rPr>
                        <w:t>2996 non eligible:</w:t>
                      </w:r>
                    </w:p>
                    <w:p w14:paraId="6906F11E" w14:textId="77777777" w:rsidR="0083615D" w:rsidRPr="00F07882" w:rsidRDefault="0083615D" w:rsidP="0083615D">
                      <w:pPr>
                        <w:pStyle w:val="Akapitzlist"/>
                        <w:numPr>
                          <w:ilvl w:val="0"/>
                          <w:numId w:val="1"/>
                        </w:numPr>
                        <w:rPr>
                          <w:rFonts w:eastAsia="Times New Roman"/>
                          <w:sz w:val="18"/>
                          <w:szCs w:val="18"/>
                          <w:lang w:val="en-GB"/>
                        </w:rPr>
                      </w:pPr>
                      <w:r w:rsidRPr="00F07882">
                        <w:rPr>
                          <w:rFonts w:asciiTheme="minorHAnsi" w:hAnsi="Calibri" w:cstheme="minorBidi"/>
                          <w:color w:val="000000" w:themeColor="dark1"/>
                          <w:sz w:val="18"/>
                          <w:szCs w:val="18"/>
                          <w:lang w:val="en-GB"/>
                        </w:rPr>
                        <w:t>303 – correct address, resident has moved out prior to the study</w:t>
                      </w:r>
                    </w:p>
                    <w:p w14:paraId="4A5D0821" w14:textId="77777777" w:rsidR="0083615D" w:rsidRPr="00F07882" w:rsidRDefault="0083615D" w:rsidP="0083615D">
                      <w:pPr>
                        <w:pStyle w:val="Akapitzlist"/>
                        <w:numPr>
                          <w:ilvl w:val="0"/>
                          <w:numId w:val="1"/>
                        </w:numPr>
                        <w:rPr>
                          <w:rFonts w:eastAsia="Times New Roman"/>
                          <w:sz w:val="18"/>
                          <w:szCs w:val="18"/>
                          <w:lang w:val="en-GB"/>
                        </w:rPr>
                      </w:pPr>
                      <w:r w:rsidRPr="00F07882">
                        <w:rPr>
                          <w:rFonts w:asciiTheme="minorHAnsi" w:hAnsi="Calibri" w:cstheme="minorBidi"/>
                          <w:color w:val="000000" w:themeColor="dark1"/>
                          <w:sz w:val="18"/>
                          <w:szCs w:val="18"/>
                          <w:lang w:val="en-GB"/>
                        </w:rPr>
                        <w:t>1816 – ‘closed door’ (any contact with the resident impossible during study period)</w:t>
                      </w:r>
                    </w:p>
                    <w:p w14:paraId="6E0DB9F8" w14:textId="77777777" w:rsidR="0083615D" w:rsidRPr="00F07882" w:rsidRDefault="0083615D" w:rsidP="0083615D">
                      <w:pPr>
                        <w:pStyle w:val="Akapitzlist"/>
                        <w:numPr>
                          <w:ilvl w:val="0"/>
                          <w:numId w:val="1"/>
                        </w:numPr>
                        <w:rPr>
                          <w:rFonts w:eastAsia="Times New Roman"/>
                          <w:sz w:val="18"/>
                          <w:szCs w:val="18"/>
                          <w:lang w:val="en-GB"/>
                        </w:rPr>
                      </w:pPr>
                      <w:r w:rsidRPr="00F07882">
                        <w:rPr>
                          <w:rFonts w:asciiTheme="minorHAnsi" w:hAnsi="Calibri" w:cstheme="minorBidi"/>
                          <w:color w:val="000000" w:themeColor="dark1"/>
                          <w:sz w:val="18"/>
                          <w:szCs w:val="18"/>
                          <w:lang w:val="en-GB"/>
                        </w:rPr>
                        <w:t>74 – incorrect address</w:t>
                      </w:r>
                    </w:p>
                    <w:p w14:paraId="1FA45316" w14:textId="77777777" w:rsidR="0083615D" w:rsidRPr="00F07882" w:rsidRDefault="0083615D" w:rsidP="0083615D">
                      <w:pPr>
                        <w:pStyle w:val="Akapitzlist"/>
                        <w:numPr>
                          <w:ilvl w:val="0"/>
                          <w:numId w:val="1"/>
                        </w:numPr>
                        <w:rPr>
                          <w:rFonts w:eastAsia="Times New Roman"/>
                          <w:sz w:val="18"/>
                          <w:szCs w:val="18"/>
                          <w:lang w:val="en-GB"/>
                        </w:rPr>
                      </w:pPr>
                      <w:r w:rsidRPr="00F07882">
                        <w:rPr>
                          <w:rFonts w:asciiTheme="minorHAnsi" w:hAnsi="Calibri" w:cstheme="minorBidi"/>
                          <w:color w:val="000000" w:themeColor="dark1"/>
                          <w:sz w:val="18"/>
                          <w:szCs w:val="18"/>
                          <w:lang w:val="en-GB"/>
                        </w:rPr>
                        <w:t xml:space="preserve">165 – resident dwelling in a hospital, </w:t>
                      </w:r>
                    </w:p>
                    <w:p w14:paraId="7E142D5C" w14:textId="77777777" w:rsidR="0083615D" w:rsidRPr="00F07882" w:rsidRDefault="0083615D" w:rsidP="0083615D">
                      <w:pPr>
                        <w:pStyle w:val="Akapitzlist"/>
                        <w:rPr>
                          <w:rFonts w:eastAsia="Times New Roman"/>
                          <w:sz w:val="18"/>
                          <w:szCs w:val="18"/>
                          <w:lang w:val="en-GB"/>
                        </w:rPr>
                      </w:pPr>
                      <w:r w:rsidRPr="00F07882">
                        <w:rPr>
                          <w:rFonts w:asciiTheme="minorHAnsi" w:hAnsi="Calibri" w:cstheme="minorBidi"/>
                          <w:color w:val="000000" w:themeColor="dark1"/>
                          <w:sz w:val="18"/>
                          <w:szCs w:val="18"/>
                          <w:lang w:val="en-GB"/>
                        </w:rPr>
                        <w:t>a nursing home or a health care centre</w:t>
                      </w:r>
                    </w:p>
                    <w:p w14:paraId="671D0F5E" w14:textId="77777777" w:rsidR="0083615D" w:rsidRPr="00F07882" w:rsidRDefault="0083615D" w:rsidP="0083615D">
                      <w:pPr>
                        <w:pStyle w:val="Akapitzlist"/>
                        <w:numPr>
                          <w:ilvl w:val="0"/>
                          <w:numId w:val="1"/>
                        </w:numPr>
                        <w:rPr>
                          <w:rFonts w:eastAsia="Times New Roman"/>
                          <w:sz w:val="18"/>
                          <w:szCs w:val="18"/>
                          <w:lang w:val="en-GB"/>
                        </w:rPr>
                      </w:pPr>
                      <w:r w:rsidRPr="00F07882">
                        <w:rPr>
                          <w:rFonts w:asciiTheme="minorHAnsi" w:hAnsi="Calibri" w:cstheme="minorBidi"/>
                          <w:color w:val="000000" w:themeColor="dark1"/>
                          <w:sz w:val="18"/>
                          <w:szCs w:val="18"/>
                          <w:lang w:val="en-GB"/>
                        </w:rPr>
                        <w:t>281 – resident away, not present during study period</w:t>
                      </w:r>
                    </w:p>
                    <w:p w14:paraId="60E3672F" w14:textId="77777777" w:rsidR="0083615D" w:rsidRPr="00F07882" w:rsidRDefault="0083615D" w:rsidP="0083615D">
                      <w:pPr>
                        <w:pStyle w:val="Akapitzlist"/>
                        <w:numPr>
                          <w:ilvl w:val="0"/>
                          <w:numId w:val="1"/>
                        </w:numPr>
                        <w:rPr>
                          <w:rFonts w:eastAsia="Times New Roman"/>
                          <w:sz w:val="18"/>
                          <w:szCs w:val="18"/>
                          <w:lang w:val="en-GB"/>
                        </w:rPr>
                      </w:pPr>
                      <w:r w:rsidRPr="00F07882">
                        <w:rPr>
                          <w:rFonts w:asciiTheme="minorHAnsi" w:hAnsi="Calibri" w:cstheme="minorBidi"/>
                          <w:color w:val="000000" w:themeColor="dark1"/>
                          <w:sz w:val="18"/>
                          <w:szCs w:val="18"/>
                          <w:lang w:val="en-GB"/>
                        </w:rPr>
                        <w:t xml:space="preserve">357 – died before start of the </w:t>
                      </w:r>
                      <w:proofErr w:type="spellStart"/>
                      <w:r w:rsidRPr="00F07882">
                        <w:rPr>
                          <w:rFonts w:asciiTheme="minorHAnsi" w:hAnsi="Calibri" w:cstheme="minorBidi"/>
                          <w:color w:val="000000" w:themeColor="dark1"/>
                          <w:sz w:val="18"/>
                          <w:szCs w:val="18"/>
                          <w:lang w:val="en-GB"/>
                        </w:rPr>
                        <w:t>to</w:t>
                      </w:r>
                      <w:proofErr w:type="spellEnd"/>
                      <w:r w:rsidRPr="00F07882">
                        <w:rPr>
                          <w:rFonts w:asciiTheme="minorHAnsi" w:hAnsi="Calibri" w:cstheme="minorBidi"/>
                          <w:color w:val="000000" w:themeColor="dark1"/>
                          <w:sz w:val="18"/>
                          <w:szCs w:val="18"/>
                          <w:lang w:val="en-GB"/>
                        </w:rPr>
                        <w:t xml:space="preserve"> survey</w:t>
                      </w:r>
                    </w:p>
                  </w:txbxContent>
                </v:textbox>
              </v:shape>
            </w:pict>
          </mc:Fallback>
        </mc:AlternateContent>
      </w:r>
      <w:r w:rsidRPr="00F07882">
        <w:rPr>
          <w:rFonts w:cstheme="minorHAnsi"/>
          <w:noProof/>
          <w:lang w:val="en-GB" w:eastAsia="pl-PL"/>
        </w:rPr>
        <w:drawing>
          <wp:inline distT="0" distB="0" distL="0" distR="0" wp14:anchorId="12E18463" wp14:editId="70A097AA">
            <wp:extent cx="3056021" cy="7868653"/>
            <wp:effectExtent l="0" t="0" r="17780" b="5715"/>
            <wp:docPr id="1" name="Diagram 1">
              <a:extLst xmlns:a="http://schemas.openxmlformats.org/drawingml/2006/main">
                <a:ext uri="{FF2B5EF4-FFF2-40B4-BE49-F238E27FC236}">
                  <a16:creationId xmlns:a16="http://schemas.microsoft.com/office/drawing/2014/main" id="{909F61BA-A0D9-4C8A-9E96-629848007E8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sectPr w:rsidR="0083615D" w:rsidRPr="00F07882" w:rsidSect="00903DE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63D51" w14:textId="77777777" w:rsidR="001F0EE4" w:rsidRDefault="001F0EE4" w:rsidP="00CB7CB0">
      <w:pPr>
        <w:spacing w:after="0" w:line="240" w:lineRule="auto"/>
      </w:pPr>
      <w:r>
        <w:separator/>
      </w:r>
    </w:p>
  </w:endnote>
  <w:endnote w:type="continuationSeparator" w:id="0">
    <w:p w14:paraId="14AC86CF" w14:textId="77777777" w:rsidR="001F0EE4" w:rsidRDefault="001F0EE4" w:rsidP="00CB7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334092"/>
      <w:docPartObj>
        <w:docPartGallery w:val="Page Numbers (Bottom of Page)"/>
        <w:docPartUnique/>
      </w:docPartObj>
    </w:sdtPr>
    <w:sdtEndPr>
      <w:rPr>
        <w:noProof/>
      </w:rPr>
    </w:sdtEndPr>
    <w:sdtContent>
      <w:p w14:paraId="7FF0E3E8" w14:textId="383FD8C4" w:rsidR="00CB7CB0" w:rsidRDefault="00CB7CB0">
        <w:pPr>
          <w:pStyle w:val="Stopka"/>
          <w:jc w:val="center"/>
        </w:pPr>
        <w:r>
          <w:fldChar w:fldCharType="begin"/>
        </w:r>
        <w:r>
          <w:instrText xml:space="preserve"> PAGE   \* MERGEFORMAT </w:instrText>
        </w:r>
        <w:r>
          <w:fldChar w:fldCharType="separate"/>
        </w:r>
        <w:r>
          <w:rPr>
            <w:noProof/>
          </w:rPr>
          <w:t>2</w:t>
        </w:r>
        <w:r>
          <w:rPr>
            <w:noProof/>
          </w:rPr>
          <w:fldChar w:fldCharType="end"/>
        </w:r>
      </w:p>
    </w:sdtContent>
  </w:sdt>
  <w:p w14:paraId="65431C64" w14:textId="77777777" w:rsidR="00CB7CB0" w:rsidRDefault="00CB7CB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0D9EB" w14:textId="77777777" w:rsidR="001F0EE4" w:rsidRDefault="001F0EE4" w:rsidP="00CB7CB0">
      <w:pPr>
        <w:spacing w:after="0" w:line="240" w:lineRule="auto"/>
      </w:pPr>
      <w:r>
        <w:separator/>
      </w:r>
    </w:p>
  </w:footnote>
  <w:footnote w:type="continuationSeparator" w:id="0">
    <w:p w14:paraId="3C788EB7" w14:textId="77777777" w:rsidR="001F0EE4" w:rsidRDefault="001F0EE4" w:rsidP="00CB7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1275B"/>
    <w:multiLevelType w:val="hybridMultilevel"/>
    <w:tmpl w:val="020CE4B2"/>
    <w:lvl w:ilvl="0" w:tplc="37A64CE0">
      <w:start w:val="1"/>
      <w:numFmt w:val="bullet"/>
      <w:lvlText w:val="•"/>
      <w:lvlJc w:val="left"/>
      <w:pPr>
        <w:tabs>
          <w:tab w:val="num" w:pos="720"/>
        </w:tabs>
        <w:ind w:left="720" w:hanging="360"/>
      </w:pPr>
      <w:rPr>
        <w:rFonts w:ascii="Arial" w:hAnsi="Arial" w:hint="default"/>
      </w:rPr>
    </w:lvl>
    <w:lvl w:ilvl="1" w:tplc="8138D100" w:tentative="1">
      <w:start w:val="1"/>
      <w:numFmt w:val="bullet"/>
      <w:lvlText w:val="•"/>
      <w:lvlJc w:val="left"/>
      <w:pPr>
        <w:tabs>
          <w:tab w:val="num" w:pos="1440"/>
        </w:tabs>
        <w:ind w:left="1440" w:hanging="360"/>
      </w:pPr>
      <w:rPr>
        <w:rFonts w:ascii="Arial" w:hAnsi="Arial" w:hint="default"/>
      </w:rPr>
    </w:lvl>
    <w:lvl w:ilvl="2" w:tplc="65004A88" w:tentative="1">
      <w:start w:val="1"/>
      <w:numFmt w:val="bullet"/>
      <w:lvlText w:val="•"/>
      <w:lvlJc w:val="left"/>
      <w:pPr>
        <w:tabs>
          <w:tab w:val="num" w:pos="2160"/>
        </w:tabs>
        <w:ind w:left="2160" w:hanging="360"/>
      </w:pPr>
      <w:rPr>
        <w:rFonts w:ascii="Arial" w:hAnsi="Arial" w:hint="default"/>
      </w:rPr>
    </w:lvl>
    <w:lvl w:ilvl="3" w:tplc="9E604ED8" w:tentative="1">
      <w:start w:val="1"/>
      <w:numFmt w:val="bullet"/>
      <w:lvlText w:val="•"/>
      <w:lvlJc w:val="left"/>
      <w:pPr>
        <w:tabs>
          <w:tab w:val="num" w:pos="2880"/>
        </w:tabs>
        <w:ind w:left="2880" w:hanging="360"/>
      </w:pPr>
      <w:rPr>
        <w:rFonts w:ascii="Arial" w:hAnsi="Arial" w:hint="default"/>
      </w:rPr>
    </w:lvl>
    <w:lvl w:ilvl="4" w:tplc="0E926310" w:tentative="1">
      <w:start w:val="1"/>
      <w:numFmt w:val="bullet"/>
      <w:lvlText w:val="•"/>
      <w:lvlJc w:val="left"/>
      <w:pPr>
        <w:tabs>
          <w:tab w:val="num" w:pos="3600"/>
        </w:tabs>
        <w:ind w:left="3600" w:hanging="360"/>
      </w:pPr>
      <w:rPr>
        <w:rFonts w:ascii="Arial" w:hAnsi="Arial" w:hint="default"/>
      </w:rPr>
    </w:lvl>
    <w:lvl w:ilvl="5" w:tplc="B0B49C00" w:tentative="1">
      <w:start w:val="1"/>
      <w:numFmt w:val="bullet"/>
      <w:lvlText w:val="•"/>
      <w:lvlJc w:val="left"/>
      <w:pPr>
        <w:tabs>
          <w:tab w:val="num" w:pos="4320"/>
        </w:tabs>
        <w:ind w:left="4320" w:hanging="360"/>
      </w:pPr>
      <w:rPr>
        <w:rFonts w:ascii="Arial" w:hAnsi="Arial" w:hint="default"/>
      </w:rPr>
    </w:lvl>
    <w:lvl w:ilvl="6" w:tplc="19180574" w:tentative="1">
      <w:start w:val="1"/>
      <w:numFmt w:val="bullet"/>
      <w:lvlText w:val="•"/>
      <w:lvlJc w:val="left"/>
      <w:pPr>
        <w:tabs>
          <w:tab w:val="num" w:pos="5040"/>
        </w:tabs>
        <w:ind w:left="5040" w:hanging="360"/>
      </w:pPr>
      <w:rPr>
        <w:rFonts w:ascii="Arial" w:hAnsi="Arial" w:hint="default"/>
      </w:rPr>
    </w:lvl>
    <w:lvl w:ilvl="7" w:tplc="8BC6CE70" w:tentative="1">
      <w:start w:val="1"/>
      <w:numFmt w:val="bullet"/>
      <w:lvlText w:val="•"/>
      <w:lvlJc w:val="left"/>
      <w:pPr>
        <w:tabs>
          <w:tab w:val="num" w:pos="5760"/>
        </w:tabs>
        <w:ind w:left="5760" w:hanging="360"/>
      </w:pPr>
      <w:rPr>
        <w:rFonts w:ascii="Arial" w:hAnsi="Arial" w:hint="default"/>
      </w:rPr>
    </w:lvl>
    <w:lvl w:ilvl="8" w:tplc="181ADB3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B0E2CF1"/>
    <w:multiLevelType w:val="hybridMultilevel"/>
    <w:tmpl w:val="AAE0E25A"/>
    <w:lvl w:ilvl="0" w:tplc="4B22EB48">
      <w:start w:val="1"/>
      <w:numFmt w:val="bullet"/>
      <w:lvlText w:val="•"/>
      <w:lvlJc w:val="left"/>
      <w:pPr>
        <w:tabs>
          <w:tab w:val="num" w:pos="720"/>
        </w:tabs>
        <w:ind w:left="720" w:hanging="360"/>
      </w:pPr>
      <w:rPr>
        <w:rFonts w:ascii="Arial" w:hAnsi="Arial" w:hint="default"/>
      </w:rPr>
    </w:lvl>
    <w:lvl w:ilvl="1" w:tplc="A6C420B6" w:tentative="1">
      <w:start w:val="1"/>
      <w:numFmt w:val="bullet"/>
      <w:lvlText w:val="•"/>
      <w:lvlJc w:val="left"/>
      <w:pPr>
        <w:tabs>
          <w:tab w:val="num" w:pos="1440"/>
        </w:tabs>
        <w:ind w:left="1440" w:hanging="360"/>
      </w:pPr>
      <w:rPr>
        <w:rFonts w:ascii="Arial" w:hAnsi="Arial" w:hint="default"/>
      </w:rPr>
    </w:lvl>
    <w:lvl w:ilvl="2" w:tplc="5B46DF00" w:tentative="1">
      <w:start w:val="1"/>
      <w:numFmt w:val="bullet"/>
      <w:lvlText w:val="•"/>
      <w:lvlJc w:val="left"/>
      <w:pPr>
        <w:tabs>
          <w:tab w:val="num" w:pos="2160"/>
        </w:tabs>
        <w:ind w:left="2160" w:hanging="360"/>
      </w:pPr>
      <w:rPr>
        <w:rFonts w:ascii="Arial" w:hAnsi="Arial" w:hint="default"/>
      </w:rPr>
    </w:lvl>
    <w:lvl w:ilvl="3" w:tplc="B3020414" w:tentative="1">
      <w:start w:val="1"/>
      <w:numFmt w:val="bullet"/>
      <w:lvlText w:val="•"/>
      <w:lvlJc w:val="left"/>
      <w:pPr>
        <w:tabs>
          <w:tab w:val="num" w:pos="2880"/>
        </w:tabs>
        <w:ind w:left="2880" w:hanging="360"/>
      </w:pPr>
      <w:rPr>
        <w:rFonts w:ascii="Arial" w:hAnsi="Arial" w:hint="default"/>
      </w:rPr>
    </w:lvl>
    <w:lvl w:ilvl="4" w:tplc="C0E6F0BC" w:tentative="1">
      <w:start w:val="1"/>
      <w:numFmt w:val="bullet"/>
      <w:lvlText w:val="•"/>
      <w:lvlJc w:val="left"/>
      <w:pPr>
        <w:tabs>
          <w:tab w:val="num" w:pos="3600"/>
        </w:tabs>
        <w:ind w:left="3600" w:hanging="360"/>
      </w:pPr>
      <w:rPr>
        <w:rFonts w:ascii="Arial" w:hAnsi="Arial" w:hint="default"/>
      </w:rPr>
    </w:lvl>
    <w:lvl w:ilvl="5" w:tplc="0C78D720" w:tentative="1">
      <w:start w:val="1"/>
      <w:numFmt w:val="bullet"/>
      <w:lvlText w:val="•"/>
      <w:lvlJc w:val="left"/>
      <w:pPr>
        <w:tabs>
          <w:tab w:val="num" w:pos="4320"/>
        </w:tabs>
        <w:ind w:left="4320" w:hanging="360"/>
      </w:pPr>
      <w:rPr>
        <w:rFonts w:ascii="Arial" w:hAnsi="Arial" w:hint="default"/>
      </w:rPr>
    </w:lvl>
    <w:lvl w:ilvl="6" w:tplc="7F429E38" w:tentative="1">
      <w:start w:val="1"/>
      <w:numFmt w:val="bullet"/>
      <w:lvlText w:val="•"/>
      <w:lvlJc w:val="left"/>
      <w:pPr>
        <w:tabs>
          <w:tab w:val="num" w:pos="5040"/>
        </w:tabs>
        <w:ind w:left="5040" w:hanging="360"/>
      </w:pPr>
      <w:rPr>
        <w:rFonts w:ascii="Arial" w:hAnsi="Arial" w:hint="default"/>
      </w:rPr>
    </w:lvl>
    <w:lvl w:ilvl="7" w:tplc="64302298" w:tentative="1">
      <w:start w:val="1"/>
      <w:numFmt w:val="bullet"/>
      <w:lvlText w:val="•"/>
      <w:lvlJc w:val="left"/>
      <w:pPr>
        <w:tabs>
          <w:tab w:val="num" w:pos="5760"/>
        </w:tabs>
        <w:ind w:left="5760" w:hanging="360"/>
      </w:pPr>
      <w:rPr>
        <w:rFonts w:ascii="Arial" w:hAnsi="Arial" w:hint="default"/>
      </w:rPr>
    </w:lvl>
    <w:lvl w:ilvl="8" w:tplc="61DC930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AE"/>
    <w:rsid w:val="0001567E"/>
    <w:rsid w:val="00047B48"/>
    <w:rsid w:val="000A3A80"/>
    <w:rsid w:val="001916AE"/>
    <w:rsid w:val="001F0EE4"/>
    <w:rsid w:val="002962C9"/>
    <w:rsid w:val="002C5703"/>
    <w:rsid w:val="003374FB"/>
    <w:rsid w:val="00360DD1"/>
    <w:rsid w:val="00380863"/>
    <w:rsid w:val="003B0DAD"/>
    <w:rsid w:val="004256C6"/>
    <w:rsid w:val="00444D19"/>
    <w:rsid w:val="00445CB5"/>
    <w:rsid w:val="004A6025"/>
    <w:rsid w:val="004E1E5B"/>
    <w:rsid w:val="004F7AE2"/>
    <w:rsid w:val="00530AE0"/>
    <w:rsid w:val="00630FB2"/>
    <w:rsid w:val="007B627E"/>
    <w:rsid w:val="007F5654"/>
    <w:rsid w:val="0083615D"/>
    <w:rsid w:val="008D6BD1"/>
    <w:rsid w:val="00903DE4"/>
    <w:rsid w:val="00980A99"/>
    <w:rsid w:val="00AA3590"/>
    <w:rsid w:val="00B42F56"/>
    <w:rsid w:val="00CB7CB0"/>
    <w:rsid w:val="00CE077B"/>
    <w:rsid w:val="00D45335"/>
    <w:rsid w:val="00D85C30"/>
    <w:rsid w:val="00D92F48"/>
    <w:rsid w:val="00DE326A"/>
    <w:rsid w:val="00F07882"/>
    <w:rsid w:val="00F65BF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65752"/>
  <w15:chartTrackingRefBased/>
  <w15:docId w15:val="{E38422B1-6107-498B-99CA-2CC3A9D2E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0AE0"/>
    <w:rPr>
      <w:lang w:val="pl-PL"/>
    </w:rPr>
  </w:style>
  <w:style w:type="paragraph" w:styleId="Nagwek1">
    <w:name w:val="heading 1"/>
    <w:basedOn w:val="Normalny"/>
    <w:next w:val="Normalny"/>
    <w:link w:val="Nagwek1Znak"/>
    <w:uiPriority w:val="9"/>
    <w:qFormat/>
    <w:rsid w:val="00B42F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4F7AE2"/>
    <w:rPr>
      <w:sz w:val="16"/>
      <w:szCs w:val="16"/>
    </w:rPr>
  </w:style>
  <w:style w:type="paragraph" w:styleId="Tekstkomentarza">
    <w:name w:val="annotation text"/>
    <w:basedOn w:val="Normalny"/>
    <w:link w:val="TekstkomentarzaZnak"/>
    <w:uiPriority w:val="99"/>
    <w:semiHidden/>
    <w:unhideWhenUsed/>
    <w:rsid w:val="004F7AE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7AE2"/>
    <w:rPr>
      <w:sz w:val="20"/>
      <w:szCs w:val="20"/>
      <w:lang w:val="pl-PL"/>
    </w:rPr>
  </w:style>
  <w:style w:type="paragraph" w:styleId="NormalnyWeb">
    <w:name w:val="Normal (Web)"/>
    <w:basedOn w:val="Normalny"/>
    <w:uiPriority w:val="99"/>
    <w:semiHidden/>
    <w:unhideWhenUsed/>
    <w:rsid w:val="0083615D"/>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Akapitzlist">
    <w:name w:val="List Paragraph"/>
    <w:basedOn w:val="Normalny"/>
    <w:uiPriority w:val="34"/>
    <w:qFormat/>
    <w:rsid w:val="0083615D"/>
    <w:pPr>
      <w:spacing w:after="0" w:line="240" w:lineRule="auto"/>
      <w:ind w:left="720"/>
      <w:contextualSpacing/>
    </w:pPr>
    <w:rPr>
      <w:rFonts w:ascii="Times New Roman" w:eastAsiaTheme="minorEastAsia" w:hAnsi="Times New Roman" w:cs="Times New Roman"/>
      <w:sz w:val="24"/>
      <w:szCs w:val="24"/>
      <w:lang w:eastAsia="pl-PL"/>
    </w:rPr>
  </w:style>
  <w:style w:type="paragraph" w:styleId="Podtytu">
    <w:name w:val="Subtitle"/>
    <w:basedOn w:val="Normalny"/>
    <w:next w:val="Normalny"/>
    <w:link w:val="PodtytuZnak"/>
    <w:uiPriority w:val="11"/>
    <w:qFormat/>
    <w:rsid w:val="00B42F56"/>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B42F56"/>
    <w:rPr>
      <w:rFonts w:eastAsiaTheme="minorEastAsia"/>
      <w:color w:val="5A5A5A" w:themeColor="text1" w:themeTint="A5"/>
      <w:spacing w:val="15"/>
      <w:lang w:val="pl-PL"/>
    </w:rPr>
  </w:style>
  <w:style w:type="paragraph" w:styleId="Tytu">
    <w:name w:val="Title"/>
    <w:basedOn w:val="Normalny"/>
    <w:next w:val="Normalny"/>
    <w:link w:val="TytuZnak"/>
    <w:uiPriority w:val="10"/>
    <w:qFormat/>
    <w:rsid w:val="00B42F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42F56"/>
    <w:rPr>
      <w:rFonts w:asciiTheme="majorHAnsi" w:eastAsiaTheme="majorEastAsia" w:hAnsiTheme="majorHAnsi" w:cstheme="majorBidi"/>
      <w:spacing w:val="-10"/>
      <w:kern w:val="28"/>
      <w:sz w:val="56"/>
      <w:szCs w:val="56"/>
      <w:lang w:val="pl-PL"/>
    </w:rPr>
  </w:style>
  <w:style w:type="character" w:customStyle="1" w:styleId="Nagwek1Znak">
    <w:name w:val="Nagłówek 1 Znak"/>
    <w:basedOn w:val="Domylnaczcionkaakapitu"/>
    <w:link w:val="Nagwek1"/>
    <w:uiPriority w:val="9"/>
    <w:rsid w:val="00B42F56"/>
    <w:rPr>
      <w:rFonts w:asciiTheme="majorHAnsi" w:eastAsiaTheme="majorEastAsia" w:hAnsiTheme="majorHAnsi" w:cstheme="majorBidi"/>
      <w:color w:val="2F5496" w:themeColor="accent1" w:themeShade="BF"/>
      <w:sz w:val="32"/>
      <w:szCs w:val="32"/>
      <w:lang w:val="pl-PL"/>
    </w:rPr>
  </w:style>
  <w:style w:type="paragraph" w:styleId="Nagwek">
    <w:name w:val="header"/>
    <w:basedOn w:val="Normalny"/>
    <w:link w:val="NagwekZnak"/>
    <w:uiPriority w:val="99"/>
    <w:unhideWhenUsed/>
    <w:rsid w:val="00CB7CB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B7CB0"/>
    <w:rPr>
      <w:lang w:val="pl-PL"/>
    </w:rPr>
  </w:style>
  <w:style w:type="paragraph" w:styleId="Stopka">
    <w:name w:val="footer"/>
    <w:basedOn w:val="Normalny"/>
    <w:link w:val="StopkaZnak"/>
    <w:uiPriority w:val="99"/>
    <w:unhideWhenUsed/>
    <w:rsid w:val="00CB7CB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B7CB0"/>
    <w:rPr>
      <w:lang w:val="pl-PL"/>
    </w:rPr>
  </w:style>
  <w:style w:type="paragraph" w:customStyle="1" w:styleId="Standard">
    <w:name w:val="Standard"/>
    <w:qFormat/>
    <w:rsid w:val="003374FB"/>
    <w:pPr>
      <w:suppressAutoHyphens/>
      <w:spacing w:after="0" w:line="240" w:lineRule="auto"/>
    </w:pPr>
    <w:rPr>
      <w:rFonts w:ascii="Times New Roman" w:eastAsia="NSimSun" w:hAnsi="Times New Roman" w:cs="Times New Roman"/>
      <w:kern w:val="2"/>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E4A5F9-4E9F-4C36-8EE1-1E9F2F205CBE}" type="doc">
      <dgm:prSet loTypeId="urn:microsoft.com/office/officeart/2005/8/layout/process2" loCatId="process" qsTypeId="urn:microsoft.com/office/officeart/2005/8/quickstyle/simple1" qsCatId="simple" csTypeId="urn:microsoft.com/office/officeart/2005/8/colors/accent3_5" csCatId="accent3" phldr="1"/>
      <dgm:spPr/>
    </dgm:pt>
    <dgm:pt modelId="{3BBBC02F-2E72-479A-BBB5-842208A2071C}">
      <dgm:prSet phldrT="[Tekst]" custT="1"/>
      <dgm:spPr/>
      <dgm:t>
        <a:bodyPr/>
        <a:lstStyle/>
        <a:p>
          <a:r>
            <a:rPr lang="pl-PL" sz="2000">
              <a:solidFill>
                <a:schemeClr val="tx1"/>
              </a:solidFill>
            </a:rPr>
            <a:t>10,425 randomly selected addresses</a:t>
          </a:r>
        </a:p>
      </dgm:t>
    </dgm:pt>
    <dgm:pt modelId="{E005DC2E-B57B-4E55-BFC6-E86750A97DF5}" type="parTrans" cxnId="{79F9BC69-AE9D-4C73-879D-A3A1A094FA94}">
      <dgm:prSet/>
      <dgm:spPr/>
      <dgm:t>
        <a:bodyPr/>
        <a:lstStyle/>
        <a:p>
          <a:endParaRPr lang="pl-PL"/>
        </a:p>
      </dgm:t>
    </dgm:pt>
    <dgm:pt modelId="{91903570-0B1B-47EF-A760-13D519DFFC12}" type="sibTrans" cxnId="{79F9BC69-AE9D-4C73-879D-A3A1A094FA94}">
      <dgm:prSet/>
      <dgm:spPr/>
      <dgm:t>
        <a:bodyPr/>
        <a:lstStyle/>
        <a:p>
          <a:endParaRPr lang="pl-PL">
            <a:solidFill>
              <a:schemeClr val="tx1"/>
            </a:solidFill>
          </a:endParaRPr>
        </a:p>
      </dgm:t>
    </dgm:pt>
    <dgm:pt modelId="{963899DC-87A7-4A09-8D64-D83822515F5A}">
      <dgm:prSet phldrT="[Tekst]" custT="1"/>
      <dgm:spPr/>
      <dgm:t>
        <a:bodyPr/>
        <a:lstStyle/>
        <a:p>
          <a:pPr algn="ctr"/>
          <a:r>
            <a:rPr lang="pl-PL" sz="2000">
              <a:solidFill>
                <a:schemeClr val="tx1"/>
              </a:solidFill>
            </a:rPr>
            <a:t>7,429 subjects eligible</a:t>
          </a:r>
        </a:p>
      </dgm:t>
    </dgm:pt>
    <dgm:pt modelId="{6E7D6431-E92A-4086-AB58-BBE7E94F578B}" type="parTrans" cxnId="{DA490931-DFC8-43A8-99D4-33681B67AD6A}">
      <dgm:prSet/>
      <dgm:spPr/>
      <dgm:t>
        <a:bodyPr/>
        <a:lstStyle/>
        <a:p>
          <a:endParaRPr lang="pl-PL"/>
        </a:p>
      </dgm:t>
    </dgm:pt>
    <dgm:pt modelId="{4C205551-86E1-4DAE-B060-23276F402C9C}" type="sibTrans" cxnId="{DA490931-DFC8-43A8-99D4-33681B67AD6A}">
      <dgm:prSet/>
      <dgm:spPr/>
      <dgm:t>
        <a:bodyPr/>
        <a:lstStyle/>
        <a:p>
          <a:endParaRPr lang="pl-PL">
            <a:solidFill>
              <a:schemeClr val="tx1"/>
            </a:solidFill>
          </a:endParaRPr>
        </a:p>
      </dgm:t>
    </dgm:pt>
    <dgm:pt modelId="{B6FE5EF3-40C9-4296-8130-437EB48C23E2}">
      <dgm:prSet custT="1"/>
      <dgm:spPr/>
      <dgm:t>
        <a:bodyPr/>
        <a:lstStyle/>
        <a:p>
          <a:r>
            <a:rPr lang="pl-PL" sz="2000">
              <a:solidFill>
                <a:schemeClr val="tx1"/>
              </a:solidFill>
            </a:rPr>
            <a:t>3,014 participants agreed</a:t>
          </a:r>
        </a:p>
      </dgm:t>
    </dgm:pt>
    <dgm:pt modelId="{4E387543-143D-4FA3-B54E-14C573C07143}" type="parTrans" cxnId="{03A8647F-B022-413B-B29F-BF04D6EF4037}">
      <dgm:prSet/>
      <dgm:spPr/>
      <dgm:t>
        <a:bodyPr/>
        <a:lstStyle/>
        <a:p>
          <a:endParaRPr lang="pl-PL"/>
        </a:p>
      </dgm:t>
    </dgm:pt>
    <dgm:pt modelId="{D3AE1887-9F95-40A9-963E-8F5554336C0B}" type="sibTrans" cxnId="{03A8647F-B022-413B-B29F-BF04D6EF4037}">
      <dgm:prSet/>
      <dgm:spPr/>
      <dgm:t>
        <a:bodyPr/>
        <a:lstStyle/>
        <a:p>
          <a:endParaRPr lang="pl-PL"/>
        </a:p>
      </dgm:t>
    </dgm:pt>
    <dgm:pt modelId="{7555B44E-B7DD-4028-B382-C90CD5615C93}">
      <dgm:prSet custT="1"/>
      <dgm:spPr/>
      <dgm:t>
        <a:bodyPr/>
        <a:lstStyle/>
        <a:p>
          <a:r>
            <a:rPr lang="pl-PL" sz="1200">
              <a:solidFill>
                <a:schemeClr val="tx1"/>
              </a:solidFill>
            </a:rPr>
            <a:t>2,955 questionnaires and BPs</a:t>
          </a:r>
        </a:p>
        <a:p>
          <a:r>
            <a:rPr lang="pl-PL" sz="1200">
              <a:solidFill>
                <a:schemeClr val="tx1"/>
              </a:solidFill>
            </a:rPr>
            <a:t>2,937 blood samples taken</a:t>
          </a:r>
        </a:p>
        <a:p>
          <a:r>
            <a:rPr lang="pl-PL" sz="1200" b="1">
              <a:solidFill>
                <a:schemeClr val="tx1"/>
              </a:solidFill>
            </a:rPr>
            <a:t>(2. visit)</a:t>
          </a:r>
        </a:p>
      </dgm:t>
    </dgm:pt>
    <dgm:pt modelId="{43EE0E9F-A4A6-498C-880E-B678FA70ED4D}" type="parTrans" cxnId="{0326A9E6-3859-4933-B053-818B033FB67A}">
      <dgm:prSet/>
      <dgm:spPr/>
      <dgm:t>
        <a:bodyPr/>
        <a:lstStyle/>
        <a:p>
          <a:endParaRPr lang="pl-PL"/>
        </a:p>
      </dgm:t>
    </dgm:pt>
    <dgm:pt modelId="{2DDAB558-02F8-4470-BC73-46200C36A869}" type="sibTrans" cxnId="{0326A9E6-3859-4933-B053-818B033FB67A}">
      <dgm:prSet/>
      <dgm:spPr/>
      <dgm:t>
        <a:bodyPr/>
        <a:lstStyle/>
        <a:p>
          <a:endParaRPr lang="pl-PL"/>
        </a:p>
      </dgm:t>
    </dgm:pt>
    <dgm:pt modelId="{CFBC9588-8BCB-47CE-BAAA-7DF77FED5E7B}">
      <dgm:prSet custT="1"/>
      <dgm:spPr/>
      <dgm:t>
        <a:bodyPr/>
        <a:lstStyle/>
        <a:p>
          <a:r>
            <a:rPr lang="pl-PL" sz="1200" b="0" i="0">
              <a:solidFill>
                <a:schemeClr val="tx1"/>
              </a:solidFill>
            </a:rPr>
            <a:t>2,865 questionnaires and BPs </a:t>
          </a:r>
        </a:p>
        <a:p>
          <a:r>
            <a:rPr lang="pl-PL" sz="1200" b="1" i="0">
              <a:solidFill>
                <a:schemeClr val="tx1"/>
              </a:solidFill>
            </a:rPr>
            <a:t>(3. visit)</a:t>
          </a:r>
          <a:endParaRPr lang="pl-PL" sz="1200" b="1">
            <a:solidFill>
              <a:schemeClr val="tx1"/>
            </a:solidFill>
          </a:endParaRPr>
        </a:p>
      </dgm:t>
    </dgm:pt>
    <dgm:pt modelId="{F3CD795F-6492-4459-A9B7-8FFFBE87977C}" type="parTrans" cxnId="{78654FB8-8F4F-4A1C-8C2E-CD7F2F2B8D1D}">
      <dgm:prSet/>
      <dgm:spPr/>
      <dgm:t>
        <a:bodyPr/>
        <a:lstStyle/>
        <a:p>
          <a:endParaRPr lang="pl-PL"/>
        </a:p>
      </dgm:t>
    </dgm:pt>
    <dgm:pt modelId="{7554E6F2-C4D2-4FD0-B6F3-19EEEE173674}" type="sibTrans" cxnId="{78654FB8-8F4F-4A1C-8C2E-CD7F2F2B8D1D}">
      <dgm:prSet/>
      <dgm:spPr/>
      <dgm:t>
        <a:bodyPr/>
        <a:lstStyle/>
        <a:p>
          <a:endParaRPr lang="pl-PL"/>
        </a:p>
      </dgm:t>
    </dgm:pt>
    <dgm:pt modelId="{CBDA8118-A4A2-4C03-A909-B05064C2F53A}">
      <dgm:prSet custT="1"/>
      <dgm:spPr/>
      <dgm:t>
        <a:bodyPr/>
        <a:lstStyle/>
        <a:p>
          <a:r>
            <a:rPr lang="pl-PL" sz="1200">
              <a:solidFill>
                <a:schemeClr val="tx1"/>
              </a:solidFill>
            </a:rPr>
            <a:t>3,014 questionnaires, exams,  BPs and ECGs performed </a:t>
          </a:r>
        </a:p>
        <a:p>
          <a:r>
            <a:rPr lang="pl-PL" sz="1200" b="1">
              <a:solidFill>
                <a:schemeClr val="tx1"/>
              </a:solidFill>
            </a:rPr>
            <a:t>(1. visit)</a:t>
          </a:r>
        </a:p>
      </dgm:t>
    </dgm:pt>
    <dgm:pt modelId="{5215C1EE-1515-4CDE-8155-33C8B33B5526}" type="parTrans" cxnId="{8343EAC2-AC54-4D9D-AE67-7457D63C9C1A}">
      <dgm:prSet/>
      <dgm:spPr/>
      <dgm:t>
        <a:bodyPr/>
        <a:lstStyle/>
        <a:p>
          <a:endParaRPr lang="pl-PL"/>
        </a:p>
      </dgm:t>
    </dgm:pt>
    <dgm:pt modelId="{58745ECB-DB08-41D4-B377-E6E66713B6AD}" type="sibTrans" cxnId="{8343EAC2-AC54-4D9D-AE67-7457D63C9C1A}">
      <dgm:prSet/>
      <dgm:spPr/>
      <dgm:t>
        <a:bodyPr/>
        <a:lstStyle/>
        <a:p>
          <a:endParaRPr lang="pl-PL"/>
        </a:p>
      </dgm:t>
    </dgm:pt>
    <dgm:pt modelId="{1AB511DE-18E1-407E-86F4-C3B8F8DEFD04}" type="pres">
      <dgm:prSet presAssocID="{9DE4A5F9-4E9F-4C36-8EE1-1E9F2F205CBE}" presName="linearFlow" presStyleCnt="0">
        <dgm:presLayoutVars>
          <dgm:resizeHandles val="exact"/>
        </dgm:presLayoutVars>
      </dgm:prSet>
      <dgm:spPr/>
    </dgm:pt>
    <dgm:pt modelId="{70C72DD1-8634-4058-929C-697809A53A9D}" type="pres">
      <dgm:prSet presAssocID="{3BBBC02F-2E72-479A-BBB5-842208A2071C}" presName="node" presStyleLbl="node1" presStyleIdx="0" presStyleCnt="6" custScaleX="180315">
        <dgm:presLayoutVars>
          <dgm:bulletEnabled val="1"/>
        </dgm:presLayoutVars>
      </dgm:prSet>
      <dgm:spPr/>
    </dgm:pt>
    <dgm:pt modelId="{AD385213-4FAA-4D3A-AF4D-08C391820AFA}" type="pres">
      <dgm:prSet presAssocID="{91903570-0B1B-47EF-A760-13D519DFFC12}" presName="sibTrans" presStyleLbl="sibTrans2D1" presStyleIdx="0" presStyleCnt="5"/>
      <dgm:spPr/>
    </dgm:pt>
    <dgm:pt modelId="{E2A90E18-6E93-49A6-B125-A7C931BF8891}" type="pres">
      <dgm:prSet presAssocID="{91903570-0B1B-47EF-A760-13D519DFFC12}" presName="connectorText" presStyleLbl="sibTrans2D1" presStyleIdx="0" presStyleCnt="5"/>
      <dgm:spPr/>
    </dgm:pt>
    <dgm:pt modelId="{11288F49-CEE7-4978-9047-F3A074007A31}" type="pres">
      <dgm:prSet presAssocID="{963899DC-87A7-4A09-8D64-D83822515F5A}" presName="node" presStyleLbl="node1" presStyleIdx="1" presStyleCnt="6" custScaleX="178703">
        <dgm:presLayoutVars>
          <dgm:bulletEnabled val="1"/>
        </dgm:presLayoutVars>
      </dgm:prSet>
      <dgm:spPr/>
    </dgm:pt>
    <dgm:pt modelId="{187810C6-4BDD-4290-B455-7BF67A46A673}" type="pres">
      <dgm:prSet presAssocID="{4C205551-86E1-4DAE-B060-23276F402C9C}" presName="sibTrans" presStyleLbl="sibTrans2D1" presStyleIdx="1" presStyleCnt="5"/>
      <dgm:spPr/>
    </dgm:pt>
    <dgm:pt modelId="{BA544ECE-6DD4-4114-AA86-03FDDF1B4536}" type="pres">
      <dgm:prSet presAssocID="{4C205551-86E1-4DAE-B060-23276F402C9C}" presName="connectorText" presStyleLbl="sibTrans2D1" presStyleIdx="1" presStyleCnt="5"/>
      <dgm:spPr/>
    </dgm:pt>
    <dgm:pt modelId="{493D79DA-48CF-436C-B9B6-A9BEE0069BF6}" type="pres">
      <dgm:prSet presAssocID="{B6FE5EF3-40C9-4296-8130-437EB48C23E2}" presName="node" presStyleLbl="node1" presStyleIdx="2" presStyleCnt="6" custScaleX="177091">
        <dgm:presLayoutVars>
          <dgm:bulletEnabled val="1"/>
        </dgm:presLayoutVars>
      </dgm:prSet>
      <dgm:spPr/>
    </dgm:pt>
    <dgm:pt modelId="{EE82A081-2D9C-4E7A-BA89-28B68FE52C73}" type="pres">
      <dgm:prSet presAssocID="{D3AE1887-9F95-40A9-963E-8F5554336C0B}" presName="sibTrans" presStyleLbl="sibTrans2D1" presStyleIdx="2" presStyleCnt="5"/>
      <dgm:spPr/>
    </dgm:pt>
    <dgm:pt modelId="{CA7BB042-68E5-4B1C-ABB1-B88AD7A3BC5F}" type="pres">
      <dgm:prSet presAssocID="{D3AE1887-9F95-40A9-963E-8F5554336C0B}" presName="connectorText" presStyleLbl="sibTrans2D1" presStyleIdx="2" presStyleCnt="5"/>
      <dgm:spPr/>
    </dgm:pt>
    <dgm:pt modelId="{6E1A118A-5429-4604-8625-7862F8FE4E54}" type="pres">
      <dgm:prSet presAssocID="{CBDA8118-A4A2-4C03-A909-B05064C2F53A}" presName="node" presStyleLbl="node1" presStyleIdx="3" presStyleCnt="6" custScaleX="122853">
        <dgm:presLayoutVars>
          <dgm:bulletEnabled val="1"/>
        </dgm:presLayoutVars>
      </dgm:prSet>
      <dgm:spPr/>
    </dgm:pt>
    <dgm:pt modelId="{FA9A8639-94DD-4501-AE7B-4739CE461AD7}" type="pres">
      <dgm:prSet presAssocID="{58745ECB-DB08-41D4-B377-E6E66713B6AD}" presName="sibTrans" presStyleLbl="sibTrans2D1" presStyleIdx="3" presStyleCnt="5"/>
      <dgm:spPr/>
    </dgm:pt>
    <dgm:pt modelId="{EBF24764-BCB9-4EEF-9250-C5231AA538A7}" type="pres">
      <dgm:prSet presAssocID="{58745ECB-DB08-41D4-B377-E6E66713B6AD}" presName="connectorText" presStyleLbl="sibTrans2D1" presStyleIdx="3" presStyleCnt="5"/>
      <dgm:spPr/>
    </dgm:pt>
    <dgm:pt modelId="{AA6CCD61-5ABD-49AD-A529-D4922E24FE35}" type="pres">
      <dgm:prSet presAssocID="{7555B44E-B7DD-4028-B382-C90CD5615C93}" presName="node" presStyleLbl="node1" presStyleIdx="4" presStyleCnt="6" custScaleX="126785">
        <dgm:presLayoutVars>
          <dgm:bulletEnabled val="1"/>
        </dgm:presLayoutVars>
      </dgm:prSet>
      <dgm:spPr/>
    </dgm:pt>
    <dgm:pt modelId="{DF464BE3-4E2B-43E6-AA0C-F59BA963DE04}" type="pres">
      <dgm:prSet presAssocID="{2DDAB558-02F8-4470-BC73-46200C36A869}" presName="sibTrans" presStyleLbl="sibTrans2D1" presStyleIdx="4" presStyleCnt="5"/>
      <dgm:spPr/>
    </dgm:pt>
    <dgm:pt modelId="{B384DF75-FE69-4F96-8052-288A8B044FFB}" type="pres">
      <dgm:prSet presAssocID="{2DDAB558-02F8-4470-BC73-46200C36A869}" presName="connectorText" presStyleLbl="sibTrans2D1" presStyleIdx="4" presStyleCnt="5"/>
      <dgm:spPr/>
    </dgm:pt>
    <dgm:pt modelId="{D4FAB1E8-7DE4-4081-A160-610E5F4BF4CC}" type="pres">
      <dgm:prSet presAssocID="{CFBC9588-8BCB-47CE-BAAA-7DF77FED5E7B}" presName="node" presStyleLbl="node1" presStyleIdx="5" presStyleCnt="6" custScaleX="125211">
        <dgm:presLayoutVars>
          <dgm:bulletEnabled val="1"/>
        </dgm:presLayoutVars>
      </dgm:prSet>
      <dgm:spPr/>
    </dgm:pt>
  </dgm:ptLst>
  <dgm:cxnLst>
    <dgm:cxn modelId="{70D3A909-E229-414A-A713-F5EF5141A0A3}" type="presOf" srcId="{58745ECB-DB08-41D4-B377-E6E66713B6AD}" destId="{FA9A8639-94DD-4501-AE7B-4739CE461AD7}" srcOrd="0" destOrd="0" presId="urn:microsoft.com/office/officeart/2005/8/layout/process2"/>
    <dgm:cxn modelId="{FC824315-0842-4A31-84FF-F1A00FE47A2A}" type="presOf" srcId="{B6FE5EF3-40C9-4296-8130-437EB48C23E2}" destId="{493D79DA-48CF-436C-B9B6-A9BEE0069BF6}" srcOrd="0" destOrd="0" presId="urn:microsoft.com/office/officeart/2005/8/layout/process2"/>
    <dgm:cxn modelId="{02C16227-160E-407C-B77C-53AB574CAC1B}" type="presOf" srcId="{963899DC-87A7-4A09-8D64-D83822515F5A}" destId="{11288F49-CEE7-4978-9047-F3A074007A31}" srcOrd="0" destOrd="0" presId="urn:microsoft.com/office/officeart/2005/8/layout/process2"/>
    <dgm:cxn modelId="{DA490931-DFC8-43A8-99D4-33681B67AD6A}" srcId="{9DE4A5F9-4E9F-4C36-8EE1-1E9F2F205CBE}" destId="{963899DC-87A7-4A09-8D64-D83822515F5A}" srcOrd="1" destOrd="0" parTransId="{6E7D6431-E92A-4086-AB58-BBE7E94F578B}" sibTransId="{4C205551-86E1-4DAE-B060-23276F402C9C}"/>
    <dgm:cxn modelId="{F4A7BA3D-ADC1-473F-AC9B-36FAB599C0E6}" type="presOf" srcId="{9DE4A5F9-4E9F-4C36-8EE1-1E9F2F205CBE}" destId="{1AB511DE-18E1-407E-86F4-C3B8F8DEFD04}" srcOrd="0" destOrd="0" presId="urn:microsoft.com/office/officeart/2005/8/layout/process2"/>
    <dgm:cxn modelId="{A593573E-78A9-4C07-B306-AA4AD2811129}" type="presOf" srcId="{58745ECB-DB08-41D4-B377-E6E66713B6AD}" destId="{EBF24764-BCB9-4EEF-9250-C5231AA538A7}" srcOrd="1" destOrd="0" presId="urn:microsoft.com/office/officeart/2005/8/layout/process2"/>
    <dgm:cxn modelId="{9B1E2D44-EBD7-46BC-BF79-AAADF4D968FF}" type="presOf" srcId="{4C205551-86E1-4DAE-B060-23276F402C9C}" destId="{BA544ECE-6DD4-4114-AA86-03FDDF1B4536}" srcOrd="1" destOrd="0" presId="urn:microsoft.com/office/officeart/2005/8/layout/process2"/>
    <dgm:cxn modelId="{33105F48-E67A-4D42-9819-A6471965FFA3}" type="presOf" srcId="{2DDAB558-02F8-4470-BC73-46200C36A869}" destId="{B384DF75-FE69-4F96-8052-288A8B044FFB}" srcOrd="1" destOrd="0" presId="urn:microsoft.com/office/officeart/2005/8/layout/process2"/>
    <dgm:cxn modelId="{2B637C5C-0EA7-48AF-9B80-337E4A2C2E0F}" type="presOf" srcId="{2DDAB558-02F8-4470-BC73-46200C36A869}" destId="{DF464BE3-4E2B-43E6-AA0C-F59BA963DE04}" srcOrd="0" destOrd="0" presId="urn:microsoft.com/office/officeart/2005/8/layout/process2"/>
    <dgm:cxn modelId="{79F9BC69-AE9D-4C73-879D-A3A1A094FA94}" srcId="{9DE4A5F9-4E9F-4C36-8EE1-1E9F2F205CBE}" destId="{3BBBC02F-2E72-479A-BBB5-842208A2071C}" srcOrd="0" destOrd="0" parTransId="{E005DC2E-B57B-4E55-BFC6-E86750A97DF5}" sibTransId="{91903570-0B1B-47EF-A760-13D519DFFC12}"/>
    <dgm:cxn modelId="{03A8647F-B022-413B-B29F-BF04D6EF4037}" srcId="{9DE4A5F9-4E9F-4C36-8EE1-1E9F2F205CBE}" destId="{B6FE5EF3-40C9-4296-8130-437EB48C23E2}" srcOrd="2" destOrd="0" parTransId="{4E387543-143D-4FA3-B54E-14C573C07143}" sibTransId="{D3AE1887-9F95-40A9-963E-8F5554336C0B}"/>
    <dgm:cxn modelId="{A7F49D9B-9688-4960-9EEA-388FB1502DC0}" type="presOf" srcId="{91903570-0B1B-47EF-A760-13D519DFFC12}" destId="{AD385213-4FAA-4D3A-AF4D-08C391820AFA}" srcOrd="0" destOrd="0" presId="urn:microsoft.com/office/officeart/2005/8/layout/process2"/>
    <dgm:cxn modelId="{4384899E-A701-49CB-B0D5-7AE24B8F8255}" type="presOf" srcId="{D3AE1887-9F95-40A9-963E-8F5554336C0B}" destId="{CA7BB042-68E5-4B1C-ABB1-B88AD7A3BC5F}" srcOrd="1" destOrd="0" presId="urn:microsoft.com/office/officeart/2005/8/layout/process2"/>
    <dgm:cxn modelId="{4989F1A0-F848-451C-AF30-9B19E5159380}" type="presOf" srcId="{3BBBC02F-2E72-479A-BBB5-842208A2071C}" destId="{70C72DD1-8634-4058-929C-697809A53A9D}" srcOrd="0" destOrd="0" presId="urn:microsoft.com/office/officeart/2005/8/layout/process2"/>
    <dgm:cxn modelId="{17E134A2-9E65-4B0C-A8FB-C1307255AB02}" type="presOf" srcId="{D3AE1887-9F95-40A9-963E-8F5554336C0B}" destId="{EE82A081-2D9C-4E7A-BA89-28B68FE52C73}" srcOrd="0" destOrd="0" presId="urn:microsoft.com/office/officeart/2005/8/layout/process2"/>
    <dgm:cxn modelId="{E03B1BB8-4348-4AAC-A490-65A33912B577}" type="presOf" srcId="{7555B44E-B7DD-4028-B382-C90CD5615C93}" destId="{AA6CCD61-5ABD-49AD-A529-D4922E24FE35}" srcOrd="0" destOrd="0" presId="urn:microsoft.com/office/officeart/2005/8/layout/process2"/>
    <dgm:cxn modelId="{78654FB8-8F4F-4A1C-8C2E-CD7F2F2B8D1D}" srcId="{9DE4A5F9-4E9F-4C36-8EE1-1E9F2F205CBE}" destId="{CFBC9588-8BCB-47CE-BAAA-7DF77FED5E7B}" srcOrd="5" destOrd="0" parTransId="{F3CD795F-6492-4459-A9B7-8FFFBE87977C}" sibTransId="{7554E6F2-C4D2-4FD0-B6F3-19EEEE173674}"/>
    <dgm:cxn modelId="{8343EAC2-AC54-4D9D-AE67-7457D63C9C1A}" srcId="{9DE4A5F9-4E9F-4C36-8EE1-1E9F2F205CBE}" destId="{CBDA8118-A4A2-4C03-A909-B05064C2F53A}" srcOrd="3" destOrd="0" parTransId="{5215C1EE-1515-4CDE-8155-33C8B33B5526}" sibTransId="{58745ECB-DB08-41D4-B377-E6E66713B6AD}"/>
    <dgm:cxn modelId="{FB16F3D8-1CD7-4123-B75B-91DA94C58685}" type="presOf" srcId="{4C205551-86E1-4DAE-B060-23276F402C9C}" destId="{187810C6-4BDD-4290-B455-7BF67A46A673}" srcOrd="0" destOrd="0" presId="urn:microsoft.com/office/officeart/2005/8/layout/process2"/>
    <dgm:cxn modelId="{0326A9E6-3859-4933-B053-818B033FB67A}" srcId="{9DE4A5F9-4E9F-4C36-8EE1-1E9F2F205CBE}" destId="{7555B44E-B7DD-4028-B382-C90CD5615C93}" srcOrd="4" destOrd="0" parTransId="{43EE0E9F-A4A6-498C-880E-B678FA70ED4D}" sibTransId="{2DDAB558-02F8-4470-BC73-46200C36A869}"/>
    <dgm:cxn modelId="{8485AAF0-5CE1-422C-BE78-AFDD4DE2102D}" type="presOf" srcId="{91903570-0B1B-47EF-A760-13D519DFFC12}" destId="{E2A90E18-6E93-49A6-B125-A7C931BF8891}" srcOrd="1" destOrd="0" presId="urn:microsoft.com/office/officeart/2005/8/layout/process2"/>
    <dgm:cxn modelId="{51BE46F8-0F6D-4CE9-948E-62E2F0BCAFEB}" type="presOf" srcId="{CBDA8118-A4A2-4C03-A909-B05064C2F53A}" destId="{6E1A118A-5429-4604-8625-7862F8FE4E54}" srcOrd="0" destOrd="0" presId="urn:microsoft.com/office/officeart/2005/8/layout/process2"/>
    <dgm:cxn modelId="{523834FF-52CD-4022-BC78-E6698A367EA5}" type="presOf" srcId="{CFBC9588-8BCB-47CE-BAAA-7DF77FED5E7B}" destId="{D4FAB1E8-7DE4-4081-A160-610E5F4BF4CC}" srcOrd="0" destOrd="0" presId="urn:microsoft.com/office/officeart/2005/8/layout/process2"/>
    <dgm:cxn modelId="{EF2A1287-DBDD-48EE-A2A7-31ADAE078795}" type="presParOf" srcId="{1AB511DE-18E1-407E-86F4-C3B8F8DEFD04}" destId="{70C72DD1-8634-4058-929C-697809A53A9D}" srcOrd="0" destOrd="0" presId="urn:microsoft.com/office/officeart/2005/8/layout/process2"/>
    <dgm:cxn modelId="{FEBCA81F-250A-48E6-8ED1-0BF827F96815}" type="presParOf" srcId="{1AB511DE-18E1-407E-86F4-C3B8F8DEFD04}" destId="{AD385213-4FAA-4D3A-AF4D-08C391820AFA}" srcOrd="1" destOrd="0" presId="urn:microsoft.com/office/officeart/2005/8/layout/process2"/>
    <dgm:cxn modelId="{9BB6031B-C483-4ED2-ADAE-3BD151233BE5}" type="presParOf" srcId="{AD385213-4FAA-4D3A-AF4D-08C391820AFA}" destId="{E2A90E18-6E93-49A6-B125-A7C931BF8891}" srcOrd="0" destOrd="0" presId="urn:microsoft.com/office/officeart/2005/8/layout/process2"/>
    <dgm:cxn modelId="{83AAB778-EDD0-4FC0-BAC0-9F4869CFF62A}" type="presParOf" srcId="{1AB511DE-18E1-407E-86F4-C3B8F8DEFD04}" destId="{11288F49-CEE7-4978-9047-F3A074007A31}" srcOrd="2" destOrd="0" presId="urn:microsoft.com/office/officeart/2005/8/layout/process2"/>
    <dgm:cxn modelId="{919C7148-48E8-4607-84DF-DAF9AD144501}" type="presParOf" srcId="{1AB511DE-18E1-407E-86F4-C3B8F8DEFD04}" destId="{187810C6-4BDD-4290-B455-7BF67A46A673}" srcOrd="3" destOrd="0" presId="urn:microsoft.com/office/officeart/2005/8/layout/process2"/>
    <dgm:cxn modelId="{A7E5011B-1C52-4800-9291-8CF4F007F94C}" type="presParOf" srcId="{187810C6-4BDD-4290-B455-7BF67A46A673}" destId="{BA544ECE-6DD4-4114-AA86-03FDDF1B4536}" srcOrd="0" destOrd="0" presId="urn:microsoft.com/office/officeart/2005/8/layout/process2"/>
    <dgm:cxn modelId="{861D0F92-579F-407A-8CE6-A38DEBDE2266}" type="presParOf" srcId="{1AB511DE-18E1-407E-86F4-C3B8F8DEFD04}" destId="{493D79DA-48CF-436C-B9B6-A9BEE0069BF6}" srcOrd="4" destOrd="0" presId="urn:microsoft.com/office/officeart/2005/8/layout/process2"/>
    <dgm:cxn modelId="{1ED6FD11-5EDF-4907-8749-D2EDF00B5A3E}" type="presParOf" srcId="{1AB511DE-18E1-407E-86F4-C3B8F8DEFD04}" destId="{EE82A081-2D9C-4E7A-BA89-28B68FE52C73}" srcOrd="5" destOrd="0" presId="urn:microsoft.com/office/officeart/2005/8/layout/process2"/>
    <dgm:cxn modelId="{7C3C7634-A96A-459B-939F-23A2580ED3B3}" type="presParOf" srcId="{EE82A081-2D9C-4E7A-BA89-28B68FE52C73}" destId="{CA7BB042-68E5-4B1C-ABB1-B88AD7A3BC5F}" srcOrd="0" destOrd="0" presId="urn:microsoft.com/office/officeart/2005/8/layout/process2"/>
    <dgm:cxn modelId="{CFA29432-F473-40DB-8047-A2441E835E91}" type="presParOf" srcId="{1AB511DE-18E1-407E-86F4-C3B8F8DEFD04}" destId="{6E1A118A-5429-4604-8625-7862F8FE4E54}" srcOrd="6" destOrd="0" presId="urn:microsoft.com/office/officeart/2005/8/layout/process2"/>
    <dgm:cxn modelId="{F0655F22-3ED3-4A52-88B6-4345D43F3813}" type="presParOf" srcId="{1AB511DE-18E1-407E-86F4-C3B8F8DEFD04}" destId="{FA9A8639-94DD-4501-AE7B-4739CE461AD7}" srcOrd="7" destOrd="0" presId="urn:microsoft.com/office/officeart/2005/8/layout/process2"/>
    <dgm:cxn modelId="{D6291FD1-C143-4283-8FB4-6A23210E9A5D}" type="presParOf" srcId="{FA9A8639-94DD-4501-AE7B-4739CE461AD7}" destId="{EBF24764-BCB9-4EEF-9250-C5231AA538A7}" srcOrd="0" destOrd="0" presId="urn:microsoft.com/office/officeart/2005/8/layout/process2"/>
    <dgm:cxn modelId="{BEA4A1CF-2CCB-41DF-927B-7620CF5E8ED5}" type="presParOf" srcId="{1AB511DE-18E1-407E-86F4-C3B8F8DEFD04}" destId="{AA6CCD61-5ABD-49AD-A529-D4922E24FE35}" srcOrd="8" destOrd="0" presId="urn:microsoft.com/office/officeart/2005/8/layout/process2"/>
    <dgm:cxn modelId="{6F939BF0-3D6A-4A5C-BC95-8E9B3E25712A}" type="presParOf" srcId="{1AB511DE-18E1-407E-86F4-C3B8F8DEFD04}" destId="{DF464BE3-4E2B-43E6-AA0C-F59BA963DE04}" srcOrd="9" destOrd="0" presId="urn:microsoft.com/office/officeart/2005/8/layout/process2"/>
    <dgm:cxn modelId="{A0612E99-7560-48A8-ABF7-C998DE2CB2E2}" type="presParOf" srcId="{DF464BE3-4E2B-43E6-AA0C-F59BA963DE04}" destId="{B384DF75-FE69-4F96-8052-288A8B044FFB}" srcOrd="0" destOrd="0" presId="urn:microsoft.com/office/officeart/2005/8/layout/process2"/>
    <dgm:cxn modelId="{870FE93A-8B74-4374-A30A-7FC9C1816A27}" type="presParOf" srcId="{1AB511DE-18E1-407E-86F4-C3B8F8DEFD04}" destId="{D4FAB1E8-7DE4-4081-A160-610E5F4BF4CC}" srcOrd="10" destOrd="0" presId="urn:microsoft.com/office/officeart/2005/8/layout/process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C72DD1-8634-4058-929C-697809A53A9D}">
      <dsp:nvSpPr>
        <dsp:cNvPr id="0" name=""/>
        <dsp:cNvSpPr/>
      </dsp:nvSpPr>
      <dsp:spPr>
        <a:xfrm>
          <a:off x="0" y="3121"/>
          <a:ext cx="3056021" cy="924989"/>
        </a:xfrm>
        <a:prstGeom prst="roundRect">
          <a:avLst>
            <a:gd name="adj" fmla="val 10000"/>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pl-PL" sz="2000" kern="1200">
              <a:solidFill>
                <a:schemeClr val="tx1"/>
              </a:solidFill>
            </a:rPr>
            <a:t>10,425 randomly selected addresses</a:t>
          </a:r>
        </a:p>
      </dsp:txBody>
      <dsp:txXfrm>
        <a:off x="27092" y="30213"/>
        <a:ext cx="3001837" cy="870805"/>
      </dsp:txXfrm>
    </dsp:sp>
    <dsp:sp modelId="{AD385213-4FAA-4D3A-AF4D-08C391820AFA}">
      <dsp:nvSpPr>
        <dsp:cNvPr id="0" name=""/>
        <dsp:cNvSpPr/>
      </dsp:nvSpPr>
      <dsp:spPr>
        <a:xfrm rot="5400000">
          <a:off x="1354574" y="951235"/>
          <a:ext cx="346871" cy="416245"/>
        </a:xfrm>
        <a:prstGeom prst="rightArrow">
          <a:avLst>
            <a:gd name="adj1" fmla="val 60000"/>
            <a:gd name="adj2" fmla="val 50000"/>
          </a:avLst>
        </a:prstGeom>
        <a:solidFill>
          <a:schemeClr val="accent3">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pl-PL" sz="1700" kern="1200">
            <a:solidFill>
              <a:schemeClr val="tx1"/>
            </a:solidFill>
          </a:endParaRPr>
        </a:p>
      </dsp:txBody>
      <dsp:txXfrm rot="-5400000">
        <a:off x="1403137" y="985922"/>
        <a:ext cx="249747" cy="242810"/>
      </dsp:txXfrm>
    </dsp:sp>
    <dsp:sp modelId="{11288F49-CEE7-4978-9047-F3A074007A31}">
      <dsp:nvSpPr>
        <dsp:cNvPr id="0" name=""/>
        <dsp:cNvSpPr/>
      </dsp:nvSpPr>
      <dsp:spPr>
        <a:xfrm>
          <a:off x="13660" y="1390605"/>
          <a:ext cx="3028700" cy="924989"/>
        </a:xfrm>
        <a:prstGeom prst="roundRect">
          <a:avLst>
            <a:gd name="adj" fmla="val 10000"/>
          </a:avLst>
        </a:prstGeom>
        <a:solidFill>
          <a:schemeClr val="accent3">
            <a:alpha val="90000"/>
            <a:hueOff val="0"/>
            <a:satOff val="0"/>
            <a:lumOff val="0"/>
            <a:alphaOff val="-8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pl-PL" sz="2000" kern="1200">
              <a:solidFill>
                <a:schemeClr val="tx1"/>
              </a:solidFill>
            </a:rPr>
            <a:t>7,429 subjects eligible</a:t>
          </a:r>
        </a:p>
      </dsp:txBody>
      <dsp:txXfrm>
        <a:off x="40752" y="1417697"/>
        <a:ext cx="2974516" cy="870805"/>
      </dsp:txXfrm>
    </dsp:sp>
    <dsp:sp modelId="{187810C6-4BDD-4290-B455-7BF67A46A673}">
      <dsp:nvSpPr>
        <dsp:cNvPr id="0" name=""/>
        <dsp:cNvSpPr/>
      </dsp:nvSpPr>
      <dsp:spPr>
        <a:xfrm rot="5400000">
          <a:off x="1354574" y="2338719"/>
          <a:ext cx="346871" cy="416245"/>
        </a:xfrm>
        <a:prstGeom prst="rightArrow">
          <a:avLst>
            <a:gd name="adj1" fmla="val 60000"/>
            <a:gd name="adj2" fmla="val 50000"/>
          </a:avLst>
        </a:prstGeom>
        <a:solidFill>
          <a:schemeClr val="accent3">
            <a:shade val="90000"/>
            <a:hueOff val="0"/>
            <a:satOff val="0"/>
            <a:lumOff val="577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pl-PL" sz="1700" kern="1200">
            <a:solidFill>
              <a:schemeClr val="tx1"/>
            </a:solidFill>
          </a:endParaRPr>
        </a:p>
      </dsp:txBody>
      <dsp:txXfrm rot="-5400000">
        <a:off x="1403137" y="2373406"/>
        <a:ext cx="249747" cy="242810"/>
      </dsp:txXfrm>
    </dsp:sp>
    <dsp:sp modelId="{493D79DA-48CF-436C-B9B6-A9BEE0069BF6}">
      <dsp:nvSpPr>
        <dsp:cNvPr id="0" name=""/>
        <dsp:cNvSpPr/>
      </dsp:nvSpPr>
      <dsp:spPr>
        <a:xfrm>
          <a:off x="27320" y="2778089"/>
          <a:ext cx="3001379" cy="924989"/>
        </a:xfrm>
        <a:prstGeom prst="roundRect">
          <a:avLst>
            <a:gd name="adj" fmla="val 10000"/>
          </a:avLst>
        </a:prstGeom>
        <a:solidFill>
          <a:schemeClr val="accent3">
            <a:alpha val="90000"/>
            <a:hueOff val="0"/>
            <a:satOff val="0"/>
            <a:lumOff val="0"/>
            <a:alphaOff val="-16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pl-PL" sz="2000" kern="1200">
              <a:solidFill>
                <a:schemeClr val="tx1"/>
              </a:solidFill>
            </a:rPr>
            <a:t>3,014 participants agreed</a:t>
          </a:r>
        </a:p>
      </dsp:txBody>
      <dsp:txXfrm>
        <a:off x="54412" y="2805181"/>
        <a:ext cx="2947195" cy="870805"/>
      </dsp:txXfrm>
    </dsp:sp>
    <dsp:sp modelId="{EE82A081-2D9C-4E7A-BA89-28B68FE52C73}">
      <dsp:nvSpPr>
        <dsp:cNvPr id="0" name=""/>
        <dsp:cNvSpPr/>
      </dsp:nvSpPr>
      <dsp:spPr>
        <a:xfrm rot="5400000">
          <a:off x="1354574" y="3726203"/>
          <a:ext cx="346871" cy="416245"/>
        </a:xfrm>
        <a:prstGeom prst="rightArrow">
          <a:avLst>
            <a:gd name="adj1" fmla="val 60000"/>
            <a:gd name="adj2" fmla="val 50000"/>
          </a:avLst>
        </a:prstGeom>
        <a:solidFill>
          <a:schemeClr val="accent3">
            <a:shade val="90000"/>
            <a:hueOff val="0"/>
            <a:satOff val="0"/>
            <a:lumOff val="1154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pl-PL" sz="1700" kern="1200"/>
        </a:p>
      </dsp:txBody>
      <dsp:txXfrm rot="-5400000">
        <a:off x="1403137" y="3760890"/>
        <a:ext cx="249747" cy="242810"/>
      </dsp:txXfrm>
    </dsp:sp>
    <dsp:sp modelId="{6E1A118A-5429-4604-8625-7862F8FE4E54}">
      <dsp:nvSpPr>
        <dsp:cNvPr id="0" name=""/>
        <dsp:cNvSpPr/>
      </dsp:nvSpPr>
      <dsp:spPr>
        <a:xfrm>
          <a:off x="486939" y="4165573"/>
          <a:ext cx="2082141" cy="924989"/>
        </a:xfrm>
        <a:prstGeom prst="roundRect">
          <a:avLst>
            <a:gd name="adj" fmla="val 10000"/>
          </a:avLst>
        </a:prstGeom>
        <a:solidFill>
          <a:schemeClr val="accent3">
            <a:alpha val="90000"/>
            <a:hueOff val="0"/>
            <a:satOff val="0"/>
            <a:lumOff val="0"/>
            <a:alphaOff val="-24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solidFill>
                <a:schemeClr val="tx1"/>
              </a:solidFill>
            </a:rPr>
            <a:t>3,014 questionnaires, exams,  BPs and ECGs performed </a:t>
          </a:r>
        </a:p>
        <a:p>
          <a:pPr marL="0" lvl="0" indent="0" algn="ctr" defTabSz="533400">
            <a:lnSpc>
              <a:spcPct val="90000"/>
            </a:lnSpc>
            <a:spcBef>
              <a:spcPct val="0"/>
            </a:spcBef>
            <a:spcAft>
              <a:spcPct val="35000"/>
            </a:spcAft>
            <a:buNone/>
          </a:pPr>
          <a:r>
            <a:rPr lang="pl-PL" sz="1200" b="1" kern="1200">
              <a:solidFill>
                <a:schemeClr val="tx1"/>
              </a:solidFill>
            </a:rPr>
            <a:t>(1. visit)</a:t>
          </a:r>
        </a:p>
      </dsp:txBody>
      <dsp:txXfrm>
        <a:off x="514031" y="4192665"/>
        <a:ext cx="2027957" cy="870805"/>
      </dsp:txXfrm>
    </dsp:sp>
    <dsp:sp modelId="{FA9A8639-94DD-4501-AE7B-4739CE461AD7}">
      <dsp:nvSpPr>
        <dsp:cNvPr id="0" name=""/>
        <dsp:cNvSpPr/>
      </dsp:nvSpPr>
      <dsp:spPr>
        <a:xfrm rot="5400000">
          <a:off x="1354574" y="5113687"/>
          <a:ext cx="346871" cy="416245"/>
        </a:xfrm>
        <a:prstGeom prst="rightArrow">
          <a:avLst>
            <a:gd name="adj1" fmla="val 60000"/>
            <a:gd name="adj2" fmla="val 50000"/>
          </a:avLst>
        </a:prstGeom>
        <a:solidFill>
          <a:schemeClr val="accent3">
            <a:shade val="90000"/>
            <a:hueOff val="0"/>
            <a:satOff val="0"/>
            <a:lumOff val="1732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pl-PL" sz="1700" kern="1200"/>
        </a:p>
      </dsp:txBody>
      <dsp:txXfrm rot="-5400000">
        <a:off x="1403137" y="5148374"/>
        <a:ext cx="249747" cy="242810"/>
      </dsp:txXfrm>
    </dsp:sp>
    <dsp:sp modelId="{AA6CCD61-5ABD-49AD-A529-D4922E24FE35}">
      <dsp:nvSpPr>
        <dsp:cNvPr id="0" name=""/>
        <dsp:cNvSpPr/>
      </dsp:nvSpPr>
      <dsp:spPr>
        <a:xfrm>
          <a:off x="453619" y="5553057"/>
          <a:ext cx="2148781" cy="924989"/>
        </a:xfrm>
        <a:prstGeom prst="roundRect">
          <a:avLst>
            <a:gd name="adj" fmla="val 10000"/>
          </a:avLst>
        </a:prstGeom>
        <a:solidFill>
          <a:schemeClr val="accent3">
            <a:alpha val="90000"/>
            <a:hueOff val="0"/>
            <a:satOff val="0"/>
            <a:lumOff val="0"/>
            <a:alphaOff val="-32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solidFill>
                <a:schemeClr val="tx1"/>
              </a:solidFill>
            </a:rPr>
            <a:t>2,955 questionnaires and BPs</a:t>
          </a:r>
        </a:p>
        <a:p>
          <a:pPr marL="0" lvl="0" indent="0" algn="ctr" defTabSz="533400">
            <a:lnSpc>
              <a:spcPct val="90000"/>
            </a:lnSpc>
            <a:spcBef>
              <a:spcPct val="0"/>
            </a:spcBef>
            <a:spcAft>
              <a:spcPct val="35000"/>
            </a:spcAft>
            <a:buNone/>
          </a:pPr>
          <a:r>
            <a:rPr lang="pl-PL" sz="1200" kern="1200">
              <a:solidFill>
                <a:schemeClr val="tx1"/>
              </a:solidFill>
            </a:rPr>
            <a:t>2,937 blood samples taken</a:t>
          </a:r>
        </a:p>
        <a:p>
          <a:pPr marL="0" lvl="0" indent="0" algn="ctr" defTabSz="533400">
            <a:lnSpc>
              <a:spcPct val="90000"/>
            </a:lnSpc>
            <a:spcBef>
              <a:spcPct val="0"/>
            </a:spcBef>
            <a:spcAft>
              <a:spcPct val="35000"/>
            </a:spcAft>
            <a:buNone/>
          </a:pPr>
          <a:r>
            <a:rPr lang="pl-PL" sz="1200" b="1" kern="1200">
              <a:solidFill>
                <a:schemeClr val="tx1"/>
              </a:solidFill>
            </a:rPr>
            <a:t>(2. visit)</a:t>
          </a:r>
        </a:p>
      </dsp:txBody>
      <dsp:txXfrm>
        <a:off x="480711" y="5580149"/>
        <a:ext cx="2094597" cy="870805"/>
      </dsp:txXfrm>
    </dsp:sp>
    <dsp:sp modelId="{DF464BE3-4E2B-43E6-AA0C-F59BA963DE04}">
      <dsp:nvSpPr>
        <dsp:cNvPr id="0" name=""/>
        <dsp:cNvSpPr/>
      </dsp:nvSpPr>
      <dsp:spPr>
        <a:xfrm rot="5400000">
          <a:off x="1354574" y="6501171"/>
          <a:ext cx="346871" cy="416245"/>
        </a:xfrm>
        <a:prstGeom prst="rightArrow">
          <a:avLst>
            <a:gd name="adj1" fmla="val 60000"/>
            <a:gd name="adj2" fmla="val 50000"/>
          </a:avLst>
        </a:prstGeom>
        <a:solidFill>
          <a:schemeClr val="accent3">
            <a:shade val="90000"/>
            <a:hueOff val="0"/>
            <a:satOff val="0"/>
            <a:lumOff val="2309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pl-PL" sz="1700" kern="1200"/>
        </a:p>
      </dsp:txBody>
      <dsp:txXfrm rot="-5400000">
        <a:off x="1403137" y="6535858"/>
        <a:ext cx="249747" cy="242810"/>
      </dsp:txXfrm>
    </dsp:sp>
    <dsp:sp modelId="{D4FAB1E8-7DE4-4081-A160-610E5F4BF4CC}">
      <dsp:nvSpPr>
        <dsp:cNvPr id="0" name=""/>
        <dsp:cNvSpPr/>
      </dsp:nvSpPr>
      <dsp:spPr>
        <a:xfrm>
          <a:off x="466957" y="6940541"/>
          <a:ext cx="2122105" cy="924989"/>
        </a:xfrm>
        <a:prstGeom prst="roundRect">
          <a:avLst>
            <a:gd name="adj" fmla="val 10000"/>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0" i="0" kern="1200">
              <a:solidFill>
                <a:schemeClr val="tx1"/>
              </a:solidFill>
            </a:rPr>
            <a:t>2,865 questionnaires and BPs </a:t>
          </a:r>
        </a:p>
        <a:p>
          <a:pPr marL="0" lvl="0" indent="0" algn="ctr" defTabSz="533400">
            <a:lnSpc>
              <a:spcPct val="90000"/>
            </a:lnSpc>
            <a:spcBef>
              <a:spcPct val="0"/>
            </a:spcBef>
            <a:spcAft>
              <a:spcPct val="35000"/>
            </a:spcAft>
            <a:buNone/>
          </a:pPr>
          <a:r>
            <a:rPr lang="pl-PL" sz="1200" b="1" i="0" kern="1200">
              <a:solidFill>
                <a:schemeClr val="tx1"/>
              </a:solidFill>
            </a:rPr>
            <a:t>(3. visit)</a:t>
          </a:r>
          <a:endParaRPr lang="pl-PL" sz="1200" b="1" kern="1200">
            <a:solidFill>
              <a:schemeClr val="tx1"/>
            </a:solidFill>
          </a:endParaRPr>
        </a:p>
      </dsp:txBody>
      <dsp:txXfrm>
        <a:off x="494049" y="6967633"/>
        <a:ext cx="2067921" cy="87080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C0910B-03C0-404F-986C-FD153ECC3CDD}">
  <we:reference id="wa200001011" version="1.1.0.0" store="en-001" storeType="OMEX"/>
  <we:alternateReferences>
    <we:reference id="wa200001011"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0A7A4-CB8A-4324-AEE0-4EEC0F64D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691</Words>
  <Characters>4152</Characters>
  <Application>Microsoft Office Word</Application>
  <DocSecurity>0</DocSecurity>
  <Lines>34</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dc:creator>
  <cp:keywords/>
  <dc:description/>
  <cp:lastModifiedBy>Jakub Gumprecht</cp:lastModifiedBy>
  <cp:revision>2</cp:revision>
  <dcterms:created xsi:type="dcterms:W3CDTF">2023-01-26T11:42:00Z</dcterms:created>
  <dcterms:modified xsi:type="dcterms:W3CDTF">2023-01-26T11:42:00Z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documentId_9390</vt:lpwstr>
  </property>
  <property fmtid="{D5CDD505-2E9C-101B-9397-08002B2CF9AE}" pid="3" name="grammarly_documentContext">
    <vt:lpwstr>{"goals":[],"domain":"general","emotions":[],"dialect":"british"}</vt:lpwstr>
  </property>
</Properties>
</file>