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S1_Normalization of GSE10334 and GSE16134 datasets</w:t>
      </w:r>
      <w:r>
        <w:rPr>
          <w:rFonts w:hint="default" w:ascii="Times New Roman" w:hAnsi="Times New Roman" w:cs="Times New Roman"/>
          <w:lang w:val="en-US" w:eastAsia="zh-CN"/>
        </w:rPr>
        <w:t xml:space="preserve">. We first normalized the data so that every sample had the same baseline for calculation to accurately sort out the DEGs.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26230" cy="2320925"/>
            <wp:effectExtent l="0" t="0" r="1270" b="3175"/>
            <wp:docPr id="1" name="图片 1" descr="S1_Normalization of GSE10334 and GSE16134 datasets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_Normalization of GSE10334 and GSE16134 datasets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S2_Quality control of single-cell sequencing.  After a series of analysis and quality control including nFeature_RNA, n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Count_RNA, percent.mt, the single cell data for analysis was finally obtained.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49395" cy="5045710"/>
            <wp:effectExtent l="0" t="0" r="1905" b="8890"/>
            <wp:docPr id="2" name="图片 2" descr="S2_Quality control of single-cell sequencing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_Quality control of single-cell sequencing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504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20528"/>
    <w:rsid w:val="277764E0"/>
    <w:rsid w:val="56B63C14"/>
    <w:rsid w:val="6328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2023-02-02T12:48:03Z</dcterms:created>
  <dc:creator>11449</dc:creator>
  <cp:lastModifiedBy>楚茨</cp:lastModifiedBy>
  <dcterms:modified xsi:type="dcterms:W3CDTF">2023-02-02T13:01:00Z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