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C8448" w14:textId="5AA8F5C1" w:rsidR="00B904C6" w:rsidRPr="005017D0" w:rsidRDefault="002D3E4A" w:rsidP="00B904C6">
      <w:pPr>
        <w:spacing w:after="0" w:line="36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t>Extended Figure</w:t>
      </w:r>
      <w:r w:rsidR="00B904C6" w:rsidRPr="005017D0">
        <w:rPr>
          <w:rFonts w:ascii="Arial" w:hAnsi="Arial" w:cs="Arial"/>
          <w:b/>
        </w:rPr>
        <w:t xml:space="preserve"> 1</w:t>
      </w:r>
    </w:p>
    <w:p w14:paraId="00FB9F1E" w14:textId="77777777" w:rsidR="00B904C6" w:rsidRPr="005017D0" w:rsidRDefault="00B904C6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53947E9B" wp14:editId="02C9D6B4">
            <wp:extent cx="5032740" cy="3471514"/>
            <wp:effectExtent l="0" t="0" r="0" b="0"/>
            <wp:docPr id="4" name="図 4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, 箱ひげ図&#10;&#10;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91" t="15207" b="22093"/>
                    <a:stretch/>
                  </pic:blipFill>
                  <pic:spPr bwMode="auto">
                    <a:xfrm>
                      <a:off x="0" y="0"/>
                      <a:ext cx="5033332" cy="347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13F706" w14:textId="1EE8DDBC" w:rsidR="00B904C6" w:rsidRPr="005017D0" w:rsidRDefault="002D3E4A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t>Extended Figure</w:t>
      </w:r>
      <w:r w:rsidR="00B904C6" w:rsidRPr="005017D0">
        <w:rPr>
          <w:rFonts w:ascii="Arial" w:hAnsi="Arial" w:cs="Arial"/>
          <w:b/>
        </w:rPr>
        <w:t xml:space="preserve"> 1: </w:t>
      </w:r>
      <w:proofErr w:type="spellStart"/>
      <w:r w:rsidR="00B904C6" w:rsidRPr="005017D0">
        <w:rPr>
          <w:rFonts w:ascii="Arial" w:hAnsi="Arial" w:cs="Arial"/>
          <w:b/>
        </w:rPr>
        <w:t>ctDNA</w:t>
      </w:r>
      <w:proofErr w:type="spellEnd"/>
      <w:r w:rsidR="00B904C6" w:rsidRPr="005017D0">
        <w:rPr>
          <w:rFonts w:ascii="Arial" w:hAnsi="Arial" w:cs="Arial"/>
          <w:b/>
        </w:rPr>
        <w:t xml:space="preserve"> shed association with detection of </w:t>
      </w:r>
      <w:proofErr w:type="spellStart"/>
      <w:r w:rsidR="00B904C6" w:rsidRPr="005017D0">
        <w:rPr>
          <w:rFonts w:ascii="Arial" w:hAnsi="Arial" w:cs="Arial"/>
          <w:b/>
        </w:rPr>
        <w:t>bTMB</w:t>
      </w:r>
      <w:proofErr w:type="spellEnd"/>
      <w:r w:rsidR="00B904C6" w:rsidRPr="005017D0">
        <w:rPr>
          <w:rFonts w:ascii="Arial" w:hAnsi="Arial" w:cs="Arial"/>
          <w:b/>
        </w:rPr>
        <w:t xml:space="preserve"> and MSI</w:t>
      </w:r>
    </w:p>
    <w:p w14:paraId="28F872B4" w14:textId="100971BE" w:rsidR="00B904C6" w:rsidRPr="005017D0" w:rsidRDefault="00B904C6" w:rsidP="00F80E6F">
      <w:p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 xml:space="preserve">Estimated </w:t>
      </w:r>
      <w:proofErr w:type="spellStart"/>
      <w:r w:rsidRPr="005017D0">
        <w:rPr>
          <w:rFonts w:ascii="Arial" w:hAnsi="Arial" w:cs="Arial"/>
        </w:rPr>
        <w:t>ctDNA</w:t>
      </w:r>
      <w:proofErr w:type="spellEnd"/>
      <w:r w:rsidRPr="005017D0">
        <w:rPr>
          <w:rFonts w:ascii="Arial" w:hAnsi="Arial" w:cs="Arial"/>
        </w:rPr>
        <w:t xml:space="preserve"> fraction of samples with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&lt;10 versus ≥10 mut/Mb, and </w:t>
      </w:r>
      <w:r w:rsidR="00F80E6F" w:rsidRPr="005017D0">
        <w:rPr>
          <w:rFonts w:ascii="Arial" w:hAnsi="Arial" w:cs="Arial"/>
        </w:rPr>
        <w:t xml:space="preserve">those </w:t>
      </w:r>
      <w:r w:rsidRPr="005017D0">
        <w:rPr>
          <w:rFonts w:ascii="Arial" w:hAnsi="Arial" w:cs="Arial"/>
        </w:rPr>
        <w:t>with MSI-High signature detected.</w:t>
      </w:r>
    </w:p>
    <w:p w14:paraId="5E553A4E" w14:textId="77777777" w:rsidR="00B904C6" w:rsidRPr="005017D0" w:rsidRDefault="00B904C6" w:rsidP="00F80E6F">
      <w:pPr>
        <w:spacing w:after="0" w:line="240" w:lineRule="auto"/>
        <w:rPr>
          <w:rFonts w:ascii="Arial" w:hAnsi="Arial" w:cs="Arial"/>
          <w:b/>
          <w:bCs/>
          <w:lang w:eastAsia="ja-JP"/>
        </w:rPr>
      </w:pPr>
      <w:r w:rsidRPr="005017D0">
        <w:rPr>
          <w:rFonts w:ascii="Arial" w:hAnsi="Arial" w:cs="Arial"/>
          <w:b/>
          <w:bCs/>
          <w:lang w:eastAsia="ja-JP"/>
        </w:rPr>
        <w:br w:type="page"/>
      </w:r>
    </w:p>
    <w:p w14:paraId="06AAB727" w14:textId="1D24A537" w:rsidR="00B904C6" w:rsidRPr="005017D0" w:rsidRDefault="002D3E4A" w:rsidP="00F80E6F">
      <w:pPr>
        <w:snapToGrid w:val="0"/>
        <w:spacing w:after="0" w:line="240" w:lineRule="auto"/>
        <w:rPr>
          <w:rFonts w:ascii="Arial" w:hAnsi="Arial" w:cs="Arial"/>
          <w:b/>
          <w:bCs/>
          <w:lang w:eastAsia="ja-JP"/>
        </w:rPr>
      </w:pPr>
      <w:r w:rsidRPr="005017D0">
        <w:rPr>
          <w:rFonts w:ascii="Arial" w:hAnsi="Arial" w:cs="Arial"/>
          <w:b/>
          <w:bCs/>
          <w:lang w:eastAsia="ja-JP"/>
        </w:rPr>
        <w:lastRenderedPageBreak/>
        <w:t>Extended Figure</w:t>
      </w:r>
      <w:r w:rsidR="00B904C6" w:rsidRPr="005017D0">
        <w:rPr>
          <w:rFonts w:ascii="Arial" w:hAnsi="Arial" w:cs="Arial"/>
          <w:b/>
          <w:bCs/>
          <w:lang w:eastAsia="ja-JP"/>
        </w:rPr>
        <w:t xml:space="preserve"> 2</w:t>
      </w:r>
    </w:p>
    <w:p w14:paraId="5E410D76" w14:textId="21E2FC02" w:rsidR="00B904C6" w:rsidRPr="005017D0" w:rsidRDefault="004336E7" w:rsidP="00F80E6F">
      <w:pPr>
        <w:snapToGrid w:val="0"/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2069E244" wp14:editId="6CF8B075">
            <wp:extent cx="5491837" cy="62674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949" cy="6281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3E4A" w:rsidRPr="005017D0">
        <w:rPr>
          <w:rFonts w:ascii="Arial" w:hAnsi="Arial" w:cs="Arial"/>
          <w:b/>
        </w:rPr>
        <w:t>Extended Figure</w:t>
      </w:r>
      <w:r w:rsidR="00F80E6F" w:rsidRPr="005017D0">
        <w:rPr>
          <w:rFonts w:ascii="Arial" w:hAnsi="Arial" w:cs="Arial"/>
          <w:b/>
        </w:rPr>
        <w:t xml:space="preserve"> 2</w:t>
      </w:r>
      <w:r w:rsidR="00B904C6" w:rsidRPr="005017D0">
        <w:rPr>
          <w:rFonts w:ascii="Arial" w:hAnsi="Arial" w:cs="Arial"/>
          <w:b/>
        </w:rPr>
        <w:t xml:space="preserve">: TMB and </w:t>
      </w:r>
      <w:proofErr w:type="spellStart"/>
      <w:r w:rsidR="00B904C6" w:rsidRPr="005017D0">
        <w:rPr>
          <w:rFonts w:ascii="Arial" w:hAnsi="Arial" w:cs="Arial"/>
          <w:b/>
        </w:rPr>
        <w:t>bTMB</w:t>
      </w:r>
      <w:proofErr w:type="spellEnd"/>
      <w:r w:rsidR="00B904C6" w:rsidRPr="005017D0">
        <w:rPr>
          <w:rFonts w:ascii="Arial" w:hAnsi="Arial" w:cs="Arial"/>
          <w:b/>
        </w:rPr>
        <w:t xml:space="preserve"> distributions in various cancer types</w:t>
      </w:r>
    </w:p>
    <w:p w14:paraId="00AE4DD9" w14:textId="37DFE742" w:rsidR="00B904C6" w:rsidRPr="005017D0" w:rsidRDefault="00B904C6" w:rsidP="00F80E6F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</w:rPr>
        <w:t xml:space="preserve">Boxplot of tissue TMB and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scores in each cancer type (N of at least 30 liquid biopsies). Median, interquartile range, and outliers indicated by points. Samples arranged in order of prevalence of TMB ≥10 mut/Mb (see B).</w:t>
      </w:r>
    </w:p>
    <w:p w14:paraId="39ED397A" w14:textId="77777777" w:rsidR="00B904C6" w:rsidRPr="005017D0" w:rsidRDefault="00B904C6" w:rsidP="00F80E6F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 xml:space="preserve">Percentages of samples with TMB and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≥10 mut/Mb.</w:t>
      </w:r>
      <w:r w:rsidRPr="005017D0">
        <w:rPr>
          <w:rFonts w:ascii="Arial" w:hAnsi="Arial" w:cs="Arial"/>
          <w:b/>
        </w:rPr>
        <w:br w:type="page"/>
      </w:r>
    </w:p>
    <w:p w14:paraId="5CC2C746" w14:textId="143EC875" w:rsidR="00B904C6" w:rsidRPr="005017D0" w:rsidRDefault="002D3E4A" w:rsidP="00CB7D66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lastRenderedPageBreak/>
        <w:t>Extended Figure</w:t>
      </w:r>
      <w:r w:rsidR="00B904C6" w:rsidRPr="005017D0">
        <w:rPr>
          <w:rFonts w:ascii="Arial" w:hAnsi="Arial" w:cs="Arial"/>
          <w:b/>
        </w:rPr>
        <w:t xml:space="preserve"> 3</w:t>
      </w:r>
    </w:p>
    <w:p w14:paraId="0A4B042B" w14:textId="52051562" w:rsidR="00A16768" w:rsidRPr="005017D0" w:rsidRDefault="00A16768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30DD30C7" wp14:editId="06C2D77A">
            <wp:extent cx="5400040" cy="6791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Bx 4DO _2022062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9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241BF" w14:textId="52420FB5" w:rsidR="00A16768" w:rsidRPr="005017D0" w:rsidRDefault="00A16768" w:rsidP="00F80E6F">
      <w:pPr>
        <w:spacing w:after="0" w:line="240" w:lineRule="auto"/>
        <w:rPr>
          <w:rFonts w:ascii="Arial" w:hAnsi="Arial" w:cs="Arial"/>
          <w:b/>
        </w:rPr>
      </w:pPr>
    </w:p>
    <w:p w14:paraId="7E6AF8B0" w14:textId="73C80289" w:rsidR="00A16768" w:rsidRPr="00C309F0" w:rsidRDefault="002D3E4A" w:rsidP="00A16768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t>Extended Figure</w:t>
      </w:r>
      <w:r w:rsidR="00A16768" w:rsidRPr="005017D0">
        <w:rPr>
          <w:rFonts w:ascii="Arial" w:hAnsi="Arial" w:cs="Arial"/>
          <w:b/>
        </w:rPr>
        <w:t xml:space="preserve"> 3</w:t>
      </w:r>
      <w:r w:rsidR="00F229AF" w:rsidRPr="005017D0">
        <w:rPr>
          <w:rFonts w:ascii="Arial" w:hAnsi="Arial" w:cs="Arial"/>
          <w:b/>
        </w:rPr>
        <w:t xml:space="preserve">: </w:t>
      </w:r>
      <w:r w:rsidR="00F229AF" w:rsidRPr="00C309F0">
        <w:rPr>
          <w:rFonts w:ascii="Arial" w:hAnsi="Arial" w:cs="Arial"/>
          <w:b/>
        </w:rPr>
        <w:t>Pathogenic variants enriched in samples with high versus low TMB</w:t>
      </w:r>
    </w:p>
    <w:p w14:paraId="1FCF73B7" w14:textId="4AF677C4" w:rsidR="00F229AF" w:rsidRPr="00C309F0" w:rsidRDefault="00F229AF" w:rsidP="00F229AF">
      <w:pPr>
        <w:spacing w:after="0" w:line="240" w:lineRule="auto"/>
        <w:rPr>
          <w:rFonts w:ascii="Arial" w:hAnsi="Arial" w:cs="Arial"/>
        </w:rPr>
      </w:pPr>
      <w:r w:rsidRPr="00C309F0">
        <w:rPr>
          <w:rFonts w:ascii="Arial" w:hAnsi="Arial" w:cs="Arial"/>
          <w:bCs/>
        </w:rPr>
        <w:t xml:space="preserve">Tissue biopsies with TMB </w:t>
      </w:r>
      <w:r w:rsidRPr="00C309F0">
        <w:rPr>
          <w:rFonts w:ascii="Arial" w:hAnsi="Arial" w:cs="Arial"/>
        </w:rPr>
        <w:t>≥10 and &lt;10 mut/Mb</w:t>
      </w:r>
      <w:r w:rsidRPr="00C309F0">
        <w:rPr>
          <w:rFonts w:ascii="Arial" w:hAnsi="Arial" w:cs="Arial"/>
          <w:bCs/>
        </w:rPr>
        <w:t xml:space="preserve"> were analyzed for enrichment of variants predicted to be pathogenic or oncogenic. Note that these variants are not </w:t>
      </w:r>
      <w:r w:rsidRPr="00C309F0">
        <w:rPr>
          <w:rFonts w:ascii="Arial" w:hAnsi="Arial" w:cs="Arial"/>
          <w:bCs/>
        </w:rPr>
        <w:lastRenderedPageBreak/>
        <w:t xml:space="preserve">added up into TMB calculations—only variants of unknown significance are used for mutational burden biomarkers. Genes enriched in TMB </w:t>
      </w:r>
      <w:r w:rsidRPr="00C309F0">
        <w:rPr>
          <w:rFonts w:ascii="Arial" w:hAnsi="Arial" w:cs="Arial"/>
        </w:rPr>
        <w:t xml:space="preserve">≥10 samples </w:t>
      </w:r>
      <w:r w:rsidRPr="00C309F0">
        <w:rPr>
          <w:rFonts w:ascii="Arial" w:hAnsi="Arial" w:cs="Arial"/>
          <w:bCs/>
        </w:rPr>
        <w:t xml:space="preserve">associated with homologous recombination (orange) and mismatch repair (blue) are labeled in bold. Clonal </w:t>
      </w:r>
      <w:proofErr w:type="spellStart"/>
      <w:r w:rsidRPr="00C309F0">
        <w:rPr>
          <w:rFonts w:ascii="Arial" w:hAnsi="Arial" w:cs="Arial"/>
          <w:bCs/>
        </w:rPr>
        <w:t>hematopoieisis</w:t>
      </w:r>
      <w:proofErr w:type="spellEnd"/>
      <w:r w:rsidRPr="00C309F0">
        <w:rPr>
          <w:rFonts w:ascii="Arial" w:hAnsi="Arial" w:cs="Arial"/>
          <w:bCs/>
        </w:rPr>
        <w:t xml:space="preserve"> drivers (gold) analyzed in Figure 2 are marked here for reference. </w:t>
      </w:r>
      <w:bookmarkStart w:id="0" w:name="_Hlk113895613"/>
      <w:r w:rsidRPr="00C309F0">
        <w:rPr>
          <w:rFonts w:ascii="Arial" w:hAnsi="Arial" w:cs="Arial"/>
          <w:bCs/>
        </w:rPr>
        <w:t>See Supplementary File for numbers behind this figure.</w:t>
      </w:r>
      <w:bookmarkEnd w:id="0"/>
    </w:p>
    <w:p w14:paraId="7496EE25" w14:textId="77777777" w:rsidR="00F229AF" w:rsidRPr="00C309F0" w:rsidRDefault="00F229AF" w:rsidP="00F229AF">
      <w:pPr>
        <w:pStyle w:val="a3"/>
        <w:numPr>
          <w:ilvl w:val="0"/>
          <w:numId w:val="8"/>
        </w:numPr>
        <w:spacing w:after="0" w:line="240" w:lineRule="auto"/>
        <w:ind w:left="360"/>
        <w:rPr>
          <w:rFonts w:ascii="Arial" w:hAnsi="Arial" w:cs="Arial"/>
        </w:rPr>
      </w:pPr>
      <w:r w:rsidRPr="00C309F0">
        <w:rPr>
          <w:rFonts w:ascii="Arial" w:hAnsi="Arial" w:cs="Arial"/>
        </w:rPr>
        <w:t xml:space="preserve">Non-small cell lung cancer </w:t>
      </w:r>
    </w:p>
    <w:p w14:paraId="5D3B0A42" w14:textId="77777777" w:rsidR="00F229AF" w:rsidRPr="00C309F0" w:rsidRDefault="00F229AF" w:rsidP="00F229AF">
      <w:pPr>
        <w:pStyle w:val="a3"/>
        <w:numPr>
          <w:ilvl w:val="0"/>
          <w:numId w:val="8"/>
        </w:numPr>
        <w:spacing w:after="0" w:line="240" w:lineRule="auto"/>
        <w:ind w:left="360"/>
        <w:rPr>
          <w:rFonts w:ascii="Arial" w:hAnsi="Arial" w:cs="Arial"/>
        </w:rPr>
      </w:pPr>
      <w:r w:rsidRPr="00C309F0">
        <w:rPr>
          <w:rFonts w:ascii="Arial" w:hAnsi="Arial" w:cs="Arial"/>
        </w:rPr>
        <w:t>Prostate cancer</w:t>
      </w:r>
    </w:p>
    <w:p w14:paraId="3D0579E4" w14:textId="77777777" w:rsidR="00F229AF" w:rsidRPr="00C309F0" w:rsidRDefault="00F229AF" w:rsidP="00F229AF">
      <w:pPr>
        <w:pStyle w:val="a3"/>
        <w:numPr>
          <w:ilvl w:val="0"/>
          <w:numId w:val="8"/>
        </w:numPr>
        <w:spacing w:after="0" w:line="240" w:lineRule="auto"/>
        <w:ind w:left="360"/>
        <w:rPr>
          <w:rFonts w:ascii="Arial" w:hAnsi="Arial" w:cs="Arial"/>
        </w:rPr>
      </w:pPr>
      <w:r w:rsidRPr="00C309F0">
        <w:rPr>
          <w:rFonts w:ascii="Arial" w:hAnsi="Arial" w:cs="Arial"/>
        </w:rPr>
        <w:t>Breast cancer</w:t>
      </w:r>
    </w:p>
    <w:p w14:paraId="1621F998" w14:textId="77777777" w:rsidR="00F229AF" w:rsidRPr="00C309F0" w:rsidRDefault="00F229AF" w:rsidP="00F229AF">
      <w:pPr>
        <w:pStyle w:val="a3"/>
        <w:numPr>
          <w:ilvl w:val="0"/>
          <w:numId w:val="8"/>
        </w:numPr>
        <w:spacing w:after="0" w:line="240" w:lineRule="auto"/>
        <w:ind w:left="360"/>
        <w:rPr>
          <w:rFonts w:ascii="Arial" w:hAnsi="Arial" w:cs="Arial"/>
        </w:rPr>
      </w:pPr>
      <w:r w:rsidRPr="00C309F0">
        <w:rPr>
          <w:rFonts w:ascii="Arial" w:hAnsi="Arial" w:cs="Arial"/>
        </w:rPr>
        <w:t>Colorectal cancer</w:t>
      </w:r>
    </w:p>
    <w:p w14:paraId="121F8123" w14:textId="5DA9E24C" w:rsidR="00A16768" w:rsidRPr="005017D0" w:rsidRDefault="00A16768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br w:type="page"/>
      </w:r>
    </w:p>
    <w:p w14:paraId="595B5B7E" w14:textId="690B240B" w:rsidR="00A16768" w:rsidRPr="005017D0" w:rsidRDefault="002D3E4A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lastRenderedPageBreak/>
        <w:t>Extended Figure</w:t>
      </w:r>
      <w:r w:rsidR="00A16768" w:rsidRPr="005017D0">
        <w:rPr>
          <w:rFonts w:ascii="Arial" w:hAnsi="Arial" w:cs="Arial"/>
          <w:b/>
        </w:rPr>
        <w:t xml:space="preserve"> 4</w:t>
      </w:r>
    </w:p>
    <w:p w14:paraId="40119AC3" w14:textId="77777777" w:rsidR="00A16768" w:rsidRPr="005017D0" w:rsidRDefault="00A16768" w:rsidP="00F80E6F">
      <w:pPr>
        <w:spacing w:after="0" w:line="240" w:lineRule="auto"/>
        <w:rPr>
          <w:rFonts w:ascii="Arial" w:hAnsi="Arial" w:cs="Arial"/>
          <w:b/>
        </w:rPr>
      </w:pPr>
    </w:p>
    <w:p w14:paraId="3763B873" w14:textId="6B72A66A" w:rsidR="00B904C6" w:rsidRPr="005017D0" w:rsidRDefault="00F80E6F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7890110D" wp14:editId="4EDD976A">
            <wp:extent cx="5284552" cy="543274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953" cy="54454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3E4A" w:rsidRPr="005017D0">
        <w:rPr>
          <w:rFonts w:ascii="Arial" w:hAnsi="Arial" w:cs="Arial"/>
          <w:b/>
        </w:rPr>
        <w:t>Extended Figure</w:t>
      </w:r>
      <w:r w:rsidR="00B904C6" w:rsidRPr="005017D0">
        <w:rPr>
          <w:rFonts w:ascii="Arial" w:hAnsi="Arial" w:cs="Arial"/>
          <w:b/>
        </w:rPr>
        <w:t xml:space="preserve"> </w:t>
      </w:r>
      <w:r w:rsidR="00A16768" w:rsidRPr="005017D0">
        <w:rPr>
          <w:rFonts w:ascii="Arial" w:hAnsi="Arial" w:cs="Arial"/>
          <w:b/>
        </w:rPr>
        <w:t>4</w:t>
      </w:r>
      <w:r w:rsidR="00B904C6" w:rsidRPr="005017D0">
        <w:rPr>
          <w:rFonts w:ascii="Arial" w:hAnsi="Arial" w:cs="Arial"/>
          <w:b/>
        </w:rPr>
        <w:t>: Tumor types represented in paired cohort</w:t>
      </w:r>
    </w:p>
    <w:p w14:paraId="07A7DC76" w14:textId="66677D50" w:rsidR="00B904C6" w:rsidRPr="005017D0" w:rsidRDefault="00B904C6" w:rsidP="00F80E6F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 xml:space="preserve">Cancer types represented in the paired tissue/liquid biopsy analysis in Figure </w:t>
      </w:r>
      <w:r w:rsidR="00F80E6F" w:rsidRPr="005017D0">
        <w:rPr>
          <w:rFonts w:ascii="Arial" w:hAnsi="Arial" w:cs="Arial"/>
        </w:rPr>
        <w:t>3</w:t>
      </w:r>
      <w:r w:rsidRPr="005017D0">
        <w:rPr>
          <w:rFonts w:ascii="Arial" w:hAnsi="Arial" w:cs="Arial"/>
        </w:rPr>
        <w:t xml:space="preserve"> split into three groups by </w:t>
      </w:r>
      <w:proofErr w:type="spellStart"/>
      <w:r w:rsidRPr="005017D0">
        <w:rPr>
          <w:rFonts w:ascii="Arial" w:hAnsi="Arial" w:cs="Arial"/>
        </w:rPr>
        <w:t>ctDNA</w:t>
      </w:r>
      <w:proofErr w:type="spellEnd"/>
      <w:r w:rsidRPr="005017D0">
        <w:rPr>
          <w:rFonts w:ascii="Arial" w:hAnsi="Arial" w:cs="Arial"/>
        </w:rPr>
        <w:t xml:space="preserve"> fraction.</w:t>
      </w:r>
      <w:r w:rsidR="007040F8" w:rsidRPr="005017D0">
        <w:rPr>
          <w:rFonts w:ascii="Arial" w:hAnsi="Arial" w:cs="Arial"/>
        </w:rPr>
        <w:t xml:space="preserve"> NSCLC: non-small cell lung cancer; CRC: colorectal cancer; CUP: carcinoma of unknown primary; </w:t>
      </w:r>
      <w:proofErr w:type="spellStart"/>
      <w:r w:rsidR="007040F8" w:rsidRPr="005017D0">
        <w:rPr>
          <w:rFonts w:ascii="Arial" w:hAnsi="Arial" w:cs="Arial"/>
        </w:rPr>
        <w:t>Cholangio</w:t>
      </w:r>
      <w:proofErr w:type="spellEnd"/>
      <w:r w:rsidR="007040F8" w:rsidRPr="005017D0">
        <w:rPr>
          <w:rFonts w:ascii="Arial" w:hAnsi="Arial" w:cs="Arial"/>
        </w:rPr>
        <w:t>: cholangiocarcinoma.</w:t>
      </w:r>
    </w:p>
    <w:p w14:paraId="4DC155AF" w14:textId="7DBC3F5B" w:rsidR="00B904C6" w:rsidRPr="00C309F0" w:rsidRDefault="00B904C6" w:rsidP="00F80E6F">
      <w:pPr>
        <w:pStyle w:val="a3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 xml:space="preserve">As in (A), but for all pairs, including those collected </w:t>
      </w:r>
      <w:r w:rsidR="007040F8" w:rsidRPr="005017D0">
        <w:rPr>
          <w:rFonts w:ascii="Arial" w:hAnsi="Arial" w:cs="Arial"/>
        </w:rPr>
        <w:t>≥</w:t>
      </w:r>
      <w:r w:rsidRPr="005017D0">
        <w:rPr>
          <w:rFonts w:ascii="Arial" w:hAnsi="Arial" w:cs="Arial"/>
        </w:rPr>
        <w:t xml:space="preserve">90 days apart. </w:t>
      </w:r>
      <w:r w:rsidRPr="00C309F0">
        <w:rPr>
          <w:rFonts w:ascii="Arial" w:hAnsi="Arial" w:cs="Arial"/>
        </w:rPr>
        <w:t xml:space="preserve">Data for these pairs provided in </w:t>
      </w:r>
      <w:r w:rsidR="007040F8" w:rsidRPr="00C309F0">
        <w:rPr>
          <w:rFonts w:ascii="Arial" w:hAnsi="Arial" w:cs="Arial"/>
        </w:rPr>
        <w:t xml:space="preserve">Supplementary Figure </w:t>
      </w:r>
      <w:r w:rsidR="005674BB" w:rsidRPr="00C309F0">
        <w:rPr>
          <w:rFonts w:ascii="Arial" w:hAnsi="Arial" w:cs="Arial"/>
          <w:lang w:eastAsia="ja-JP"/>
        </w:rPr>
        <w:t>5</w:t>
      </w:r>
      <w:r w:rsidRPr="00C309F0">
        <w:rPr>
          <w:rFonts w:ascii="Arial" w:hAnsi="Arial" w:cs="Arial"/>
        </w:rPr>
        <w:t>.</w:t>
      </w:r>
    </w:p>
    <w:p w14:paraId="0D010AF8" w14:textId="77777777" w:rsidR="00B904C6" w:rsidRPr="005017D0" w:rsidRDefault="00B904C6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br w:type="page"/>
      </w:r>
    </w:p>
    <w:p w14:paraId="7C0E9140" w14:textId="28672A58" w:rsidR="00B904C6" w:rsidRPr="005017D0" w:rsidRDefault="002D3E4A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lastRenderedPageBreak/>
        <w:t>Extended Figure</w:t>
      </w:r>
      <w:r w:rsidR="00B904C6" w:rsidRPr="005017D0">
        <w:rPr>
          <w:rFonts w:ascii="Arial" w:hAnsi="Arial" w:cs="Arial"/>
          <w:b/>
        </w:rPr>
        <w:t xml:space="preserve"> </w:t>
      </w:r>
      <w:r w:rsidR="00A16768" w:rsidRPr="005017D0">
        <w:rPr>
          <w:rFonts w:ascii="Arial" w:hAnsi="Arial" w:cs="Arial"/>
          <w:b/>
        </w:rPr>
        <w:t>5</w:t>
      </w:r>
    </w:p>
    <w:p w14:paraId="55E73730" w14:textId="55E029CA" w:rsidR="00B904C6" w:rsidRPr="005017D0" w:rsidRDefault="00F80E6F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300A24CE" wp14:editId="046B5312">
            <wp:extent cx="5103264" cy="661151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885" cy="6633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3D1EDB" w14:textId="18D032EF" w:rsidR="00B904C6" w:rsidRPr="005017D0" w:rsidRDefault="002D3E4A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t>Extended Figure</w:t>
      </w:r>
      <w:r w:rsidR="00B904C6" w:rsidRPr="005017D0">
        <w:rPr>
          <w:rFonts w:ascii="Arial" w:hAnsi="Arial" w:cs="Arial"/>
          <w:b/>
        </w:rPr>
        <w:t xml:space="preserve"> </w:t>
      </w:r>
      <w:r w:rsidR="00A16768" w:rsidRPr="005017D0">
        <w:rPr>
          <w:rFonts w:ascii="Arial" w:hAnsi="Arial" w:cs="Arial"/>
          <w:b/>
        </w:rPr>
        <w:t>5</w:t>
      </w:r>
      <w:r w:rsidR="00B904C6" w:rsidRPr="005017D0">
        <w:rPr>
          <w:rFonts w:ascii="Arial" w:hAnsi="Arial" w:cs="Arial"/>
          <w:b/>
        </w:rPr>
        <w:t>: Effects of time on mutational burden concordance</w:t>
      </w:r>
    </w:p>
    <w:p w14:paraId="1DD5790C" w14:textId="1FF09BD6" w:rsidR="00B904C6" w:rsidRPr="005017D0" w:rsidRDefault="00B904C6" w:rsidP="00F80E6F">
      <w:pPr>
        <w:pStyle w:val="a3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 xml:space="preserve">Concordance of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and TMB in liquid and tissue biopsies collected from the same patients with any time interval (median: 7.6 </w:t>
      </w:r>
      <w:proofErr w:type="spellStart"/>
      <w:r w:rsidRPr="005017D0">
        <w:rPr>
          <w:rFonts w:ascii="Arial" w:hAnsi="Arial" w:cs="Arial"/>
        </w:rPr>
        <w:t>mo</w:t>
      </w:r>
      <w:proofErr w:type="spellEnd"/>
      <w:r w:rsidRPr="005017D0">
        <w:rPr>
          <w:rFonts w:ascii="Arial" w:hAnsi="Arial" w:cs="Arial"/>
        </w:rPr>
        <w:t xml:space="preserve">, IQR: 0.8-21.5 months). Pairs are grouped according to level of </w:t>
      </w:r>
      <w:proofErr w:type="spellStart"/>
      <w:r w:rsidRPr="005017D0">
        <w:rPr>
          <w:rFonts w:ascii="Arial" w:hAnsi="Arial" w:cs="Arial"/>
        </w:rPr>
        <w:t>ctDNA</w:t>
      </w:r>
      <w:proofErr w:type="spellEnd"/>
      <w:r w:rsidRPr="005017D0">
        <w:rPr>
          <w:rFonts w:ascii="Arial" w:hAnsi="Arial" w:cs="Arial"/>
        </w:rPr>
        <w:t xml:space="preserve">. Spearman’s </w:t>
      </w:r>
      <w:r w:rsidR="00F80E6F" w:rsidRPr="005017D0">
        <w:rPr>
          <w:rFonts w:ascii="Arial" w:hAnsi="Arial" w:cs="Arial"/>
        </w:rPr>
        <w:t xml:space="preserve">rank </w:t>
      </w:r>
      <w:r w:rsidRPr="005017D0">
        <w:rPr>
          <w:rFonts w:ascii="Arial" w:hAnsi="Arial" w:cs="Arial"/>
        </w:rPr>
        <w:t xml:space="preserve">correlation coefficient (rho) and Lin’s Concordance Correlation Coefficient (CCC) with a 95% confidence interval are provided for each group. For display purposes, </w:t>
      </w:r>
      <w:r w:rsidRPr="005017D0">
        <w:rPr>
          <w:rFonts w:ascii="Arial" w:hAnsi="Arial" w:cs="Arial"/>
        </w:rPr>
        <w:lastRenderedPageBreak/>
        <w:t xml:space="preserve">TMB and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values of 0 were set to 1 on these plots and jitter was added to alleviate overplotting. Pairs collected &lt;90 days apart in dark blue, pairs collected ≥90 days apart in light blue.</w:t>
      </w:r>
    </w:p>
    <w:p w14:paraId="219191C2" w14:textId="77777777" w:rsidR="00B904C6" w:rsidRPr="005017D0" w:rsidRDefault="00B904C6" w:rsidP="00F80E6F">
      <w:pPr>
        <w:pStyle w:val="a3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>Same analysis as in (A) for the MONSTAR observational cohort (N = 331).</w:t>
      </w:r>
    </w:p>
    <w:p w14:paraId="6891957E" w14:textId="77777777" w:rsidR="00B904C6" w:rsidRPr="005017D0" w:rsidRDefault="00B904C6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br w:type="page"/>
      </w:r>
    </w:p>
    <w:p w14:paraId="3420F0B2" w14:textId="063EC0D0" w:rsidR="00B904C6" w:rsidRPr="005017D0" w:rsidRDefault="002D3E4A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</w:rPr>
        <w:lastRenderedPageBreak/>
        <w:t>Extended Figure</w:t>
      </w:r>
      <w:r w:rsidR="00B904C6" w:rsidRPr="005017D0">
        <w:rPr>
          <w:rFonts w:ascii="Arial" w:hAnsi="Arial" w:cs="Arial"/>
          <w:b/>
        </w:rPr>
        <w:t xml:space="preserve"> </w:t>
      </w:r>
      <w:r w:rsidR="00A16768" w:rsidRPr="005017D0">
        <w:rPr>
          <w:rFonts w:ascii="Arial" w:hAnsi="Arial" w:cs="Arial"/>
          <w:b/>
        </w:rPr>
        <w:t>6</w:t>
      </w:r>
    </w:p>
    <w:p w14:paraId="6B0CC543" w14:textId="307791B4" w:rsidR="004336E7" w:rsidRPr="005017D0" w:rsidRDefault="00B75FFE" w:rsidP="00F80E6F">
      <w:pPr>
        <w:spacing w:after="0" w:line="240" w:lineRule="auto"/>
        <w:rPr>
          <w:rFonts w:ascii="Arial" w:hAnsi="Arial" w:cs="Arial"/>
          <w:b/>
          <w:bCs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4DB00E00" wp14:editId="0F13C896">
            <wp:extent cx="5400040" cy="59258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scordantHighbTMB20220621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92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904C6" w:rsidRPr="005017D0">
        <w:rPr>
          <w:rFonts w:ascii="Arial" w:hAnsi="Arial" w:cs="Arial"/>
          <w:b/>
        </w:rPr>
        <w:t xml:space="preserve"> </w:t>
      </w:r>
      <w:r w:rsidR="002D3E4A" w:rsidRPr="005017D0">
        <w:rPr>
          <w:rFonts w:ascii="Arial" w:hAnsi="Arial" w:cs="Arial"/>
          <w:b/>
        </w:rPr>
        <w:t xml:space="preserve">Extended Figure </w:t>
      </w:r>
      <w:r w:rsidR="00A16768" w:rsidRPr="005017D0">
        <w:rPr>
          <w:rFonts w:ascii="Arial" w:hAnsi="Arial" w:cs="Arial"/>
          <w:b/>
          <w:bCs/>
        </w:rPr>
        <w:t>6</w:t>
      </w:r>
      <w:r w:rsidR="004336E7" w:rsidRPr="005017D0">
        <w:rPr>
          <w:rFonts w:ascii="Arial" w:hAnsi="Arial" w:cs="Arial"/>
          <w:b/>
          <w:bCs/>
        </w:rPr>
        <w:t xml:space="preserve">: Analysis of genomic signatures in discordant high </w:t>
      </w:r>
      <w:proofErr w:type="spellStart"/>
      <w:r w:rsidR="004336E7" w:rsidRPr="005017D0">
        <w:rPr>
          <w:rFonts w:ascii="Arial" w:hAnsi="Arial" w:cs="Arial"/>
          <w:b/>
          <w:bCs/>
        </w:rPr>
        <w:t>bTMB</w:t>
      </w:r>
      <w:proofErr w:type="spellEnd"/>
      <w:r w:rsidR="004336E7" w:rsidRPr="005017D0">
        <w:rPr>
          <w:rFonts w:ascii="Arial" w:hAnsi="Arial" w:cs="Arial"/>
          <w:b/>
          <w:bCs/>
        </w:rPr>
        <w:t xml:space="preserve"> pairs</w:t>
      </w:r>
    </w:p>
    <w:p w14:paraId="72769A53" w14:textId="0FE88CF7" w:rsidR="009729F3" w:rsidRPr="005017D0" w:rsidRDefault="009729F3" w:rsidP="00F80E6F">
      <w:pPr>
        <w:spacing w:after="0" w:line="240" w:lineRule="auto"/>
        <w:rPr>
          <w:rFonts w:ascii="Arial" w:hAnsi="Arial" w:cs="Arial"/>
          <w:bCs/>
        </w:rPr>
      </w:pPr>
      <w:r w:rsidRPr="005017D0">
        <w:rPr>
          <w:rFonts w:ascii="Arial" w:hAnsi="Arial" w:cs="Arial"/>
          <w:bCs/>
        </w:rPr>
        <w:t xml:space="preserve">Analysis of tissue and liquid pairs where TMB &lt;10 and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≥14. Colors of each bar indicate the dominant single base mutational signature detected in the sample. The number of days elapsed between tissue and liquid specimen collection show at the bottom.</w:t>
      </w:r>
    </w:p>
    <w:p w14:paraId="63F889B5" w14:textId="085C8604" w:rsidR="004336E7" w:rsidRPr="005017D0" w:rsidRDefault="009729F3" w:rsidP="00F80E6F">
      <w:pPr>
        <w:pStyle w:val="a3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t>12 breast cancer pairs (9 of 12 had a dominant APOBEC signature in the liquid sample).</w:t>
      </w:r>
    </w:p>
    <w:p w14:paraId="50C7D406" w14:textId="4424871E" w:rsidR="004336E7" w:rsidRPr="005017D0" w:rsidRDefault="009729F3" w:rsidP="00F80E6F">
      <w:pPr>
        <w:pStyle w:val="a3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5017D0">
        <w:rPr>
          <w:rFonts w:ascii="Arial" w:hAnsi="Arial" w:cs="Arial"/>
        </w:rPr>
        <w:lastRenderedPageBreak/>
        <w:t>15 colorectal cancer pairs (6 of 15 had dominant SBS17 signature, consistent with DNA damage from 5-fluorouracil).</w:t>
      </w:r>
    </w:p>
    <w:p w14:paraId="6E191E36" w14:textId="7C9D7B38" w:rsidR="00913256" w:rsidRPr="005017D0" w:rsidRDefault="009729F3" w:rsidP="0081191D">
      <w:pPr>
        <w:pStyle w:val="a3"/>
        <w:numPr>
          <w:ilvl w:val="0"/>
          <w:numId w:val="4"/>
        </w:numPr>
        <w:spacing w:after="0" w:line="240" w:lineRule="auto"/>
        <w:rPr>
          <w:b/>
        </w:rPr>
      </w:pPr>
      <w:r w:rsidRPr="005017D0">
        <w:rPr>
          <w:rFonts w:ascii="Arial" w:hAnsi="Arial" w:cs="Arial"/>
        </w:rPr>
        <w:t>Other cancers. 3 of 3 endometrial cancer samples, 2/2 of prostate samples had a dominant mismatch repair signature in the liquid sample.</w:t>
      </w:r>
      <w:r w:rsidR="00913256" w:rsidRPr="005017D0">
        <w:rPr>
          <w:b/>
        </w:rPr>
        <w:br w:type="page"/>
      </w:r>
    </w:p>
    <w:p w14:paraId="726FECA2" w14:textId="61AB2D30" w:rsidR="00B904C6" w:rsidRPr="005017D0" w:rsidRDefault="002D3E4A" w:rsidP="00F80E6F">
      <w:pPr>
        <w:spacing w:after="0" w:line="240" w:lineRule="auto"/>
        <w:rPr>
          <w:rFonts w:ascii="Arial" w:hAnsi="Arial" w:cs="Arial"/>
          <w:b/>
        </w:rPr>
      </w:pPr>
      <w:bookmarkStart w:id="1" w:name="_Hlk107653908"/>
      <w:r w:rsidRPr="005017D0">
        <w:rPr>
          <w:rFonts w:ascii="Arial" w:hAnsi="Arial" w:cs="Arial"/>
          <w:b/>
        </w:rPr>
        <w:lastRenderedPageBreak/>
        <w:t>Extended</w:t>
      </w:r>
      <w:bookmarkEnd w:id="1"/>
      <w:r w:rsidRPr="005017D0">
        <w:rPr>
          <w:rFonts w:ascii="Arial" w:hAnsi="Arial" w:cs="Arial"/>
          <w:b/>
        </w:rPr>
        <w:t xml:space="preserve"> Figure </w:t>
      </w:r>
      <w:r w:rsidR="00A16768" w:rsidRPr="005017D0">
        <w:rPr>
          <w:rFonts w:ascii="Arial" w:hAnsi="Arial" w:cs="Arial"/>
          <w:b/>
        </w:rPr>
        <w:t>7</w:t>
      </w:r>
    </w:p>
    <w:p w14:paraId="709C0F4B" w14:textId="735E1B65" w:rsidR="005278D5" w:rsidRPr="005017D0" w:rsidRDefault="005278D5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 w:hint="eastAsia"/>
          <w:b/>
          <w:lang w:eastAsia="ja-JP"/>
        </w:rPr>
        <w:t>A</w:t>
      </w:r>
    </w:p>
    <w:p w14:paraId="4AD5F32B" w14:textId="09C5FBF0" w:rsidR="00B904C6" w:rsidRPr="005017D0" w:rsidRDefault="00B904C6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7EBA1AC7" wp14:editId="491933A8">
            <wp:extent cx="2162175" cy="2271666"/>
            <wp:effectExtent l="0" t="0" r="0" b="0"/>
            <wp:docPr id="18" name="図 18" descr="グラフィカル ユーザー インターフェイス, 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図 18" descr="グラフィカル ユーザー インターフェイス, テキスト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101" cy="2285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ED459" w14:textId="7493B5A8" w:rsidR="005278D5" w:rsidRPr="005017D0" w:rsidRDefault="005278D5" w:rsidP="00F80E6F">
      <w:pPr>
        <w:spacing w:after="0" w:line="240" w:lineRule="auto"/>
        <w:rPr>
          <w:rFonts w:ascii="Arial" w:hAnsi="Arial" w:cs="Arial"/>
          <w:b/>
        </w:rPr>
      </w:pPr>
      <w:r w:rsidRPr="00C309F0">
        <w:rPr>
          <w:rFonts w:ascii="Arial" w:hAnsi="Arial" w:cs="Arial"/>
          <w:b/>
          <w:lang w:eastAsia="ja-JP"/>
        </w:rPr>
        <w:t>B</w:t>
      </w:r>
    </w:p>
    <w:p w14:paraId="61ACE8B0" w14:textId="30E325A1" w:rsidR="005278D5" w:rsidRPr="005017D0" w:rsidRDefault="007166BF" w:rsidP="00F80E6F">
      <w:pPr>
        <w:spacing w:after="0" w:line="240" w:lineRule="auto"/>
        <w:rPr>
          <w:rFonts w:ascii="Arial" w:hAnsi="Arial" w:cs="Arial"/>
          <w:b/>
        </w:rPr>
      </w:pPr>
      <w:r w:rsidRPr="005017D0">
        <w:rPr>
          <w:rFonts w:ascii="Arial" w:hAnsi="Arial" w:cs="Arial"/>
          <w:b/>
          <w:noProof/>
        </w:rPr>
        <w:drawing>
          <wp:inline distT="0" distB="0" distL="0" distR="0" wp14:anchorId="2A04EB2F" wp14:editId="0AFE480D">
            <wp:extent cx="4133850" cy="2285368"/>
            <wp:effectExtent l="0" t="0" r="0" b="63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205" cy="231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E7318" w14:textId="77777777" w:rsidR="007166BF" w:rsidRPr="005017D0" w:rsidRDefault="007166BF" w:rsidP="00F80E6F">
      <w:pPr>
        <w:spacing w:after="0" w:line="240" w:lineRule="auto"/>
        <w:rPr>
          <w:rFonts w:ascii="Arial" w:hAnsi="Arial" w:cs="Arial"/>
          <w:b/>
        </w:rPr>
      </w:pPr>
    </w:p>
    <w:p w14:paraId="0F70EFB0" w14:textId="7BADA567" w:rsidR="005278D5" w:rsidRPr="005017D0" w:rsidRDefault="005278D5" w:rsidP="00F80E6F">
      <w:pPr>
        <w:spacing w:after="0" w:line="240" w:lineRule="auto"/>
        <w:rPr>
          <w:rFonts w:ascii="Arial" w:hAnsi="Arial" w:cs="Arial"/>
          <w:b/>
          <w:lang w:eastAsia="ja-JP"/>
        </w:rPr>
      </w:pPr>
      <w:r w:rsidRPr="00C309F0">
        <w:rPr>
          <w:rFonts w:ascii="Arial" w:hAnsi="Arial" w:cs="Arial"/>
          <w:b/>
          <w:lang w:eastAsia="ja-JP"/>
        </w:rPr>
        <w:t>C</w:t>
      </w:r>
    </w:p>
    <w:p w14:paraId="4FAF4D10" w14:textId="6E0E7F7E" w:rsidR="005278D5" w:rsidRPr="005017D0" w:rsidRDefault="007166BF" w:rsidP="00F80E6F">
      <w:pPr>
        <w:spacing w:after="0" w:line="240" w:lineRule="auto"/>
        <w:rPr>
          <w:rFonts w:ascii="Arial" w:hAnsi="Arial" w:cs="Arial"/>
          <w:b/>
          <w:lang w:eastAsia="ja-JP"/>
        </w:rPr>
      </w:pPr>
      <w:r w:rsidRPr="005017D0">
        <w:rPr>
          <w:rFonts w:ascii="Arial" w:hAnsi="Arial" w:cs="Arial"/>
          <w:b/>
          <w:noProof/>
          <w:lang w:eastAsia="ja-JP"/>
        </w:rPr>
        <w:drawing>
          <wp:inline distT="0" distB="0" distL="0" distR="0" wp14:anchorId="474B8982" wp14:editId="5985597B">
            <wp:extent cx="3420679" cy="2257425"/>
            <wp:effectExtent l="0" t="0" r="889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763" cy="2277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BDE32" w14:textId="77777777" w:rsidR="007166BF" w:rsidRPr="005017D0" w:rsidRDefault="007166BF" w:rsidP="00F80E6F">
      <w:pPr>
        <w:spacing w:after="0" w:line="240" w:lineRule="auto"/>
        <w:rPr>
          <w:rFonts w:ascii="Arial" w:hAnsi="Arial" w:cs="Arial"/>
          <w:b/>
          <w:lang w:eastAsia="ja-JP"/>
        </w:rPr>
      </w:pPr>
    </w:p>
    <w:p w14:paraId="01F340AE" w14:textId="4FBC5DC3" w:rsidR="005278D5" w:rsidRPr="005017D0" w:rsidRDefault="005278D5" w:rsidP="00F80E6F">
      <w:pPr>
        <w:spacing w:after="0" w:line="240" w:lineRule="auto"/>
        <w:rPr>
          <w:rFonts w:ascii="Arial" w:hAnsi="Arial" w:cs="Arial"/>
          <w:b/>
          <w:lang w:eastAsia="ja-JP"/>
        </w:rPr>
      </w:pPr>
      <w:r w:rsidRPr="00C309F0">
        <w:rPr>
          <w:rFonts w:ascii="Arial" w:hAnsi="Arial" w:cs="Arial"/>
          <w:b/>
          <w:lang w:eastAsia="ja-JP"/>
        </w:rPr>
        <w:lastRenderedPageBreak/>
        <w:t>D</w:t>
      </w:r>
    </w:p>
    <w:p w14:paraId="0865E127" w14:textId="7CEE4091" w:rsidR="005278D5" w:rsidRPr="005017D0" w:rsidRDefault="007166BF" w:rsidP="00F80E6F">
      <w:pPr>
        <w:spacing w:after="0" w:line="240" w:lineRule="auto"/>
        <w:rPr>
          <w:rFonts w:ascii="Arial" w:hAnsi="Arial" w:cs="Arial"/>
          <w:b/>
          <w:lang w:eastAsia="ja-JP"/>
        </w:rPr>
      </w:pPr>
      <w:r w:rsidRPr="005017D0">
        <w:rPr>
          <w:rFonts w:ascii="Arial" w:hAnsi="Arial" w:cs="Arial"/>
          <w:b/>
          <w:noProof/>
          <w:lang w:eastAsia="ja-JP"/>
        </w:rPr>
        <w:drawing>
          <wp:inline distT="0" distB="0" distL="0" distR="0" wp14:anchorId="60D209BE" wp14:editId="016601C7">
            <wp:extent cx="3352800" cy="2182583"/>
            <wp:effectExtent l="0" t="0" r="0" b="8255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387" cy="219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A2994" w14:textId="363CB8C8" w:rsidR="005278D5" w:rsidRPr="005017D0" w:rsidRDefault="004F6BB5" w:rsidP="00F80E6F">
      <w:pPr>
        <w:spacing w:after="0" w:line="240" w:lineRule="auto"/>
        <w:rPr>
          <w:rFonts w:ascii="Arial" w:hAnsi="Arial" w:cs="Arial"/>
          <w:b/>
          <w:lang w:eastAsia="ja-JP"/>
        </w:rPr>
      </w:pPr>
      <w:r w:rsidRPr="005017D0">
        <w:rPr>
          <w:rFonts w:ascii="Arial" w:hAnsi="Arial" w:cs="Arial"/>
          <w:b/>
          <w:noProof/>
          <w:lang w:eastAsia="ja-JP"/>
        </w:rPr>
        <w:drawing>
          <wp:inline distT="0" distB="0" distL="0" distR="0" wp14:anchorId="477864E1" wp14:editId="7D582733">
            <wp:extent cx="4650105" cy="3101734"/>
            <wp:effectExtent l="0" t="0" r="0" b="381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243" cy="3104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98E52" w14:textId="7B235602" w:rsidR="002D3E4A" w:rsidRPr="005017D0" w:rsidRDefault="002D3E4A" w:rsidP="00F80E6F">
      <w:pPr>
        <w:spacing w:after="0" w:line="240" w:lineRule="auto"/>
        <w:rPr>
          <w:rFonts w:ascii="Arial" w:hAnsi="Arial" w:cs="Arial"/>
          <w:b/>
          <w:lang w:eastAsia="ja-JP"/>
        </w:rPr>
      </w:pPr>
      <w:r w:rsidRPr="005017D0">
        <w:rPr>
          <w:rFonts w:ascii="Arial" w:hAnsi="Arial" w:cs="Arial"/>
          <w:b/>
        </w:rPr>
        <w:t>Extended Figure 7</w:t>
      </w:r>
      <w:r w:rsidR="001D0EDC" w:rsidRPr="005017D0">
        <w:rPr>
          <w:rFonts w:ascii="Arial" w:hAnsi="Arial" w:cs="Arial"/>
          <w:b/>
        </w:rPr>
        <w:t xml:space="preserve">: Outcome on ICI therapy in patients with elevated </w:t>
      </w:r>
      <w:proofErr w:type="spellStart"/>
      <w:r w:rsidR="001D0EDC" w:rsidRPr="005017D0">
        <w:rPr>
          <w:rFonts w:ascii="Arial" w:hAnsi="Arial" w:cs="Arial"/>
          <w:b/>
        </w:rPr>
        <w:t>bTMB</w:t>
      </w:r>
      <w:proofErr w:type="spellEnd"/>
    </w:p>
    <w:p w14:paraId="348BD25F" w14:textId="1B781DC9" w:rsidR="004F6BB5" w:rsidRPr="005017D0" w:rsidRDefault="00B904C6" w:rsidP="002E5AD7">
      <w:pPr>
        <w:pStyle w:val="a3"/>
        <w:numPr>
          <w:ilvl w:val="0"/>
          <w:numId w:val="7"/>
        </w:numPr>
        <w:rPr>
          <w:rFonts w:ascii="Arial" w:hAnsi="Arial" w:cs="Arial"/>
        </w:rPr>
      </w:pPr>
      <w:r w:rsidRPr="005017D0">
        <w:rPr>
          <w:rFonts w:ascii="Arial" w:hAnsi="Arial" w:cs="Arial"/>
        </w:rPr>
        <w:t>Consort diagram of MONSTAR-SCREEN cohort</w:t>
      </w:r>
      <w:r w:rsidR="00C8243E" w:rsidRPr="005017D0">
        <w:rPr>
          <w:rFonts w:ascii="Arial" w:hAnsi="Arial" w:cs="Arial"/>
        </w:rPr>
        <w:t>.</w:t>
      </w:r>
    </w:p>
    <w:p w14:paraId="0B2BF9DF" w14:textId="7BB6885F" w:rsidR="004F6BB5" w:rsidRPr="005017D0" w:rsidRDefault="00273F9B" w:rsidP="00273F9B">
      <w:pPr>
        <w:pStyle w:val="a3"/>
        <w:numPr>
          <w:ilvl w:val="0"/>
          <w:numId w:val="7"/>
        </w:numPr>
        <w:rPr>
          <w:rFonts w:ascii="Arial" w:hAnsi="Arial" w:cs="Arial"/>
        </w:rPr>
      </w:pPr>
      <w:r w:rsidRPr="005017D0">
        <w:rPr>
          <w:rFonts w:ascii="Arial" w:hAnsi="Arial" w:cs="Arial"/>
        </w:rPr>
        <w:t xml:space="preserve">Forest plots of hazard ratio for Objective response rate (ORR) by patients’ characteristics. The results of the subgroup analysis of ORR in the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≥14 as compared with the </w:t>
      </w:r>
      <w:proofErr w:type="spellStart"/>
      <w:r w:rsidRPr="005017D0">
        <w:rPr>
          <w:rFonts w:ascii="Arial" w:hAnsi="Arial" w:cs="Arial"/>
        </w:rPr>
        <w:t>bTMB</w:t>
      </w:r>
      <w:proofErr w:type="spellEnd"/>
      <w:r w:rsidRPr="005017D0">
        <w:rPr>
          <w:rFonts w:ascii="Arial" w:hAnsi="Arial" w:cs="Arial"/>
        </w:rPr>
        <w:t xml:space="preserve"> &lt;14 group. Statistical tests (log-rank) were unadjusted for multiple comparisons and two-sided at the 0.05 significance level. The error bars show the 95% CIs.</w:t>
      </w:r>
    </w:p>
    <w:p w14:paraId="2D50F70F" w14:textId="028BA72D" w:rsidR="005278D5" w:rsidRPr="005017D0" w:rsidRDefault="005278D5" w:rsidP="00273F9B">
      <w:pPr>
        <w:pStyle w:val="a3"/>
        <w:numPr>
          <w:ilvl w:val="0"/>
          <w:numId w:val="7"/>
        </w:numPr>
        <w:rPr>
          <w:rFonts w:ascii="Arial" w:hAnsi="Arial" w:cs="Arial"/>
          <w:lang w:eastAsia="ja-JP"/>
        </w:rPr>
      </w:pPr>
      <w:r w:rsidRPr="005017D0">
        <w:rPr>
          <w:rFonts w:ascii="Arial" w:hAnsi="Arial" w:cs="Arial"/>
          <w:lang w:eastAsia="ja-JP"/>
        </w:rPr>
        <w:t>Kaplan–Meier analysis of the probability of progression-free survival (PFS) in the MSI-H patients as compared with the MSS/MSI-L patients.</w:t>
      </w:r>
      <w:r w:rsidR="00273F9B" w:rsidRPr="005017D0">
        <w:rPr>
          <w:rFonts w:ascii="Arial" w:hAnsi="Arial" w:cs="Arial"/>
          <w:lang w:eastAsia="ja-JP"/>
        </w:rPr>
        <w:t xml:space="preserve"> Vertical lines denote patients who were censored.</w:t>
      </w:r>
    </w:p>
    <w:p w14:paraId="79243C44" w14:textId="373B5E2F" w:rsidR="005278D5" w:rsidRPr="005017D0" w:rsidRDefault="005278D5" w:rsidP="00273F9B">
      <w:pPr>
        <w:pStyle w:val="a3"/>
        <w:numPr>
          <w:ilvl w:val="0"/>
          <w:numId w:val="7"/>
        </w:numPr>
        <w:rPr>
          <w:rFonts w:ascii="Arial" w:hAnsi="Arial" w:cs="Arial"/>
          <w:lang w:eastAsia="ja-JP"/>
        </w:rPr>
      </w:pPr>
      <w:r w:rsidRPr="005017D0">
        <w:rPr>
          <w:rFonts w:ascii="Arial" w:hAnsi="Arial" w:cs="Arial"/>
          <w:lang w:eastAsia="ja-JP"/>
        </w:rPr>
        <w:lastRenderedPageBreak/>
        <w:t>Kaplan–Meier analysis of the probability of PFS in the TMB-H patients as compared with the TMB-L patients.</w:t>
      </w:r>
      <w:r w:rsidR="00273F9B" w:rsidRPr="005017D0">
        <w:rPr>
          <w:rFonts w:ascii="Arial" w:hAnsi="Arial" w:cs="Arial"/>
          <w:lang w:eastAsia="ja-JP"/>
        </w:rPr>
        <w:t xml:space="preserve"> Vertical lines denote patients who were censored.</w:t>
      </w:r>
    </w:p>
    <w:p w14:paraId="6B691034" w14:textId="0C6C3A1F" w:rsidR="004F6BB5" w:rsidRPr="005017D0" w:rsidRDefault="004F6BB5" w:rsidP="002E5AD7">
      <w:pPr>
        <w:pStyle w:val="a3"/>
        <w:numPr>
          <w:ilvl w:val="0"/>
          <w:numId w:val="7"/>
        </w:numPr>
        <w:adjustRightInd w:val="0"/>
        <w:spacing w:after="0" w:line="240" w:lineRule="auto"/>
        <w:rPr>
          <w:rFonts w:ascii="Arial" w:hAnsi="Arial" w:cs="Arial"/>
          <w:bCs/>
          <w:lang w:eastAsia="ja-JP"/>
        </w:rPr>
      </w:pPr>
      <w:r w:rsidRPr="005017D0">
        <w:rPr>
          <w:rFonts w:ascii="Arial" w:hAnsi="Arial" w:cs="Arial"/>
          <w:bCs/>
          <w:lang w:eastAsia="ja-JP"/>
        </w:rPr>
        <w:t xml:space="preserve">Comparison of </w:t>
      </w:r>
      <w:proofErr w:type="spellStart"/>
      <w:r w:rsidRPr="005017D0">
        <w:rPr>
          <w:rFonts w:ascii="Arial" w:hAnsi="Arial" w:cs="Arial"/>
          <w:bCs/>
          <w:lang w:eastAsia="ja-JP"/>
        </w:rPr>
        <w:t>bTMB</w:t>
      </w:r>
      <w:proofErr w:type="spellEnd"/>
      <w:r w:rsidRPr="005017D0">
        <w:rPr>
          <w:rFonts w:ascii="Arial" w:hAnsi="Arial" w:cs="Arial"/>
          <w:bCs/>
          <w:lang w:eastAsia="ja-JP"/>
        </w:rPr>
        <w:t xml:space="preserve"> between patients with complete response (CR) or partial response (PR), stable disease (SD), and those with progressive disease (PD).</w:t>
      </w:r>
      <w:r w:rsidRPr="005017D0">
        <w:rPr>
          <w:rFonts w:ascii="Arial" w:hAnsi="Arial" w:cs="Arial" w:hint="eastAsia"/>
          <w:bCs/>
          <w:lang w:eastAsia="ja-JP"/>
        </w:rPr>
        <w:t xml:space="preserve"> </w:t>
      </w:r>
      <w:r w:rsidRPr="005017D0">
        <w:rPr>
          <w:rFonts w:ascii="Arial" w:hAnsi="Arial" w:cs="Arial"/>
          <w:bCs/>
          <w:lang w:eastAsia="ja-JP"/>
        </w:rPr>
        <w:t>No significant difference between the groups.</w:t>
      </w:r>
      <w:r w:rsidR="00273F9B" w:rsidRPr="005017D0">
        <w:rPr>
          <w:rFonts w:ascii="Arial" w:hAnsi="Arial" w:cs="Arial"/>
          <w:bCs/>
          <w:lang w:eastAsia="ja-JP"/>
        </w:rPr>
        <w:t xml:space="preserve"> The boxes represent 25th–75th percentiles; center lines indicate the median; whiskers extend to the maximum and minimum values within 1.5× of the interquartile range; and dots indicate outliers.</w:t>
      </w:r>
    </w:p>
    <w:p w14:paraId="7339BEBC" w14:textId="2C2FB48D" w:rsidR="004F6BB5" w:rsidRPr="005017D0" w:rsidRDefault="004F6BB5" w:rsidP="00F64DE1">
      <w:pPr>
        <w:pStyle w:val="a3"/>
        <w:numPr>
          <w:ilvl w:val="0"/>
          <w:numId w:val="7"/>
        </w:numPr>
        <w:adjustRightInd w:val="0"/>
        <w:spacing w:after="0" w:line="240" w:lineRule="auto"/>
        <w:rPr>
          <w:rFonts w:ascii="Arial" w:hAnsi="Arial" w:cs="Arial"/>
          <w:bCs/>
          <w:lang w:eastAsia="ja-JP"/>
        </w:rPr>
      </w:pPr>
      <w:r w:rsidRPr="005017D0">
        <w:rPr>
          <w:rFonts w:ascii="Arial" w:hAnsi="Arial" w:cs="Arial"/>
          <w:bCs/>
          <w:lang w:eastAsia="ja-JP"/>
        </w:rPr>
        <w:t>Comparison of number of copy number alterations between patients with CR or PR, SD, and PD.</w:t>
      </w:r>
      <w:r w:rsidR="00273F9B" w:rsidRPr="005017D0">
        <w:rPr>
          <w:rFonts w:ascii="Arial" w:hAnsi="Arial" w:cs="Arial"/>
          <w:bCs/>
          <w:lang w:eastAsia="ja-JP"/>
        </w:rPr>
        <w:t xml:space="preserve"> </w:t>
      </w:r>
      <w:r w:rsidR="00624640" w:rsidRPr="005017D0">
        <w:rPr>
          <w:rFonts w:ascii="Arial" w:hAnsi="Arial" w:cs="Arial"/>
          <w:bCs/>
          <w:lang w:eastAsia="ja-JP"/>
        </w:rPr>
        <w:t>Number of copy number alterations of CR/PR patients was significantly lower than PD patients (two-sided P &lt;0.05, Mann–Whitney U-test).</w:t>
      </w:r>
      <w:r w:rsidR="00F64DE1" w:rsidRPr="005017D0">
        <w:rPr>
          <w:rFonts w:ascii="Arial" w:hAnsi="Arial" w:cs="Arial"/>
          <w:bCs/>
          <w:lang w:eastAsia="ja-JP"/>
        </w:rPr>
        <w:t xml:space="preserve"> </w:t>
      </w:r>
      <w:r w:rsidR="00273F9B" w:rsidRPr="005017D0">
        <w:rPr>
          <w:rFonts w:ascii="Arial" w:hAnsi="Arial" w:cs="Arial"/>
          <w:bCs/>
          <w:lang w:eastAsia="ja-JP"/>
        </w:rPr>
        <w:t>The boxes represent 25th–75th percentiles; center lines indicate the median; whiskers extend to the maximum and minimum values within 1.5× of the interquartile range; and dots indicate outliers.</w:t>
      </w:r>
    </w:p>
    <w:p w14:paraId="534377EA" w14:textId="09572A8F" w:rsidR="00B904C6" w:rsidRPr="005017D0" w:rsidRDefault="00B904C6" w:rsidP="004F6BB5">
      <w:pPr>
        <w:adjustRightInd w:val="0"/>
        <w:spacing w:after="0" w:line="240" w:lineRule="auto"/>
        <w:contextualSpacing/>
        <w:rPr>
          <w:rFonts w:ascii="Arial" w:hAnsi="Arial" w:cs="Arial"/>
          <w:bCs/>
          <w:lang w:eastAsia="ja-JP"/>
        </w:rPr>
      </w:pPr>
    </w:p>
    <w:p w14:paraId="53273003" w14:textId="2E29F432" w:rsidR="00B904C6" w:rsidRPr="00585012" w:rsidRDefault="00B904C6" w:rsidP="00F80E6F">
      <w:pPr>
        <w:spacing w:after="0" w:line="240" w:lineRule="auto"/>
        <w:contextualSpacing/>
        <w:rPr>
          <w:rFonts w:ascii="Arial" w:hAnsi="Arial" w:cs="Arial"/>
          <w:bCs/>
          <w:lang w:eastAsia="ja-JP"/>
        </w:rPr>
      </w:pPr>
      <w:r w:rsidRPr="00B27A91">
        <w:rPr>
          <w:rFonts w:ascii="Arial" w:hAnsi="Arial" w:cs="Arial"/>
          <w:bCs/>
          <w:lang w:eastAsia="ja-JP"/>
        </w:rPr>
        <w:t xml:space="preserve"> </w:t>
      </w:r>
    </w:p>
    <w:sectPr w:rsidR="00B904C6" w:rsidRPr="005850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45012" w14:textId="77777777" w:rsidR="001B49E4" w:rsidRDefault="001B49E4" w:rsidP="00052AFB">
      <w:pPr>
        <w:spacing w:after="0" w:line="240" w:lineRule="auto"/>
      </w:pPr>
      <w:r>
        <w:separator/>
      </w:r>
    </w:p>
  </w:endnote>
  <w:endnote w:type="continuationSeparator" w:id="0">
    <w:p w14:paraId="20479B33" w14:textId="77777777" w:rsidR="001B49E4" w:rsidRDefault="001B49E4" w:rsidP="0005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4B3F5" w14:textId="77777777" w:rsidR="001B49E4" w:rsidRDefault="001B49E4" w:rsidP="00052AFB">
      <w:pPr>
        <w:spacing w:after="0" w:line="240" w:lineRule="auto"/>
      </w:pPr>
      <w:r>
        <w:separator/>
      </w:r>
    </w:p>
  </w:footnote>
  <w:footnote w:type="continuationSeparator" w:id="0">
    <w:p w14:paraId="2C6D39DE" w14:textId="77777777" w:rsidR="001B49E4" w:rsidRDefault="001B49E4" w:rsidP="0005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464C7"/>
    <w:multiLevelType w:val="hybridMultilevel"/>
    <w:tmpl w:val="EC9A7966"/>
    <w:lvl w:ilvl="0" w:tplc="41B662A6">
      <w:start w:val="1"/>
      <w:numFmt w:val="upperLetter"/>
      <w:lvlText w:val="%1)"/>
      <w:lvlJc w:val="left"/>
      <w:pPr>
        <w:ind w:left="360" w:hanging="360"/>
      </w:pPr>
      <w:rPr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E974CD"/>
    <w:multiLevelType w:val="hybridMultilevel"/>
    <w:tmpl w:val="5D0C22B6"/>
    <w:lvl w:ilvl="0" w:tplc="41B662A6">
      <w:start w:val="1"/>
      <w:numFmt w:val="upperLetter"/>
      <w:lvlText w:val="%1)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80114"/>
    <w:multiLevelType w:val="hybridMultilevel"/>
    <w:tmpl w:val="0AC0BBBC"/>
    <w:lvl w:ilvl="0" w:tplc="04090015">
      <w:start w:val="1"/>
      <w:numFmt w:val="upperLetter"/>
      <w:lvlText w:val="%1)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5BF688B"/>
    <w:multiLevelType w:val="hybridMultilevel"/>
    <w:tmpl w:val="F8FA4EC2"/>
    <w:lvl w:ilvl="0" w:tplc="F5B00738">
      <w:start w:val="1"/>
      <w:numFmt w:val="upperLetter"/>
      <w:lvlText w:val="%1)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AD6223"/>
    <w:multiLevelType w:val="hybridMultilevel"/>
    <w:tmpl w:val="E0547420"/>
    <w:lvl w:ilvl="0" w:tplc="6A0CBCFE">
      <w:start w:val="1"/>
      <w:numFmt w:val="upperLetter"/>
      <w:lvlText w:val="%1）"/>
      <w:lvlJc w:val="left"/>
      <w:pPr>
        <w:ind w:left="370" w:hanging="3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53F10A9"/>
    <w:multiLevelType w:val="hybridMultilevel"/>
    <w:tmpl w:val="C72093EC"/>
    <w:lvl w:ilvl="0" w:tplc="F5B00738">
      <w:start w:val="1"/>
      <w:numFmt w:val="upperLetter"/>
      <w:lvlText w:val="%1)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F75AF4"/>
    <w:multiLevelType w:val="hybridMultilevel"/>
    <w:tmpl w:val="5F689B84"/>
    <w:lvl w:ilvl="0" w:tplc="41B662A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24703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02767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861673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50407211">
    <w:abstractNumId w:val="5"/>
  </w:num>
  <w:num w:numId="5" w16cid:durableId="649209064">
    <w:abstractNumId w:val="4"/>
  </w:num>
  <w:num w:numId="6" w16cid:durableId="1686512775">
    <w:abstractNumId w:val="0"/>
  </w:num>
  <w:num w:numId="7" w16cid:durableId="1893692346">
    <w:abstractNumId w:val="2"/>
  </w:num>
  <w:num w:numId="8" w16cid:durableId="8028194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4C6"/>
    <w:rsid w:val="000119C3"/>
    <w:rsid w:val="00052AFB"/>
    <w:rsid w:val="000C6EDE"/>
    <w:rsid w:val="001231DB"/>
    <w:rsid w:val="001A0956"/>
    <w:rsid w:val="001B49E4"/>
    <w:rsid w:val="001D0EDC"/>
    <w:rsid w:val="00217513"/>
    <w:rsid w:val="002642F3"/>
    <w:rsid w:val="00273F9B"/>
    <w:rsid w:val="002D0438"/>
    <w:rsid w:val="002D3E4A"/>
    <w:rsid w:val="002E1EE7"/>
    <w:rsid w:val="002E5AD7"/>
    <w:rsid w:val="00310094"/>
    <w:rsid w:val="0036316F"/>
    <w:rsid w:val="00367DB9"/>
    <w:rsid w:val="00377191"/>
    <w:rsid w:val="00406D0F"/>
    <w:rsid w:val="004336E7"/>
    <w:rsid w:val="00473D47"/>
    <w:rsid w:val="004F6BB5"/>
    <w:rsid w:val="005017D0"/>
    <w:rsid w:val="00527066"/>
    <w:rsid w:val="005278D5"/>
    <w:rsid w:val="00566214"/>
    <w:rsid w:val="005674BB"/>
    <w:rsid w:val="00585012"/>
    <w:rsid w:val="005A5A29"/>
    <w:rsid w:val="00624640"/>
    <w:rsid w:val="00682AE6"/>
    <w:rsid w:val="007040F8"/>
    <w:rsid w:val="00712647"/>
    <w:rsid w:val="007166BF"/>
    <w:rsid w:val="007B6E7C"/>
    <w:rsid w:val="00803393"/>
    <w:rsid w:val="0081191D"/>
    <w:rsid w:val="00843DCE"/>
    <w:rsid w:val="008B68AC"/>
    <w:rsid w:val="0091168E"/>
    <w:rsid w:val="00913256"/>
    <w:rsid w:val="009729F3"/>
    <w:rsid w:val="009B2592"/>
    <w:rsid w:val="009E417B"/>
    <w:rsid w:val="00A16768"/>
    <w:rsid w:val="00A9474D"/>
    <w:rsid w:val="00AF468F"/>
    <w:rsid w:val="00B12E4F"/>
    <w:rsid w:val="00B75FFE"/>
    <w:rsid w:val="00B904C6"/>
    <w:rsid w:val="00BA06FA"/>
    <w:rsid w:val="00C309F0"/>
    <w:rsid w:val="00C8243E"/>
    <w:rsid w:val="00CB7D66"/>
    <w:rsid w:val="00D361CD"/>
    <w:rsid w:val="00E02011"/>
    <w:rsid w:val="00E3312E"/>
    <w:rsid w:val="00E56065"/>
    <w:rsid w:val="00E63D5D"/>
    <w:rsid w:val="00E90890"/>
    <w:rsid w:val="00F05CCA"/>
    <w:rsid w:val="00F229AF"/>
    <w:rsid w:val="00F64DE1"/>
    <w:rsid w:val="00F8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3FD69D"/>
  <w15:chartTrackingRefBased/>
  <w15:docId w15:val="{759EFBE6-4E0F-4323-A071-27F12ED4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4C6"/>
    <w:pPr>
      <w:spacing w:after="160" w:line="25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04C6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B904C6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B904C6"/>
  </w:style>
  <w:style w:type="character" w:customStyle="1" w:styleId="a6">
    <w:name w:val="コメント文字列 (文字)"/>
    <w:basedOn w:val="a0"/>
    <w:link w:val="a5"/>
    <w:uiPriority w:val="99"/>
    <w:rsid w:val="00B904C6"/>
    <w:rPr>
      <w:kern w:val="0"/>
      <w:sz w:val="22"/>
      <w:lang w:eastAsia="en-US"/>
    </w:rPr>
  </w:style>
  <w:style w:type="paragraph" w:styleId="a7">
    <w:name w:val="header"/>
    <w:basedOn w:val="a"/>
    <w:link w:val="a8"/>
    <w:uiPriority w:val="99"/>
    <w:unhideWhenUsed/>
    <w:rsid w:val="00052AF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2AFB"/>
    <w:rPr>
      <w:kern w:val="0"/>
      <w:sz w:val="22"/>
      <w:lang w:eastAsia="en-US"/>
    </w:rPr>
  </w:style>
  <w:style w:type="paragraph" w:styleId="a9">
    <w:name w:val="footer"/>
    <w:basedOn w:val="a"/>
    <w:link w:val="aa"/>
    <w:uiPriority w:val="99"/>
    <w:unhideWhenUsed/>
    <w:rsid w:val="00052AF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2AFB"/>
    <w:rPr>
      <w:kern w:val="0"/>
      <w:sz w:val="22"/>
      <w:lang w:eastAsia="en-US"/>
    </w:rPr>
  </w:style>
  <w:style w:type="paragraph" w:styleId="ab">
    <w:name w:val="annotation subject"/>
    <w:basedOn w:val="a5"/>
    <w:next w:val="a5"/>
    <w:link w:val="ac"/>
    <w:uiPriority w:val="99"/>
    <w:semiHidden/>
    <w:unhideWhenUsed/>
    <w:rsid w:val="00AF468F"/>
    <w:rPr>
      <w:b/>
      <w:bCs/>
    </w:rPr>
  </w:style>
  <w:style w:type="character" w:customStyle="1" w:styleId="ac">
    <w:name w:val="コメント内容 (文字)"/>
    <w:basedOn w:val="a6"/>
    <w:link w:val="ab"/>
    <w:uiPriority w:val="99"/>
    <w:semiHidden/>
    <w:rsid w:val="00AF468F"/>
    <w:rPr>
      <w:b/>
      <w:bCs/>
      <w:kern w:val="0"/>
      <w:sz w:val="22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4336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336E7"/>
    <w:rPr>
      <w:rFonts w:ascii="Segoe UI" w:hAnsi="Segoe UI" w:cs="Segoe UI"/>
      <w:kern w:val="0"/>
      <w:sz w:val="18"/>
      <w:szCs w:val="18"/>
      <w:lang w:eastAsia="en-US"/>
    </w:rPr>
  </w:style>
  <w:style w:type="paragraph" w:styleId="af">
    <w:name w:val="Revision"/>
    <w:hidden/>
    <w:uiPriority w:val="99"/>
    <w:semiHidden/>
    <w:rsid w:val="0081191D"/>
    <w:rPr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B62FF04C182143B20F9C32E7D27F36" ma:contentTypeVersion="12" ma:contentTypeDescription="Create a new document." ma:contentTypeScope="" ma:versionID="b43a7cfdd66c723519e86a48e6c84c3a">
  <xsd:schema xmlns:xsd="http://www.w3.org/2001/XMLSchema" xmlns:xs="http://www.w3.org/2001/XMLSchema" xmlns:p="http://schemas.microsoft.com/office/2006/metadata/properties" xmlns:ns3="55798d60-385c-49ef-8b00-e8b877fe8d1c" xmlns:ns4="db1198b4-c359-416a-ba30-7bec06a6734b" targetNamespace="http://schemas.microsoft.com/office/2006/metadata/properties" ma:root="true" ma:fieldsID="30f0b6daf9f5fe0ac7834bb40874161d" ns3:_="" ns4:_="">
    <xsd:import namespace="55798d60-385c-49ef-8b00-e8b877fe8d1c"/>
    <xsd:import namespace="db1198b4-c359-416a-ba30-7bec06a673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798d60-385c-49ef-8b00-e8b877fe8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1198b4-c359-416a-ba30-7bec06a67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249012-B9C5-4016-A040-6C5A44076D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8365F9-E0E2-4DE5-9F12-848D3D36A3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798d60-385c-49ef-8b00-e8b877fe8d1c"/>
    <ds:schemaRef ds:uri="db1198b4-c359-416a-ba30-7bec06a67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99BF4D-FCFE-45C9-85ED-4BC6F781E63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724</Words>
  <Characters>4128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Mishima Saori</dc:creator>
  <cp:keywords/>
  <dc:description/>
  <cp:lastModifiedBy>Mishima Saori</cp:lastModifiedBy>
  <cp:revision>4</cp:revision>
  <dcterms:created xsi:type="dcterms:W3CDTF">2022-09-25T22:11:00Z</dcterms:created>
  <dcterms:modified xsi:type="dcterms:W3CDTF">2023-01-25T03:35:00Z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0x01010064B62FF04C182143B20F9C32E7D27F36</vt:lpwstr>
  </property>
</Properties>
</file>