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471B8" w14:textId="628EF2B0" w:rsidR="00B356B6" w:rsidRDefault="001B47DF">
      <w:pPr>
        <w:rPr>
          <w:rFonts w:eastAsiaTheme="minorHAnsi" w:cs="Times New Roman"/>
          <w:noProof/>
          <w:sz w:val="32"/>
          <w:szCs w:val="36"/>
        </w:rPr>
      </w:pPr>
      <w:r w:rsidRPr="00B356B6">
        <w:rPr>
          <w:rFonts w:eastAsiaTheme="minorHAnsi" w:cs="Times New Roman"/>
          <w:noProof/>
          <w:sz w:val="32"/>
          <w:szCs w:val="36"/>
        </w:rPr>
        <w:drawing>
          <wp:anchor distT="0" distB="0" distL="114300" distR="114300" simplePos="0" relativeHeight="251658240" behindDoc="1" locked="0" layoutInCell="1" allowOverlap="1" wp14:anchorId="12F38B43" wp14:editId="243251DF">
            <wp:simplePos x="0" y="0"/>
            <wp:positionH relativeFrom="margin">
              <wp:align>right</wp:align>
            </wp:positionH>
            <wp:positionV relativeFrom="paragraph">
              <wp:posOffset>1905</wp:posOffset>
            </wp:positionV>
            <wp:extent cx="5377206" cy="8351520"/>
            <wp:effectExtent l="0" t="0" r="0" b="0"/>
            <wp:wrapNone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206" cy="835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56B6">
        <w:rPr>
          <w:rFonts w:eastAsiaTheme="minorHAnsi" w:cs="Times New Roman"/>
          <w:noProof/>
          <w:sz w:val="32"/>
          <w:szCs w:val="36"/>
        </w:rPr>
        <w:t>(A)</w:t>
      </w:r>
    </w:p>
    <w:p w14:paraId="21013AA2" w14:textId="77777777" w:rsidR="00B356B6" w:rsidRDefault="001B47DF">
      <w:pPr>
        <w:widowControl/>
        <w:wordWrap/>
        <w:autoSpaceDE/>
        <w:autoSpaceDN/>
        <w:rPr>
          <w:rFonts w:eastAsiaTheme="minorHAnsi" w:cs="Times New Roman"/>
          <w:noProof/>
          <w:sz w:val="32"/>
          <w:szCs w:val="36"/>
        </w:rPr>
      </w:pPr>
      <w:r>
        <w:rPr>
          <w:rFonts w:eastAsiaTheme="minorHAnsi" w:cs="Times New Roman"/>
          <w:noProof/>
          <w:sz w:val="32"/>
          <w:szCs w:val="36"/>
        </w:rPr>
        <w:br w:type="page"/>
      </w:r>
    </w:p>
    <w:p w14:paraId="4E81BF26" w14:textId="190E9985" w:rsidR="00B356B6" w:rsidRDefault="001B47DF">
      <w:pPr>
        <w:rPr>
          <w:rFonts w:eastAsiaTheme="minorHAnsi" w:cs="Times New Roman"/>
          <w:sz w:val="32"/>
          <w:szCs w:val="36"/>
        </w:rPr>
      </w:pPr>
      <w:r>
        <w:rPr>
          <w:rFonts w:eastAsiaTheme="minorHAnsi" w:cs="Times New Roman"/>
          <w:noProof/>
          <w:sz w:val="32"/>
          <w:szCs w:val="36"/>
        </w:rPr>
        <w:lastRenderedPageBreak/>
        <w:drawing>
          <wp:anchor distT="0" distB="0" distL="114300" distR="114300" simplePos="0" relativeHeight="251659264" behindDoc="0" locked="0" layoutInCell="1" allowOverlap="1" wp14:anchorId="397BAB42" wp14:editId="5865D53F">
            <wp:simplePos x="0" y="0"/>
            <wp:positionH relativeFrom="margin">
              <wp:align>right</wp:align>
            </wp:positionH>
            <wp:positionV relativeFrom="paragraph">
              <wp:posOffset>-13335</wp:posOffset>
            </wp:positionV>
            <wp:extent cx="5352965" cy="8252990"/>
            <wp:effectExtent l="0" t="0" r="635" b="0"/>
            <wp:wrapNone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2965" cy="825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Theme="minorHAnsi" w:cs="Times New Roman" w:hint="eastAsia"/>
          <w:sz w:val="32"/>
          <w:szCs w:val="36"/>
        </w:rPr>
        <w:t>(</w:t>
      </w:r>
      <w:r>
        <w:rPr>
          <w:rFonts w:eastAsiaTheme="minorHAnsi" w:cs="Times New Roman"/>
          <w:sz w:val="32"/>
          <w:szCs w:val="36"/>
        </w:rPr>
        <w:t>B)</w:t>
      </w:r>
    </w:p>
    <w:p w14:paraId="602446AD" w14:textId="77777777" w:rsidR="00B356B6" w:rsidRDefault="001B47DF">
      <w:pPr>
        <w:widowControl/>
        <w:wordWrap/>
        <w:autoSpaceDE/>
        <w:autoSpaceDN/>
        <w:rPr>
          <w:rFonts w:eastAsiaTheme="minorHAnsi" w:cs="Times New Roman"/>
          <w:sz w:val="32"/>
          <w:szCs w:val="36"/>
        </w:rPr>
      </w:pPr>
      <w:r>
        <w:rPr>
          <w:rFonts w:eastAsiaTheme="minorHAnsi" w:cs="Times New Roman"/>
          <w:sz w:val="32"/>
          <w:szCs w:val="36"/>
        </w:rPr>
        <w:br w:type="page"/>
      </w:r>
    </w:p>
    <w:p w14:paraId="4856D5D4" w14:textId="6EC2C6E6" w:rsidR="00F17EA4" w:rsidRDefault="001B47DF" w:rsidP="004131FF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F17EA4">
        <w:rPr>
          <w:rFonts w:ascii="Times New Roman" w:hAnsi="Times New Roman" w:cs="Times New Roman"/>
          <w:b/>
          <w:bCs/>
          <w:sz w:val="24"/>
          <w:szCs w:val="28"/>
        </w:rPr>
        <w:lastRenderedPageBreak/>
        <w:t>S1 Fig. Positions of sequence</w:t>
      </w:r>
      <w:r w:rsidR="009346ED">
        <w:rPr>
          <w:rFonts w:ascii="Times New Roman" w:hAnsi="Times New Roman" w:cs="Times New Roman"/>
          <w:b/>
          <w:bCs/>
          <w:sz w:val="24"/>
          <w:szCs w:val="28"/>
        </w:rPr>
        <w:t>-</w:t>
      </w:r>
      <w:r w:rsidRPr="00F17EA4">
        <w:rPr>
          <w:rFonts w:ascii="Times New Roman" w:hAnsi="Times New Roman" w:cs="Times New Roman"/>
          <w:b/>
          <w:bCs/>
          <w:sz w:val="24"/>
          <w:szCs w:val="28"/>
        </w:rPr>
        <w:t xml:space="preserve">specific primers for </w:t>
      </w:r>
      <w:r w:rsidRPr="00C215C7">
        <w:rPr>
          <w:rFonts w:ascii="Times New Roman" w:hAnsi="Times New Roman" w:cs="Times New Roman"/>
          <w:b/>
          <w:bCs/>
          <w:i/>
          <w:iCs/>
          <w:sz w:val="24"/>
          <w:szCs w:val="28"/>
        </w:rPr>
        <w:t>sOR53A1</w:t>
      </w:r>
      <w:r w:rsidR="009346ED">
        <w:rPr>
          <w:rFonts w:ascii="Times New Roman" w:hAnsi="Times New Roman" w:cs="Times New Roman"/>
          <w:b/>
          <w:bCs/>
          <w:sz w:val="24"/>
          <w:szCs w:val="28"/>
        </w:rPr>
        <w:t>-</w:t>
      </w:r>
      <w:r w:rsidRPr="00F17EA4">
        <w:rPr>
          <w:rFonts w:ascii="Times New Roman" w:hAnsi="Times New Roman" w:cs="Times New Roman"/>
          <w:b/>
          <w:bCs/>
          <w:sz w:val="24"/>
          <w:szCs w:val="28"/>
        </w:rPr>
        <w:t xml:space="preserve"> (A) and </w:t>
      </w:r>
      <w:r w:rsidRPr="00C215C7">
        <w:rPr>
          <w:rFonts w:ascii="Times New Roman" w:hAnsi="Times New Roman" w:cs="Times New Roman"/>
          <w:b/>
          <w:bCs/>
          <w:i/>
          <w:iCs/>
          <w:sz w:val="24"/>
          <w:szCs w:val="28"/>
        </w:rPr>
        <w:t>sOR6Y2</w:t>
      </w:r>
      <w:r w:rsidR="009346ED">
        <w:rPr>
          <w:rFonts w:ascii="Times New Roman" w:hAnsi="Times New Roman" w:cs="Times New Roman"/>
          <w:b/>
          <w:bCs/>
          <w:sz w:val="24"/>
          <w:szCs w:val="28"/>
        </w:rPr>
        <w:t>-</w:t>
      </w:r>
      <w:r w:rsidRPr="00F17EA4">
        <w:rPr>
          <w:rFonts w:ascii="Times New Roman" w:hAnsi="Times New Roman" w:cs="Times New Roman"/>
          <w:b/>
          <w:bCs/>
          <w:sz w:val="24"/>
          <w:szCs w:val="28"/>
        </w:rPr>
        <w:t>related</w:t>
      </w:r>
      <w:r w:rsidR="00A45CBA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A45CBA" w:rsidRPr="00F17EA4">
        <w:rPr>
          <w:rFonts w:ascii="Times New Roman" w:hAnsi="Times New Roman" w:cs="Times New Roman"/>
          <w:b/>
          <w:bCs/>
          <w:sz w:val="24"/>
          <w:szCs w:val="28"/>
        </w:rPr>
        <w:t>(B)</w:t>
      </w:r>
      <w:r w:rsidRPr="00F17EA4">
        <w:rPr>
          <w:rFonts w:ascii="Times New Roman" w:hAnsi="Times New Roman" w:cs="Times New Roman"/>
          <w:b/>
          <w:bCs/>
          <w:sz w:val="24"/>
          <w:szCs w:val="28"/>
        </w:rPr>
        <w:t xml:space="preserve"> sequences. </w:t>
      </w:r>
      <w:r w:rsidRPr="00F17EA4">
        <w:rPr>
          <w:rFonts w:ascii="Times New Roman" w:hAnsi="Times New Roman" w:cs="Times New Roman"/>
          <w:sz w:val="24"/>
          <w:szCs w:val="28"/>
        </w:rPr>
        <w:t>Primer information for specific amplification of the expected sequences</w:t>
      </w:r>
      <w:r>
        <w:rPr>
          <w:rFonts w:ascii="Times New Roman" w:hAnsi="Times New Roman" w:cs="Times New Roman"/>
          <w:sz w:val="24"/>
          <w:szCs w:val="28"/>
        </w:rPr>
        <w:t>,</w:t>
      </w:r>
      <w:r w:rsidRPr="00F17EA4">
        <w:rPr>
          <w:rFonts w:ascii="Times New Roman" w:hAnsi="Times New Roman" w:cs="Times New Roman"/>
          <w:sz w:val="24"/>
          <w:szCs w:val="28"/>
        </w:rPr>
        <w:t xml:space="preserve"> according to the pig genome reference and the additionally detected sequence from OR typing in this study</w:t>
      </w:r>
      <w:r>
        <w:rPr>
          <w:rFonts w:ascii="Times New Roman" w:hAnsi="Times New Roman" w:cs="Times New Roman"/>
          <w:sz w:val="24"/>
          <w:szCs w:val="28"/>
        </w:rPr>
        <w:t>,</w:t>
      </w:r>
      <w:r w:rsidRPr="00F17EA4">
        <w:rPr>
          <w:rFonts w:ascii="Times New Roman" w:hAnsi="Times New Roman" w:cs="Times New Roman"/>
          <w:sz w:val="24"/>
          <w:szCs w:val="28"/>
        </w:rPr>
        <w:t xml:space="preserve"> are shown. </w:t>
      </w:r>
      <w:r w:rsidR="009346ED">
        <w:rPr>
          <w:rFonts w:ascii="Times New Roman" w:hAnsi="Times New Roman" w:cs="Times New Roman"/>
          <w:sz w:val="24"/>
          <w:szCs w:val="28"/>
        </w:rPr>
        <w:t>I</w:t>
      </w:r>
      <w:r w:rsidRPr="00F17EA4">
        <w:rPr>
          <w:rFonts w:ascii="Times New Roman" w:hAnsi="Times New Roman" w:cs="Times New Roman"/>
          <w:sz w:val="24"/>
          <w:szCs w:val="28"/>
        </w:rPr>
        <w:t>dentical nucleotides are indicated by dots. The CDS region</w:t>
      </w:r>
      <w:r>
        <w:rPr>
          <w:rFonts w:ascii="Times New Roman" w:eastAsia="맑은 고딕" w:hAnsi="Times New Roman" w:cs="Times New Roman"/>
          <w:sz w:val="24"/>
          <w:szCs w:val="28"/>
        </w:rPr>
        <w:t xml:space="preserve">s </w:t>
      </w:r>
      <w:r w:rsidRPr="00F17EA4">
        <w:rPr>
          <w:rFonts w:ascii="Times New Roman" w:hAnsi="Times New Roman" w:cs="Times New Roman"/>
          <w:sz w:val="24"/>
          <w:szCs w:val="28"/>
        </w:rPr>
        <w:t>are indicated with different colors.</w:t>
      </w:r>
    </w:p>
    <w:p w14:paraId="42553385" w14:textId="11D23563" w:rsidR="004131FF" w:rsidRDefault="001B47DF" w:rsidP="004131FF">
      <w:r>
        <w:rPr>
          <w:rFonts w:eastAsiaTheme="minorHAnsi" w:cs="Times New Roman"/>
          <w:sz w:val="32"/>
          <w:szCs w:val="36"/>
        </w:rPr>
        <w:tab/>
      </w:r>
      <w:r>
        <w:rPr>
          <w:noProof/>
        </w:rPr>
        <w:lastRenderedPageBreak/>
        <w:drawing>
          <wp:inline distT="0" distB="0" distL="0" distR="0" wp14:anchorId="55B2BCA9" wp14:editId="44FC7304">
            <wp:extent cx="5724525" cy="8516620"/>
            <wp:effectExtent l="0" t="0" r="9525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516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E60B11" w14:textId="33E141E6" w:rsidR="00F17EA4" w:rsidRPr="00F17EA4" w:rsidRDefault="001B47DF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8"/>
        </w:rPr>
      </w:pPr>
      <w:r w:rsidRPr="00F17EA4">
        <w:rPr>
          <w:rFonts w:ascii="Times New Roman" w:hAnsi="Times New Roman" w:cs="Times New Roman"/>
          <w:b/>
          <w:bCs/>
          <w:sz w:val="24"/>
          <w:szCs w:val="28"/>
        </w:rPr>
        <w:lastRenderedPageBreak/>
        <w:t xml:space="preserve">S2 Fig. Evaluation of primer efficiency for </w:t>
      </w:r>
      <w:r w:rsidRPr="00C215C7">
        <w:rPr>
          <w:rFonts w:ascii="Times New Roman" w:hAnsi="Times New Roman" w:cs="Times New Roman"/>
          <w:b/>
          <w:bCs/>
          <w:i/>
          <w:iCs/>
          <w:sz w:val="24"/>
          <w:szCs w:val="28"/>
        </w:rPr>
        <w:t>sOR53A1</w:t>
      </w:r>
      <w:r w:rsidRPr="00F17EA4">
        <w:rPr>
          <w:rFonts w:ascii="Times New Roman" w:hAnsi="Times New Roman" w:cs="Times New Roman"/>
          <w:b/>
          <w:bCs/>
          <w:sz w:val="24"/>
          <w:szCs w:val="28"/>
        </w:rPr>
        <w:t xml:space="preserve"> and </w:t>
      </w:r>
      <w:r w:rsidRPr="001B47DF">
        <w:rPr>
          <w:rFonts w:ascii="Times New Roman" w:hAnsi="Times New Roman" w:cs="Times New Roman"/>
          <w:b/>
          <w:bCs/>
          <w:i/>
          <w:iCs/>
          <w:sz w:val="24"/>
          <w:szCs w:val="28"/>
        </w:rPr>
        <w:t>GCG</w:t>
      </w:r>
      <w:r w:rsidRPr="00F17EA4">
        <w:rPr>
          <w:rFonts w:ascii="Times New Roman" w:hAnsi="Times New Roman" w:cs="Times New Roman"/>
          <w:b/>
          <w:bCs/>
          <w:sz w:val="24"/>
          <w:szCs w:val="28"/>
        </w:rPr>
        <w:t xml:space="preserve"> qPCR.</w:t>
      </w:r>
      <w:r w:rsidRPr="00F17EA4">
        <w:rPr>
          <w:rFonts w:ascii="Times New Roman" w:hAnsi="Times New Roman" w:cs="Times New Roman"/>
          <w:sz w:val="24"/>
          <w:szCs w:val="28"/>
        </w:rPr>
        <w:t xml:space="preserve"> The amplification plot (A), standard curve, qPCR efficiency (B), and melting curve (C) of each target were generated using 1, 5, 25, </w:t>
      </w:r>
      <w:r>
        <w:rPr>
          <w:rFonts w:ascii="Times New Roman" w:eastAsia="맑은 고딕" w:hAnsi="Times New Roman" w:cs="Times New Roman"/>
          <w:sz w:val="24"/>
          <w:szCs w:val="28"/>
        </w:rPr>
        <w:t xml:space="preserve">and 125 ng of pig genomic DNA from an individual (KNP3) with </w:t>
      </w:r>
      <w:proofErr w:type="gramStart"/>
      <w:r>
        <w:rPr>
          <w:rFonts w:ascii="Times New Roman" w:eastAsia="맑은 고딕" w:hAnsi="Times New Roman" w:cs="Times New Roman"/>
          <w:sz w:val="24"/>
          <w:szCs w:val="28"/>
        </w:rPr>
        <w:t>single</w:t>
      </w:r>
      <w:r w:rsidRPr="00F17EA4">
        <w:rPr>
          <w:rFonts w:ascii="Times New Roman" w:hAnsi="Times New Roman" w:cs="Times New Roman"/>
          <w:sz w:val="24"/>
          <w:szCs w:val="28"/>
        </w:rPr>
        <w:t>-copy</w:t>
      </w:r>
      <w:proofErr w:type="gramEnd"/>
      <w:r w:rsidRPr="00F17EA4">
        <w:rPr>
          <w:rFonts w:ascii="Times New Roman" w:hAnsi="Times New Roman" w:cs="Times New Roman"/>
          <w:sz w:val="24"/>
          <w:szCs w:val="28"/>
        </w:rPr>
        <w:t xml:space="preserve"> </w:t>
      </w:r>
      <w:r w:rsidRPr="00C215C7">
        <w:rPr>
          <w:rFonts w:ascii="Times New Roman" w:hAnsi="Times New Roman" w:cs="Times New Roman"/>
          <w:i/>
          <w:iCs/>
          <w:sz w:val="24"/>
          <w:szCs w:val="28"/>
        </w:rPr>
        <w:t>sOR53A1</w:t>
      </w:r>
      <w:r w:rsidRPr="00F17EA4">
        <w:rPr>
          <w:rFonts w:ascii="Times New Roman" w:hAnsi="Times New Roman" w:cs="Times New Roman"/>
          <w:sz w:val="24"/>
          <w:szCs w:val="28"/>
        </w:rPr>
        <w:t xml:space="preserve">. The experiment was repeated thrice for each reaction. (A) Results for </w:t>
      </w:r>
      <w:r w:rsidRPr="001B47DF">
        <w:rPr>
          <w:rFonts w:ascii="Times New Roman" w:hAnsi="Times New Roman" w:cs="Times New Roman"/>
          <w:i/>
          <w:iCs/>
          <w:sz w:val="24"/>
          <w:szCs w:val="28"/>
        </w:rPr>
        <w:t>GCG</w:t>
      </w:r>
      <w:r w:rsidRPr="00F17EA4">
        <w:rPr>
          <w:rFonts w:ascii="Times New Roman" w:hAnsi="Times New Roman" w:cs="Times New Roman"/>
          <w:sz w:val="24"/>
          <w:szCs w:val="28"/>
        </w:rPr>
        <w:t xml:space="preserve"> and </w:t>
      </w:r>
      <w:r w:rsidRPr="00C215C7">
        <w:rPr>
          <w:rFonts w:ascii="Times New Roman" w:hAnsi="Times New Roman" w:cs="Times New Roman"/>
          <w:i/>
          <w:iCs/>
          <w:sz w:val="24"/>
          <w:szCs w:val="28"/>
        </w:rPr>
        <w:t>sOR53A1</w:t>
      </w:r>
      <w:r w:rsidRPr="00F17EA4">
        <w:rPr>
          <w:rFonts w:ascii="Times New Roman" w:hAnsi="Times New Roman" w:cs="Times New Roman"/>
          <w:sz w:val="24"/>
          <w:szCs w:val="28"/>
        </w:rPr>
        <w:t xml:space="preserve"> are shown in green and red, respectively. The negative controls are shown as black lines. To determine </w:t>
      </w:r>
      <w:r>
        <w:rPr>
          <w:rFonts w:ascii="Times New Roman" w:eastAsia="맑은 고딕" w:hAnsi="Times New Roman" w:cs="Times New Roman"/>
          <w:sz w:val="24"/>
          <w:szCs w:val="28"/>
        </w:rPr>
        <w:t>the cycle threshold (</w:t>
      </w:r>
      <w:proofErr w:type="spellStart"/>
      <w:r w:rsidRPr="00F17EA4">
        <w:rPr>
          <w:rFonts w:ascii="Times New Roman" w:hAnsi="Times New Roman" w:cs="Times New Roman"/>
          <w:sz w:val="24"/>
          <w:szCs w:val="28"/>
        </w:rPr>
        <w:t>Cq</w:t>
      </w:r>
      <w:proofErr w:type="spellEnd"/>
      <w:r w:rsidRPr="00F17EA4">
        <w:rPr>
          <w:rFonts w:ascii="Times New Roman" w:hAnsi="Times New Roman" w:cs="Times New Roman"/>
          <w:sz w:val="24"/>
          <w:szCs w:val="28"/>
        </w:rPr>
        <w:t xml:space="preserve">), relative fluorescence units (RFU) of 225.6 and 274.1 were used for </w:t>
      </w:r>
      <w:r w:rsidRPr="001B47DF">
        <w:rPr>
          <w:rFonts w:ascii="Times New Roman" w:hAnsi="Times New Roman" w:cs="Times New Roman"/>
          <w:i/>
          <w:iCs/>
          <w:sz w:val="24"/>
          <w:szCs w:val="28"/>
        </w:rPr>
        <w:t>GCG</w:t>
      </w:r>
      <w:r w:rsidRPr="00F17EA4">
        <w:rPr>
          <w:rFonts w:ascii="Times New Roman" w:hAnsi="Times New Roman" w:cs="Times New Roman"/>
          <w:sz w:val="24"/>
          <w:szCs w:val="28"/>
        </w:rPr>
        <w:t xml:space="preserve"> (cyan) and </w:t>
      </w:r>
      <w:r w:rsidRPr="00C215C7">
        <w:rPr>
          <w:rFonts w:ascii="Times New Roman" w:hAnsi="Times New Roman" w:cs="Times New Roman"/>
          <w:i/>
          <w:iCs/>
          <w:sz w:val="24"/>
          <w:szCs w:val="28"/>
        </w:rPr>
        <w:t>sOR53A1</w:t>
      </w:r>
      <w:r w:rsidRPr="00F17EA4">
        <w:rPr>
          <w:rFonts w:ascii="Times New Roman" w:hAnsi="Times New Roman" w:cs="Times New Roman"/>
          <w:sz w:val="24"/>
          <w:szCs w:val="28"/>
        </w:rPr>
        <w:t xml:space="preserve"> (blue), respectively. (B) Standard curves for </w:t>
      </w:r>
      <w:r w:rsidRPr="001B47DF">
        <w:rPr>
          <w:rFonts w:ascii="Times New Roman" w:hAnsi="Times New Roman" w:cs="Times New Roman"/>
          <w:i/>
          <w:iCs/>
          <w:sz w:val="24"/>
          <w:szCs w:val="28"/>
        </w:rPr>
        <w:t>GCG</w:t>
      </w:r>
      <w:r w:rsidRPr="00F17EA4">
        <w:rPr>
          <w:rFonts w:ascii="Times New Roman" w:hAnsi="Times New Roman" w:cs="Times New Roman"/>
          <w:sz w:val="24"/>
          <w:szCs w:val="28"/>
        </w:rPr>
        <w:t xml:space="preserve"> (cyan) and </w:t>
      </w:r>
      <w:r w:rsidRPr="00C215C7">
        <w:rPr>
          <w:rFonts w:ascii="Times New Roman" w:hAnsi="Times New Roman" w:cs="Times New Roman"/>
          <w:i/>
          <w:iCs/>
          <w:sz w:val="24"/>
          <w:szCs w:val="28"/>
        </w:rPr>
        <w:t>sOR53A1</w:t>
      </w:r>
      <w:r w:rsidRPr="00F17EA4">
        <w:rPr>
          <w:rFonts w:ascii="Times New Roman" w:hAnsi="Times New Roman" w:cs="Times New Roman"/>
          <w:sz w:val="24"/>
          <w:szCs w:val="28"/>
        </w:rPr>
        <w:t xml:space="preserve"> (blue) are plotted according to the change in </w:t>
      </w:r>
      <w:proofErr w:type="spellStart"/>
      <w:r w:rsidRPr="00F17EA4">
        <w:rPr>
          <w:rFonts w:ascii="Times New Roman" w:hAnsi="Times New Roman" w:cs="Times New Roman"/>
          <w:sz w:val="24"/>
          <w:szCs w:val="28"/>
        </w:rPr>
        <w:t>Cq</w:t>
      </w:r>
      <w:proofErr w:type="spellEnd"/>
      <w:r w:rsidRPr="00F17EA4">
        <w:rPr>
          <w:rFonts w:ascii="Times New Roman" w:hAnsi="Times New Roman" w:cs="Times New Roman"/>
          <w:sz w:val="24"/>
          <w:szCs w:val="28"/>
        </w:rPr>
        <w:t xml:space="preserve"> with log concentration of genomic DNA. qPCR efficiencies were calculated from standard curves</w:t>
      </w:r>
      <w:r>
        <w:rPr>
          <w:rFonts w:ascii="Times New Roman" w:eastAsia="맑은 고딕" w:hAnsi="Times New Roman" w:cs="Times New Roman"/>
          <w:sz w:val="24"/>
          <w:szCs w:val="28"/>
        </w:rPr>
        <w:t xml:space="preserve">, and </w:t>
      </w:r>
      <w:r w:rsidR="00BD6B1C">
        <w:rPr>
          <w:rFonts w:ascii="Times New Roman" w:eastAsia="맑은 고딕" w:hAnsi="Times New Roman" w:cs="Times New Roman"/>
          <w:sz w:val="24"/>
          <w:szCs w:val="28"/>
        </w:rPr>
        <w:t xml:space="preserve">the </w:t>
      </w:r>
      <w:r>
        <w:rPr>
          <w:rFonts w:ascii="Times New Roman" w:eastAsia="맑은 고딕" w:hAnsi="Times New Roman" w:cs="Times New Roman"/>
          <w:sz w:val="24"/>
          <w:szCs w:val="28"/>
        </w:rPr>
        <w:t xml:space="preserve">values </w:t>
      </w:r>
      <w:r w:rsidRPr="00F17EA4">
        <w:rPr>
          <w:rFonts w:ascii="Times New Roman" w:hAnsi="Times New Roman" w:cs="Times New Roman"/>
          <w:sz w:val="24"/>
          <w:szCs w:val="28"/>
        </w:rPr>
        <w:t xml:space="preserve">are presented in the plot. (C) </w:t>
      </w:r>
      <w:r w:rsidR="009346ED">
        <w:rPr>
          <w:rFonts w:ascii="Times New Roman" w:hAnsi="Times New Roman" w:cs="Times New Roman"/>
          <w:sz w:val="24"/>
          <w:szCs w:val="28"/>
        </w:rPr>
        <w:t>M</w:t>
      </w:r>
      <w:r w:rsidRPr="00F17EA4">
        <w:rPr>
          <w:rFonts w:ascii="Times New Roman" w:hAnsi="Times New Roman" w:cs="Times New Roman"/>
          <w:sz w:val="24"/>
          <w:szCs w:val="28"/>
        </w:rPr>
        <w:t xml:space="preserve">elting curves of all </w:t>
      </w:r>
      <w:r w:rsidRPr="001B47DF">
        <w:rPr>
          <w:rFonts w:ascii="Times New Roman" w:hAnsi="Times New Roman" w:cs="Times New Roman"/>
          <w:i/>
          <w:iCs/>
          <w:sz w:val="24"/>
          <w:szCs w:val="28"/>
        </w:rPr>
        <w:t>GCG</w:t>
      </w:r>
      <w:r w:rsidRPr="00F17EA4">
        <w:rPr>
          <w:rFonts w:ascii="Times New Roman" w:hAnsi="Times New Roman" w:cs="Times New Roman"/>
          <w:sz w:val="24"/>
          <w:szCs w:val="28"/>
        </w:rPr>
        <w:t xml:space="preserve"> and </w:t>
      </w:r>
      <w:r w:rsidRPr="00C215C7">
        <w:rPr>
          <w:rFonts w:ascii="Times New Roman" w:hAnsi="Times New Roman" w:cs="Times New Roman"/>
          <w:i/>
          <w:iCs/>
          <w:sz w:val="24"/>
          <w:szCs w:val="28"/>
        </w:rPr>
        <w:t>sOR53A1</w:t>
      </w:r>
      <w:r w:rsidRPr="00F17EA4">
        <w:rPr>
          <w:rFonts w:ascii="Times New Roman" w:hAnsi="Times New Roman" w:cs="Times New Roman"/>
          <w:sz w:val="24"/>
          <w:szCs w:val="28"/>
        </w:rPr>
        <w:t xml:space="preserve"> amplification</w:t>
      </w:r>
      <w:r>
        <w:rPr>
          <w:rFonts w:ascii="Times New Roman" w:eastAsia="맑은 고딕" w:hAnsi="Times New Roman" w:cs="Times New Roman"/>
          <w:sz w:val="24"/>
          <w:szCs w:val="28"/>
        </w:rPr>
        <w:t xml:space="preserve">s </w:t>
      </w:r>
      <w:r w:rsidRPr="00F17EA4">
        <w:rPr>
          <w:rFonts w:ascii="Times New Roman" w:hAnsi="Times New Roman" w:cs="Times New Roman"/>
          <w:sz w:val="24"/>
          <w:szCs w:val="28"/>
        </w:rPr>
        <w:t xml:space="preserve">are plotted with green and red curves, respectively. </w:t>
      </w:r>
      <w:r w:rsidR="009346ED">
        <w:rPr>
          <w:rFonts w:ascii="Times New Roman" w:hAnsi="Times New Roman" w:cs="Times New Roman"/>
          <w:sz w:val="24"/>
          <w:szCs w:val="28"/>
        </w:rPr>
        <w:t>N</w:t>
      </w:r>
      <w:r w:rsidRPr="00F17EA4">
        <w:rPr>
          <w:rFonts w:ascii="Times New Roman" w:hAnsi="Times New Roman" w:cs="Times New Roman"/>
          <w:sz w:val="24"/>
          <w:szCs w:val="28"/>
        </w:rPr>
        <w:t>egative controls are shown as black lines. The melting temperature of each PCR run was based on the level of fluorescence reduction corresponding to −d(RFU)/</w:t>
      </w:r>
      <w:proofErr w:type="spellStart"/>
      <w:r w:rsidRPr="00F17EA4">
        <w:rPr>
          <w:rFonts w:ascii="Times New Roman" w:hAnsi="Times New Roman" w:cs="Times New Roman"/>
          <w:sz w:val="24"/>
          <w:szCs w:val="28"/>
        </w:rPr>
        <w:t>dT.</w:t>
      </w:r>
      <w:proofErr w:type="spellEnd"/>
    </w:p>
    <w:p w14:paraId="08C68126" w14:textId="7F0F329D" w:rsidR="00F17EA4" w:rsidRDefault="001B47DF">
      <w:pPr>
        <w:widowControl/>
        <w:wordWrap/>
        <w:autoSpaceDE/>
        <w:autoSpaceDN/>
        <w:rPr>
          <w:rFonts w:eastAsiaTheme="minorHAnsi" w:cs="Times New Roman"/>
          <w:sz w:val="32"/>
          <w:szCs w:val="36"/>
        </w:rPr>
      </w:pPr>
      <w:r>
        <w:rPr>
          <w:rFonts w:eastAsiaTheme="minorHAnsi" w:cs="Times New Roman"/>
          <w:sz w:val="32"/>
          <w:szCs w:val="36"/>
        </w:rPr>
        <w:br w:type="page"/>
      </w:r>
    </w:p>
    <w:p w14:paraId="682AB68A" w14:textId="092E9EEE" w:rsidR="00136F95" w:rsidRDefault="001B47DF">
      <w:pPr>
        <w:rPr>
          <w:rFonts w:eastAsiaTheme="minorHAnsi" w:cs="Times New Roman"/>
          <w:sz w:val="32"/>
          <w:szCs w:val="36"/>
        </w:rPr>
      </w:pPr>
      <w:r>
        <w:rPr>
          <w:rFonts w:eastAsiaTheme="minorHAnsi" w:cs="Times New Roman"/>
          <w:noProof/>
          <w:sz w:val="32"/>
          <w:szCs w:val="36"/>
        </w:rPr>
        <w:lastRenderedPageBreak/>
        <w:drawing>
          <wp:anchor distT="0" distB="0" distL="114300" distR="114300" simplePos="0" relativeHeight="251661312" behindDoc="0" locked="0" layoutInCell="1" allowOverlap="1" wp14:anchorId="23D52F34" wp14:editId="4480B40F">
            <wp:simplePos x="0" y="0"/>
            <wp:positionH relativeFrom="margin">
              <wp:align>left</wp:align>
            </wp:positionH>
            <wp:positionV relativeFrom="paragraph">
              <wp:posOffset>72390</wp:posOffset>
            </wp:positionV>
            <wp:extent cx="6163310" cy="3792220"/>
            <wp:effectExtent l="0" t="0" r="0" b="0"/>
            <wp:wrapNone/>
            <wp:docPr id="40" name="그림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310" cy="3792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Theme="minorHAnsi" w:cs="Times New Roman" w:hint="eastAsia"/>
          <w:sz w:val="32"/>
          <w:szCs w:val="36"/>
        </w:rPr>
        <w:t>(</w:t>
      </w:r>
      <w:r>
        <w:rPr>
          <w:rFonts w:eastAsiaTheme="minorHAnsi" w:cs="Times New Roman"/>
          <w:sz w:val="32"/>
          <w:szCs w:val="36"/>
        </w:rPr>
        <w:t>A)</w:t>
      </w:r>
    </w:p>
    <w:p w14:paraId="01A16131" w14:textId="383D0416" w:rsidR="00337402" w:rsidRDefault="00337402">
      <w:pPr>
        <w:rPr>
          <w:rFonts w:eastAsiaTheme="minorHAnsi" w:cs="Times New Roman"/>
          <w:sz w:val="32"/>
          <w:szCs w:val="36"/>
        </w:rPr>
      </w:pPr>
    </w:p>
    <w:p w14:paraId="17D298A3" w14:textId="05365420" w:rsidR="00337402" w:rsidRDefault="00337402">
      <w:pPr>
        <w:rPr>
          <w:rFonts w:eastAsiaTheme="minorHAnsi" w:cs="Times New Roman"/>
          <w:sz w:val="32"/>
          <w:szCs w:val="36"/>
        </w:rPr>
      </w:pPr>
    </w:p>
    <w:p w14:paraId="1045F7DD" w14:textId="6742A184" w:rsidR="00337402" w:rsidRDefault="00337402">
      <w:pPr>
        <w:rPr>
          <w:rFonts w:eastAsiaTheme="minorHAnsi" w:cs="Times New Roman"/>
          <w:sz w:val="32"/>
          <w:szCs w:val="36"/>
        </w:rPr>
      </w:pPr>
    </w:p>
    <w:p w14:paraId="023B22B1" w14:textId="31AE9CB2" w:rsidR="00337402" w:rsidRDefault="00337402">
      <w:pPr>
        <w:rPr>
          <w:rFonts w:eastAsiaTheme="minorHAnsi" w:cs="Times New Roman"/>
          <w:sz w:val="32"/>
          <w:szCs w:val="36"/>
        </w:rPr>
      </w:pPr>
    </w:p>
    <w:p w14:paraId="12BE1B95" w14:textId="2234CF1D" w:rsidR="00337402" w:rsidRDefault="00337402">
      <w:pPr>
        <w:rPr>
          <w:rFonts w:eastAsiaTheme="minorHAnsi" w:cs="Times New Roman"/>
          <w:sz w:val="32"/>
          <w:szCs w:val="36"/>
        </w:rPr>
      </w:pPr>
    </w:p>
    <w:p w14:paraId="5EFA56E9" w14:textId="44E51E82" w:rsidR="00337402" w:rsidRDefault="00337402">
      <w:pPr>
        <w:rPr>
          <w:rFonts w:eastAsiaTheme="minorHAnsi" w:cs="Times New Roman"/>
          <w:sz w:val="32"/>
          <w:szCs w:val="36"/>
        </w:rPr>
      </w:pPr>
    </w:p>
    <w:p w14:paraId="24D0305A" w14:textId="61DBBF57" w:rsidR="00337402" w:rsidRDefault="00337402">
      <w:pPr>
        <w:rPr>
          <w:rFonts w:eastAsiaTheme="minorHAnsi" w:cs="Times New Roman"/>
          <w:sz w:val="32"/>
          <w:szCs w:val="36"/>
        </w:rPr>
      </w:pPr>
    </w:p>
    <w:p w14:paraId="3DF91EFF" w14:textId="77777777" w:rsidR="00337402" w:rsidRPr="00337402" w:rsidRDefault="001B47DF">
      <w:pPr>
        <w:rPr>
          <w:rFonts w:eastAsiaTheme="minorHAnsi" w:cs="Times New Roman"/>
          <w:sz w:val="10"/>
          <w:szCs w:val="12"/>
        </w:rPr>
      </w:pPr>
      <w:r w:rsidRPr="00337402">
        <w:rPr>
          <w:rFonts w:eastAsiaTheme="minorHAnsi" w:cs="Times New Roman"/>
          <w:noProof/>
          <w:sz w:val="10"/>
          <w:szCs w:val="12"/>
        </w:rPr>
        <w:drawing>
          <wp:anchor distT="0" distB="0" distL="114300" distR="114300" simplePos="0" relativeHeight="251660288" behindDoc="0" locked="0" layoutInCell="1" allowOverlap="1" wp14:anchorId="188878F2" wp14:editId="4694990E">
            <wp:simplePos x="0" y="0"/>
            <wp:positionH relativeFrom="margin">
              <wp:align>right</wp:align>
            </wp:positionH>
            <wp:positionV relativeFrom="paragraph">
              <wp:posOffset>320675</wp:posOffset>
            </wp:positionV>
            <wp:extent cx="5742709" cy="3524054"/>
            <wp:effectExtent l="0" t="0" r="0" b="635"/>
            <wp:wrapNone/>
            <wp:docPr id="24" name="그림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709" cy="35240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64853DB" w14:textId="2861BD14" w:rsidR="00337402" w:rsidRDefault="001B47DF">
      <w:pPr>
        <w:rPr>
          <w:rFonts w:eastAsiaTheme="minorHAnsi" w:cs="Times New Roman"/>
          <w:sz w:val="32"/>
          <w:szCs w:val="36"/>
        </w:rPr>
      </w:pPr>
      <w:r>
        <w:rPr>
          <w:rFonts w:eastAsiaTheme="minorHAnsi" w:cs="Times New Roman" w:hint="eastAsia"/>
          <w:sz w:val="32"/>
          <w:szCs w:val="36"/>
        </w:rPr>
        <w:t>(</w:t>
      </w:r>
      <w:r>
        <w:rPr>
          <w:rFonts w:eastAsiaTheme="minorHAnsi" w:cs="Times New Roman"/>
          <w:sz w:val="32"/>
          <w:szCs w:val="36"/>
        </w:rPr>
        <w:t>B)</w:t>
      </w:r>
    </w:p>
    <w:p w14:paraId="489F5DC4" w14:textId="24DCF635" w:rsidR="00337402" w:rsidRDefault="00337402">
      <w:pPr>
        <w:rPr>
          <w:rFonts w:eastAsiaTheme="minorHAnsi" w:cs="Times New Roman"/>
          <w:sz w:val="32"/>
          <w:szCs w:val="36"/>
        </w:rPr>
      </w:pPr>
    </w:p>
    <w:p w14:paraId="4BDE061A" w14:textId="1F9CEBCA" w:rsidR="00337402" w:rsidRDefault="00337402">
      <w:pPr>
        <w:rPr>
          <w:rFonts w:eastAsiaTheme="minorHAnsi" w:cs="Times New Roman"/>
          <w:sz w:val="32"/>
          <w:szCs w:val="36"/>
        </w:rPr>
      </w:pPr>
    </w:p>
    <w:p w14:paraId="620E5DC7" w14:textId="5C307A60" w:rsidR="00337402" w:rsidRDefault="00337402">
      <w:pPr>
        <w:rPr>
          <w:rFonts w:eastAsiaTheme="minorHAnsi" w:cs="Times New Roman"/>
          <w:sz w:val="32"/>
          <w:szCs w:val="36"/>
        </w:rPr>
      </w:pPr>
    </w:p>
    <w:p w14:paraId="4AD3A1F8" w14:textId="33F992EB" w:rsidR="00337402" w:rsidRDefault="00337402">
      <w:pPr>
        <w:rPr>
          <w:rFonts w:eastAsiaTheme="minorHAnsi" w:cs="Times New Roman"/>
          <w:sz w:val="32"/>
          <w:szCs w:val="36"/>
        </w:rPr>
      </w:pPr>
    </w:p>
    <w:p w14:paraId="08860376" w14:textId="183F814A" w:rsidR="00337402" w:rsidRDefault="00337402">
      <w:pPr>
        <w:rPr>
          <w:rFonts w:eastAsiaTheme="minorHAnsi" w:cs="Times New Roman"/>
          <w:sz w:val="32"/>
          <w:szCs w:val="36"/>
        </w:rPr>
      </w:pPr>
    </w:p>
    <w:p w14:paraId="574FA8EE" w14:textId="2610A361" w:rsidR="00337402" w:rsidRDefault="00337402">
      <w:pPr>
        <w:rPr>
          <w:rFonts w:eastAsiaTheme="minorHAnsi" w:cs="Times New Roman"/>
          <w:sz w:val="32"/>
          <w:szCs w:val="36"/>
        </w:rPr>
      </w:pPr>
    </w:p>
    <w:p w14:paraId="67588FCF" w14:textId="4B91F4A8" w:rsidR="00337402" w:rsidRDefault="00337402">
      <w:pPr>
        <w:rPr>
          <w:rFonts w:eastAsiaTheme="minorHAnsi" w:cs="Times New Roman"/>
          <w:sz w:val="32"/>
          <w:szCs w:val="36"/>
        </w:rPr>
      </w:pPr>
    </w:p>
    <w:p w14:paraId="39639F8F" w14:textId="15434C69" w:rsidR="002E0784" w:rsidRDefault="001B47DF">
      <w:pPr>
        <w:widowControl/>
        <w:wordWrap/>
        <w:autoSpaceDE/>
        <w:autoSpaceDN/>
        <w:rPr>
          <w:rFonts w:eastAsiaTheme="minorHAnsi" w:cs="Times New Roman"/>
          <w:sz w:val="32"/>
          <w:szCs w:val="36"/>
        </w:rPr>
      </w:pPr>
      <w:r w:rsidRPr="00F17EA4">
        <w:rPr>
          <w:rFonts w:ascii="Times New Roman" w:hAnsi="Times New Roman" w:cs="Times New Roman"/>
          <w:b/>
          <w:bCs/>
          <w:sz w:val="24"/>
          <w:szCs w:val="28"/>
        </w:rPr>
        <w:t>S3 Fig. Results of sequence</w:t>
      </w:r>
      <w:r w:rsidR="009346ED">
        <w:rPr>
          <w:rFonts w:ascii="Times New Roman" w:hAnsi="Times New Roman" w:cs="Times New Roman"/>
          <w:b/>
          <w:bCs/>
          <w:sz w:val="24"/>
          <w:szCs w:val="28"/>
        </w:rPr>
        <w:t>-</w:t>
      </w:r>
      <w:r w:rsidRPr="00F17EA4">
        <w:rPr>
          <w:rFonts w:ascii="Times New Roman" w:hAnsi="Times New Roman" w:cs="Times New Roman"/>
          <w:b/>
          <w:bCs/>
          <w:sz w:val="24"/>
          <w:szCs w:val="28"/>
        </w:rPr>
        <w:t xml:space="preserve">specific typing for </w:t>
      </w:r>
      <w:r w:rsidRPr="00C215C7">
        <w:rPr>
          <w:rFonts w:ascii="Times New Roman" w:hAnsi="Times New Roman" w:cs="Times New Roman"/>
          <w:b/>
          <w:bCs/>
          <w:i/>
          <w:iCs/>
          <w:sz w:val="24"/>
          <w:szCs w:val="28"/>
        </w:rPr>
        <w:t>sOR53A1</w:t>
      </w:r>
      <w:r w:rsidRPr="00F17EA4">
        <w:rPr>
          <w:rFonts w:ascii="Times New Roman" w:hAnsi="Times New Roman" w:cs="Times New Roman"/>
          <w:b/>
          <w:bCs/>
          <w:sz w:val="24"/>
          <w:szCs w:val="28"/>
        </w:rPr>
        <w:t xml:space="preserve"> and </w:t>
      </w:r>
      <w:r w:rsidRPr="00C215C7">
        <w:rPr>
          <w:rFonts w:ascii="Times New Roman" w:hAnsi="Times New Roman" w:cs="Times New Roman"/>
          <w:b/>
          <w:bCs/>
          <w:i/>
          <w:iCs/>
          <w:sz w:val="24"/>
          <w:szCs w:val="28"/>
        </w:rPr>
        <w:t>sOR6Y2</w:t>
      </w:r>
      <w:r w:rsidRPr="00F17EA4">
        <w:rPr>
          <w:rFonts w:ascii="Times New Roman" w:hAnsi="Times New Roman" w:cs="Times New Roman"/>
          <w:b/>
          <w:bCs/>
          <w:sz w:val="24"/>
          <w:szCs w:val="28"/>
        </w:rPr>
        <w:t xml:space="preserve"> from 29 pigs. </w:t>
      </w:r>
      <w:r w:rsidRPr="00F17EA4">
        <w:rPr>
          <w:rFonts w:ascii="Times New Roman" w:hAnsi="Times New Roman" w:cs="Times New Roman"/>
          <w:sz w:val="24"/>
          <w:szCs w:val="28"/>
        </w:rPr>
        <w:t xml:space="preserve">(A) Amplification of </w:t>
      </w:r>
      <w:r>
        <w:rPr>
          <w:rFonts w:ascii="Times New Roman" w:eastAsia="맑은 고딕" w:hAnsi="Times New Roman" w:cs="Times New Roman"/>
          <w:sz w:val="24"/>
          <w:szCs w:val="28"/>
        </w:rPr>
        <w:t xml:space="preserve">the </w:t>
      </w:r>
      <w:r w:rsidRPr="00C215C7">
        <w:rPr>
          <w:rFonts w:ascii="Times New Roman" w:eastAsia="맑은 고딕" w:hAnsi="Times New Roman" w:cs="Times New Roman"/>
          <w:i/>
          <w:iCs/>
          <w:sz w:val="24"/>
          <w:szCs w:val="28"/>
        </w:rPr>
        <w:t>sOR53A1</w:t>
      </w:r>
      <w:r>
        <w:rPr>
          <w:rFonts w:ascii="Times New Roman" w:eastAsia="맑은 고딕" w:hAnsi="Times New Roman" w:cs="Times New Roman"/>
          <w:sz w:val="24"/>
          <w:szCs w:val="28"/>
        </w:rPr>
        <w:t>-related additional sequence</w:t>
      </w:r>
      <w:r w:rsidR="004E2E8B">
        <w:rPr>
          <w:rFonts w:ascii="Times New Roman" w:eastAsia="맑은 고딕" w:hAnsi="Times New Roman" w:cs="Times New Roman"/>
          <w:sz w:val="24"/>
          <w:szCs w:val="28"/>
        </w:rPr>
        <w:t xml:space="preserve"> (</w:t>
      </w:r>
      <w:r w:rsidRPr="00F17EA4">
        <w:rPr>
          <w:rFonts w:ascii="Times New Roman" w:hAnsi="Times New Roman" w:cs="Times New Roman"/>
          <w:sz w:val="24"/>
          <w:szCs w:val="28"/>
        </w:rPr>
        <w:t>2,461 bp</w:t>
      </w:r>
      <w:r w:rsidR="004E2E8B">
        <w:rPr>
          <w:rFonts w:ascii="Times New Roman" w:hAnsi="Times New Roman" w:cs="Times New Roman"/>
          <w:sz w:val="24"/>
          <w:szCs w:val="28"/>
        </w:rPr>
        <w:t>)</w:t>
      </w:r>
      <w:r w:rsidRPr="00F17EA4">
        <w:rPr>
          <w:rFonts w:ascii="Times New Roman" w:hAnsi="Times New Roman" w:cs="Times New Roman"/>
          <w:sz w:val="24"/>
          <w:szCs w:val="28"/>
        </w:rPr>
        <w:t xml:space="preserve"> using specific primers. (B) Amplification of </w:t>
      </w:r>
      <w:r w:rsidRPr="00C215C7">
        <w:rPr>
          <w:rFonts w:ascii="Times New Roman" w:hAnsi="Times New Roman" w:cs="Times New Roman"/>
          <w:i/>
          <w:iCs/>
          <w:sz w:val="24"/>
          <w:szCs w:val="28"/>
        </w:rPr>
        <w:t>sOR6Y2</w:t>
      </w:r>
      <w:r w:rsidRPr="00F17EA4">
        <w:rPr>
          <w:rFonts w:ascii="Times New Roman" w:hAnsi="Times New Roman" w:cs="Times New Roman"/>
          <w:sz w:val="24"/>
          <w:szCs w:val="28"/>
        </w:rPr>
        <w:t xml:space="preserve"> reference sequence of 1,635 bp using specific primers. Primer information is described in S1 Fig. Sample names</w:t>
      </w:r>
      <w:r>
        <w:rPr>
          <w:rFonts w:ascii="Times New Roman" w:eastAsia="맑은 고딕" w:hAnsi="Times New Roman" w:cs="Times New Roman"/>
          <w:sz w:val="24"/>
          <w:szCs w:val="28"/>
        </w:rPr>
        <w:t xml:space="preserve">, together with genotypes </w:t>
      </w:r>
      <w:r w:rsidRPr="00F17EA4">
        <w:rPr>
          <w:rFonts w:ascii="Times New Roman" w:hAnsi="Times New Roman" w:cs="Times New Roman"/>
          <w:sz w:val="24"/>
          <w:szCs w:val="28"/>
        </w:rPr>
        <w:t xml:space="preserve">of the </w:t>
      </w:r>
      <w:r w:rsidRPr="00F17EA4">
        <w:rPr>
          <w:rFonts w:ascii="Times New Roman" w:hAnsi="Times New Roman" w:cs="Times New Roman"/>
          <w:sz w:val="24"/>
          <w:szCs w:val="28"/>
        </w:rPr>
        <w:lastRenderedPageBreak/>
        <w:t xml:space="preserve">corresponding genes in our typing, are shown at the top of the gel. N.C, negative control. </w:t>
      </w:r>
      <w:r>
        <w:rPr>
          <w:rFonts w:ascii="Times New Roman" w:eastAsia="맑은 고딕" w:hAnsi="Times New Roman" w:cs="Times New Roman"/>
          <w:sz w:val="24"/>
          <w:szCs w:val="28"/>
        </w:rPr>
        <w:t xml:space="preserve">A DNA ladder </w:t>
      </w:r>
      <w:r w:rsidRPr="00F17EA4">
        <w:rPr>
          <w:rFonts w:ascii="Times New Roman" w:hAnsi="Times New Roman" w:cs="Times New Roman"/>
          <w:sz w:val="24"/>
          <w:szCs w:val="28"/>
        </w:rPr>
        <w:t xml:space="preserve">is indicated on the left </w:t>
      </w:r>
      <w:r>
        <w:rPr>
          <w:rFonts w:ascii="Times New Roman" w:eastAsia="맑은 고딕" w:hAnsi="Times New Roman" w:cs="Times New Roman"/>
          <w:sz w:val="24"/>
          <w:szCs w:val="28"/>
        </w:rPr>
        <w:t>side of the gel.</w:t>
      </w:r>
      <w:r>
        <w:rPr>
          <w:rFonts w:ascii="맑은 고딕" w:eastAsia="맑은 고딕" w:hAnsi="맑은 고딕" w:cs="Times New Roman"/>
          <w:sz w:val="32"/>
          <w:szCs w:val="36"/>
        </w:rPr>
        <w:t xml:space="preserve"> </w:t>
      </w:r>
      <w:r>
        <w:rPr>
          <w:rFonts w:eastAsiaTheme="minorHAnsi" w:cs="Times New Roman"/>
          <w:sz w:val="32"/>
          <w:szCs w:val="36"/>
        </w:rPr>
        <w:br w:type="page"/>
      </w:r>
    </w:p>
    <w:p w14:paraId="1EEC5E8E" w14:textId="75D59568" w:rsidR="00522476" w:rsidRDefault="001B47DF" w:rsidP="009B46EC">
      <w:pPr>
        <w:rPr>
          <w:rFonts w:ascii="Times New Roman" w:hAnsi="Times New Roman" w:cs="Times New Roman"/>
          <w:kern w:val="0"/>
          <w:sz w:val="24"/>
          <w:szCs w:val="28"/>
        </w:rPr>
      </w:pPr>
      <w:r>
        <w:rPr>
          <w:rFonts w:eastAsiaTheme="minorHAnsi" w:cs="Times New Roman" w:hint="eastAsia"/>
          <w:noProof/>
          <w:sz w:val="32"/>
          <w:szCs w:val="36"/>
        </w:rPr>
        <w:lastRenderedPageBreak/>
        <w:drawing>
          <wp:inline distT="0" distB="0" distL="0" distR="0" wp14:anchorId="4DC09051" wp14:editId="6F6D5248">
            <wp:extent cx="5724525" cy="7115175"/>
            <wp:effectExtent l="0" t="0" r="9525" b="9525"/>
            <wp:docPr id="42" name="그림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11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46EC" w:rsidRPr="009B46EC">
        <w:t xml:space="preserve"> </w:t>
      </w:r>
      <w:r w:rsidR="00F17EA4" w:rsidRPr="00F17EA4">
        <w:rPr>
          <w:rFonts w:ascii="Times New Roman" w:hAnsi="Times New Roman" w:cs="Times New Roman"/>
          <w:b/>
          <w:bCs/>
          <w:kern w:val="0"/>
          <w:sz w:val="24"/>
          <w:szCs w:val="28"/>
        </w:rPr>
        <w:t xml:space="preserve">S4 Fig. Multiple sequence alignment of all identified </w:t>
      </w:r>
      <w:r w:rsidR="00F17EA4" w:rsidRPr="00C215C7">
        <w:rPr>
          <w:rFonts w:ascii="Times New Roman" w:hAnsi="Times New Roman" w:cs="Times New Roman"/>
          <w:b/>
          <w:bCs/>
          <w:i/>
          <w:iCs/>
          <w:kern w:val="0"/>
          <w:sz w:val="24"/>
          <w:szCs w:val="28"/>
        </w:rPr>
        <w:t>sOR10L1</w:t>
      </w:r>
      <w:r w:rsidR="00F17EA4" w:rsidRPr="00F17EA4">
        <w:rPr>
          <w:rFonts w:ascii="Times New Roman" w:hAnsi="Times New Roman" w:cs="Times New Roman"/>
          <w:b/>
          <w:bCs/>
          <w:kern w:val="0"/>
          <w:sz w:val="24"/>
          <w:szCs w:val="28"/>
        </w:rPr>
        <w:t xml:space="preserve"> alleles. </w:t>
      </w:r>
      <w:r w:rsidR="00F17EA4" w:rsidRPr="00F17EA4">
        <w:rPr>
          <w:rFonts w:ascii="Times New Roman" w:hAnsi="Times New Roman" w:cs="Times New Roman"/>
          <w:kern w:val="0"/>
          <w:sz w:val="24"/>
          <w:szCs w:val="28"/>
        </w:rPr>
        <w:t xml:space="preserve">Identical nucleotides are represented by dots. </w:t>
      </w:r>
      <w:r>
        <w:rPr>
          <w:rFonts w:ascii="Times New Roman" w:eastAsia="맑은 고딕" w:hAnsi="Times New Roman" w:cs="Times New Roman"/>
          <w:kern w:val="0"/>
          <w:sz w:val="24"/>
          <w:szCs w:val="28"/>
        </w:rPr>
        <w:t xml:space="preserve">The OR sequence of the pig genome assembly Sscrofa11.1 was used as a reference sequence. </w:t>
      </w:r>
      <w:r w:rsidR="00F17EA4" w:rsidRPr="00F17EA4">
        <w:rPr>
          <w:rFonts w:ascii="Times New Roman" w:hAnsi="Times New Roman" w:cs="Times New Roman"/>
          <w:kern w:val="0"/>
          <w:sz w:val="24"/>
          <w:szCs w:val="28"/>
        </w:rPr>
        <w:t>The indel</w:t>
      </w:r>
      <w:r>
        <w:rPr>
          <w:rFonts w:ascii="Times New Roman" w:eastAsia="맑은 고딕" w:hAnsi="Times New Roman" w:cs="Times New Roman"/>
          <w:kern w:val="0"/>
          <w:sz w:val="24"/>
          <w:szCs w:val="28"/>
        </w:rPr>
        <w:t xml:space="preserve">s on </w:t>
      </w:r>
      <w:r w:rsidRPr="00C215C7">
        <w:rPr>
          <w:rFonts w:ascii="Times New Roman" w:eastAsia="맑은 고딕" w:hAnsi="Times New Roman" w:cs="Times New Roman"/>
          <w:i/>
          <w:iCs/>
          <w:kern w:val="0"/>
          <w:sz w:val="24"/>
          <w:szCs w:val="28"/>
        </w:rPr>
        <w:t>sOR10L1*07</w:t>
      </w:r>
      <w:r>
        <w:rPr>
          <w:rFonts w:ascii="Times New Roman" w:eastAsia="맑은 고딕" w:hAnsi="Times New Roman" w:cs="Times New Roman"/>
          <w:kern w:val="0"/>
          <w:sz w:val="24"/>
          <w:szCs w:val="28"/>
        </w:rPr>
        <w:t xml:space="preserve"> </w:t>
      </w:r>
      <w:r w:rsidR="00F17EA4" w:rsidRPr="00F17EA4">
        <w:rPr>
          <w:rFonts w:ascii="Times New Roman" w:hAnsi="Times New Roman" w:cs="Times New Roman"/>
          <w:kern w:val="0"/>
          <w:sz w:val="24"/>
          <w:szCs w:val="28"/>
        </w:rPr>
        <w:t xml:space="preserve">are marked with a square box. </w:t>
      </w:r>
      <w:r>
        <w:rPr>
          <w:rFonts w:ascii="Times New Roman" w:hAnsi="Times New Roman" w:cs="Times New Roman"/>
          <w:kern w:val="0"/>
          <w:sz w:val="24"/>
          <w:szCs w:val="28"/>
        </w:rPr>
        <w:br w:type="page"/>
      </w:r>
    </w:p>
    <w:p w14:paraId="1ADDE077" w14:textId="7B13B26C" w:rsidR="00E95046" w:rsidRPr="00F17EA4" w:rsidRDefault="001B47DF" w:rsidP="00E95046">
      <w:pPr>
        <w:rPr>
          <w:rFonts w:ascii="Times New Roman" w:hAnsi="Times New Roman" w:cs="Times New Roman"/>
          <w:sz w:val="24"/>
          <w:szCs w:val="24"/>
        </w:rPr>
      </w:pPr>
      <w:r>
        <w:rPr>
          <w:rFonts w:eastAsiaTheme="minorHAnsi" w:cs="Times New Roman" w:hint="eastAsia"/>
          <w:noProof/>
          <w:sz w:val="40"/>
          <w:szCs w:val="44"/>
        </w:rPr>
        <w:lastRenderedPageBreak/>
        <w:drawing>
          <wp:inline distT="0" distB="0" distL="0" distR="0" wp14:anchorId="4FFA92B6" wp14:editId="5ADB2203">
            <wp:extent cx="5721985" cy="5652770"/>
            <wp:effectExtent l="0" t="0" r="0" b="5080"/>
            <wp:docPr id="46" name="그림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985" cy="565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2476">
        <w:rPr>
          <w:rFonts w:ascii="Times New Roman" w:hAnsi="Times New Roman" w:cs="Times New Roman"/>
          <w:b/>
          <w:bCs/>
        </w:rPr>
        <w:t xml:space="preserve"> </w:t>
      </w:r>
      <w:r w:rsidR="00F17EA4" w:rsidRPr="00F17EA4">
        <w:rPr>
          <w:rFonts w:ascii="Times New Roman" w:hAnsi="Times New Roman" w:cs="Times New Roman"/>
          <w:b/>
          <w:bCs/>
          <w:sz w:val="24"/>
          <w:szCs w:val="24"/>
        </w:rPr>
        <w:t xml:space="preserve">S5 Fig. Multiple sequence alignment of all identified </w:t>
      </w:r>
      <w:r w:rsidR="00F17EA4" w:rsidRPr="00C215C7">
        <w:rPr>
          <w:rFonts w:ascii="Times New Roman" w:hAnsi="Times New Roman" w:cs="Times New Roman"/>
          <w:b/>
          <w:bCs/>
          <w:i/>
          <w:iCs/>
          <w:sz w:val="24"/>
          <w:szCs w:val="24"/>
        </w:rPr>
        <w:t>sOR13A6</w:t>
      </w:r>
      <w:r w:rsidR="00F17EA4" w:rsidRPr="00F17EA4">
        <w:rPr>
          <w:rFonts w:ascii="Times New Roman" w:hAnsi="Times New Roman" w:cs="Times New Roman"/>
          <w:b/>
          <w:bCs/>
          <w:sz w:val="24"/>
          <w:szCs w:val="24"/>
        </w:rPr>
        <w:t xml:space="preserve"> alleles. </w:t>
      </w:r>
      <w:r w:rsidR="00F17EA4" w:rsidRPr="00F17EA4">
        <w:rPr>
          <w:rFonts w:ascii="Times New Roman" w:hAnsi="Times New Roman" w:cs="Times New Roman"/>
          <w:sz w:val="24"/>
          <w:szCs w:val="24"/>
        </w:rPr>
        <w:t xml:space="preserve">Identical nucleotides are represented by dots. 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The OR sequence of the pig genome assembly Sscrofa11.1 was used as a reference sequence. A nonsense mutation (TGA (stop) </w:t>
      </w:r>
      <w:r w:rsidR="009346ED" w:rsidRPr="009346ED">
        <w:rPr>
          <w:rFonts w:ascii="Wingdings" w:eastAsia="맑은 고딕" w:hAnsi="Wingdings" w:cs="Times New Roman"/>
          <w:sz w:val="24"/>
          <w:szCs w:val="24"/>
        </w:rPr>
        <w:sym w:font="Wingdings" w:char="F0E0"/>
      </w:r>
      <w:r w:rsidR="009346ED"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 w:rsidR="00F17EA4" w:rsidRPr="00F17EA4">
        <w:rPr>
          <w:rFonts w:ascii="Times New Roman" w:hAnsi="Times New Roman" w:cs="Times New Roman"/>
          <w:sz w:val="24"/>
          <w:szCs w:val="24"/>
        </w:rPr>
        <w:t>GGA (</w:t>
      </w:r>
      <w:proofErr w:type="spellStart"/>
      <w:r w:rsidR="00F17EA4" w:rsidRPr="00F17EA4">
        <w:rPr>
          <w:rFonts w:ascii="Times New Roman" w:hAnsi="Times New Roman" w:cs="Times New Roman"/>
          <w:sz w:val="24"/>
          <w:szCs w:val="24"/>
        </w:rPr>
        <w:t>Gly</w:t>
      </w:r>
      <w:proofErr w:type="spellEnd"/>
      <w:r w:rsidR="00F17EA4" w:rsidRPr="00F17EA4">
        <w:rPr>
          <w:rFonts w:ascii="Times New Roman" w:hAnsi="Times New Roman" w:cs="Times New Roman"/>
          <w:sz w:val="24"/>
          <w:szCs w:val="24"/>
        </w:rPr>
        <w:t xml:space="preserve">)) on </w:t>
      </w:r>
      <w:r w:rsidR="00F17EA4" w:rsidRPr="00C215C7">
        <w:rPr>
          <w:rFonts w:ascii="Times New Roman" w:hAnsi="Times New Roman" w:cs="Times New Roman"/>
          <w:i/>
          <w:iCs/>
          <w:sz w:val="24"/>
          <w:szCs w:val="24"/>
        </w:rPr>
        <w:t>sOR13A6*03</w:t>
      </w:r>
      <w:r w:rsidR="00F17EA4" w:rsidRPr="00F17EA4">
        <w:rPr>
          <w:rFonts w:ascii="Times New Roman" w:hAnsi="Times New Roman" w:cs="Times New Roman"/>
          <w:sz w:val="24"/>
          <w:szCs w:val="24"/>
        </w:rPr>
        <w:t xml:space="preserve"> is marked with a square box.</w:t>
      </w:r>
    </w:p>
    <w:sectPr w:rsidR="00E95046" w:rsidRPr="00F17EA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782DC" w14:textId="77777777" w:rsidR="00C215C7" w:rsidRDefault="00C215C7" w:rsidP="00C215C7">
      <w:pPr>
        <w:spacing w:after="0" w:line="240" w:lineRule="auto"/>
      </w:pPr>
      <w:r>
        <w:separator/>
      </w:r>
    </w:p>
  </w:endnote>
  <w:endnote w:type="continuationSeparator" w:id="0">
    <w:p w14:paraId="25332C46" w14:textId="77777777" w:rsidR="00C215C7" w:rsidRDefault="00C215C7" w:rsidP="00C21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A91A3" w14:textId="77777777" w:rsidR="00C215C7" w:rsidRDefault="00C215C7" w:rsidP="00C215C7">
      <w:pPr>
        <w:spacing w:after="0" w:line="240" w:lineRule="auto"/>
      </w:pPr>
      <w:r>
        <w:separator/>
      </w:r>
    </w:p>
  </w:footnote>
  <w:footnote w:type="continuationSeparator" w:id="0">
    <w:p w14:paraId="6DAC338F" w14:textId="77777777" w:rsidR="00C215C7" w:rsidRDefault="00C215C7" w:rsidP="00C215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DateAndTime/>
  <w:bordersDoNotSurroundHeader/>
  <w:bordersDoNotSurroundFooter/>
  <w:proofState w:spelling="clean" w:grammar="clean"/>
  <w:trackRevision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F95"/>
    <w:rsid w:val="00136F95"/>
    <w:rsid w:val="00190C82"/>
    <w:rsid w:val="001B47DF"/>
    <w:rsid w:val="001F2C3E"/>
    <w:rsid w:val="00220817"/>
    <w:rsid w:val="00237C60"/>
    <w:rsid w:val="002C37E4"/>
    <w:rsid w:val="002C3A54"/>
    <w:rsid w:val="002E0784"/>
    <w:rsid w:val="00337402"/>
    <w:rsid w:val="003A161E"/>
    <w:rsid w:val="003C0716"/>
    <w:rsid w:val="004131FF"/>
    <w:rsid w:val="00424ED4"/>
    <w:rsid w:val="004575AC"/>
    <w:rsid w:val="004E2E8B"/>
    <w:rsid w:val="00522476"/>
    <w:rsid w:val="00522FFB"/>
    <w:rsid w:val="005D5245"/>
    <w:rsid w:val="005E69E0"/>
    <w:rsid w:val="006717A2"/>
    <w:rsid w:val="0068570C"/>
    <w:rsid w:val="00691739"/>
    <w:rsid w:val="006C4E87"/>
    <w:rsid w:val="006C7777"/>
    <w:rsid w:val="006E7FA7"/>
    <w:rsid w:val="007A1BFF"/>
    <w:rsid w:val="007B794B"/>
    <w:rsid w:val="007F1BC6"/>
    <w:rsid w:val="00846445"/>
    <w:rsid w:val="00884CAA"/>
    <w:rsid w:val="008962EE"/>
    <w:rsid w:val="008D6263"/>
    <w:rsid w:val="008F482D"/>
    <w:rsid w:val="00931656"/>
    <w:rsid w:val="009346ED"/>
    <w:rsid w:val="009358CA"/>
    <w:rsid w:val="0096633D"/>
    <w:rsid w:val="009B46EC"/>
    <w:rsid w:val="00A45CBA"/>
    <w:rsid w:val="00B356B6"/>
    <w:rsid w:val="00B41AF4"/>
    <w:rsid w:val="00B43BF7"/>
    <w:rsid w:val="00BD6B1C"/>
    <w:rsid w:val="00C149EC"/>
    <w:rsid w:val="00C215C7"/>
    <w:rsid w:val="00C81394"/>
    <w:rsid w:val="00C813B2"/>
    <w:rsid w:val="00CC5C22"/>
    <w:rsid w:val="00D167DA"/>
    <w:rsid w:val="00D737D4"/>
    <w:rsid w:val="00DA428A"/>
    <w:rsid w:val="00DB4F99"/>
    <w:rsid w:val="00E95046"/>
    <w:rsid w:val="00E974B1"/>
    <w:rsid w:val="00EA7FF7"/>
    <w:rsid w:val="00F17EA4"/>
    <w:rsid w:val="00F86C27"/>
    <w:rsid w:val="00F92462"/>
    <w:rsid w:val="00FA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3F67C9"/>
  <w15:chartTrackingRefBased/>
  <w15:docId w15:val="{1001C1FB-DC6C-4D10-B4F8-4C73688D8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136F95"/>
    <w:rPr>
      <w:b/>
      <w:bCs/>
      <w:szCs w:val="20"/>
    </w:rPr>
  </w:style>
  <w:style w:type="paragraph" w:styleId="a4">
    <w:name w:val="annotation text"/>
    <w:basedOn w:val="a"/>
    <w:link w:val="Char"/>
    <w:uiPriority w:val="99"/>
    <w:semiHidden/>
    <w:unhideWhenUsed/>
    <w:rsid w:val="00522476"/>
    <w:pPr>
      <w:spacing w:line="480" w:lineRule="auto"/>
      <w:jc w:val="left"/>
    </w:pPr>
    <w:rPr>
      <w:rFonts w:eastAsia="Times New Roman"/>
      <w:sz w:val="24"/>
    </w:rPr>
  </w:style>
  <w:style w:type="character" w:customStyle="1" w:styleId="Char">
    <w:name w:val="메모 텍스트 Char"/>
    <w:basedOn w:val="a0"/>
    <w:link w:val="a4"/>
    <w:uiPriority w:val="99"/>
    <w:semiHidden/>
    <w:rsid w:val="00522476"/>
    <w:rPr>
      <w:rFonts w:eastAsia="Times New Roman"/>
      <w:sz w:val="24"/>
    </w:rPr>
  </w:style>
  <w:style w:type="character" w:styleId="a5">
    <w:name w:val="annotation reference"/>
    <w:basedOn w:val="a0"/>
    <w:uiPriority w:val="99"/>
    <w:semiHidden/>
    <w:unhideWhenUsed/>
    <w:rsid w:val="00522476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4131F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4131FF"/>
  </w:style>
  <w:style w:type="paragraph" w:styleId="a7">
    <w:name w:val="footer"/>
    <w:basedOn w:val="a"/>
    <w:link w:val="Char1"/>
    <w:uiPriority w:val="99"/>
    <w:unhideWhenUsed/>
    <w:rsid w:val="004131FF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4131FF"/>
  </w:style>
  <w:style w:type="paragraph" w:styleId="a8">
    <w:name w:val="Revision"/>
    <w:hidden/>
    <w:uiPriority w:val="99"/>
    <w:semiHidden/>
    <w:rsid w:val="009346ED"/>
    <w:pPr>
      <w:spacing w:after="0" w:line="240" w:lineRule="auto"/>
      <w:jc w:val="left"/>
    </w:pPr>
  </w:style>
  <w:style w:type="paragraph" w:styleId="a9">
    <w:name w:val="Balloon Text"/>
    <w:basedOn w:val="a"/>
    <w:link w:val="Char2"/>
    <w:uiPriority w:val="99"/>
    <w:semiHidden/>
    <w:unhideWhenUsed/>
    <w:rsid w:val="006C4E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2">
    <w:name w:val="풍선 도움말 텍스트 Char"/>
    <w:basedOn w:val="a0"/>
    <w:link w:val="a9"/>
    <w:uiPriority w:val="99"/>
    <w:semiHidden/>
    <w:rsid w:val="006C4E87"/>
    <w:rPr>
      <w:rFonts w:ascii="Segoe UI" w:hAnsi="Segoe UI" w:cs="Segoe UI"/>
      <w:sz w:val="18"/>
      <w:szCs w:val="18"/>
    </w:rPr>
  </w:style>
  <w:style w:type="paragraph" w:styleId="aa">
    <w:name w:val="annotation subject"/>
    <w:basedOn w:val="a4"/>
    <w:next w:val="a4"/>
    <w:link w:val="Char3"/>
    <w:uiPriority w:val="99"/>
    <w:semiHidden/>
    <w:unhideWhenUsed/>
    <w:rsid w:val="00424ED4"/>
    <w:pPr>
      <w:spacing w:line="240" w:lineRule="auto"/>
      <w:jc w:val="both"/>
    </w:pPr>
    <w:rPr>
      <w:rFonts w:eastAsiaTheme="minorEastAsia"/>
      <w:b/>
      <w:bCs/>
      <w:sz w:val="20"/>
      <w:szCs w:val="20"/>
    </w:rPr>
  </w:style>
  <w:style w:type="character" w:customStyle="1" w:styleId="Char3">
    <w:name w:val="메모 주제 Char"/>
    <w:basedOn w:val="Char"/>
    <w:link w:val="aa"/>
    <w:uiPriority w:val="99"/>
    <w:semiHidden/>
    <w:rsid w:val="00424ED4"/>
    <w:rPr>
      <w:rFonts w:eastAsia="Times New Roman"/>
      <w:b/>
      <w:bCs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D0794-8F4E-40FA-BC71-C0400ED9D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9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강민규</cp:lastModifiedBy>
  <cp:revision>25</cp:revision>
  <dcterms:created xsi:type="dcterms:W3CDTF">2022-12-21T07:15:00Z</dcterms:created>
  <dcterms:modified xsi:type="dcterms:W3CDTF">2023-01-10T01:54:00Z</dcterms:modified>
</cp:coreProperties>
</file>