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7A47C" w14:textId="77777777" w:rsidR="00E672B8" w:rsidRPr="00B63714" w:rsidRDefault="00E672B8" w:rsidP="00E672B8">
      <w:pPr>
        <w:spacing w:before="120" w:line="480" w:lineRule="auto"/>
        <w:rPr>
          <w:rFonts w:ascii="Times New Roman" w:hAnsi="Times New Roman" w:cs="Times New Roman"/>
          <w:b/>
          <w:bCs/>
          <w:sz w:val="24"/>
          <w:szCs w:val="24"/>
        </w:rPr>
      </w:pPr>
      <w:bookmarkStart w:id="0" w:name="_GoBack"/>
      <w:bookmarkStart w:id="1" w:name="_Hlk110803077"/>
      <w:bookmarkEnd w:id="0"/>
      <w:r w:rsidRPr="00B63714">
        <w:rPr>
          <w:rFonts w:ascii="Times New Roman" w:hAnsi="Times New Roman" w:cs="Times New Roman"/>
          <w:b/>
          <w:bCs/>
          <w:sz w:val="24"/>
          <w:szCs w:val="24"/>
        </w:rPr>
        <w:t>Supplementary Materials and Methods</w:t>
      </w:r>
    </w:p>
    <w:bookmarkEnd w:id="1"/>
    <w:p w14:paraId="5F4DEBA8" w14:textId="77777777" w:rsidR="00E672B8" w:rsidRPr="00B63714" w:rsidRDefault="00E672B8" w:rsidP="00E672B8">
      <w:pPr>
        <w:spacing w:before="120" w:line="480" w:lineRule="auto"/>
        <w:rPr>
          <w:rFonts w:ascii="Times New Roman" w:eastAsia="WarnockPro-Regular" w:hAnsi="Times New Roman" w:cs="Times New Roman"/>
          <w:b/>
          <w:bCs/>
          <w:kern w:val="0"/>
          <w:sz w:val="24"/>
          <w:szCs w:val="24"/>
        </w:rPr>
      </w:pPr>
      <w:r w:rsidRPr="00B63714">
        <w:rPr>
          <w:rFonts w:ascii="Times New Roman" w:eastAsia="WarnockPro-Regular" w:hAnsi="Times New Roman" w:cs="Times New Roman"/>
          <w:b/>
          <w:bCs/>
          <w:kern w:val="0"/>
          <w:sz w:val="24"/>
          <w:szCs w:val="24"/>
        </w:rPr>
        <w:t>LV titration</w:t>
      </w:r>
      <w:r>
        <w:rPr>
          <w:rFonts w:ascii="Times New Roman" w:eastAsia="WarnockPro-Regular" w:hAnsi="Times New Roman" w:cs="Times New Roman"/>
          <w:b/>
          <w:bCs/>
          <w:kern w:val="0"/>
          <w:sz w:val="24"/>
          <w:szCs w:val="24"/>
        </w:rPr>
        <w:t>.</w:t>
      </w:r>
      <w:r w:rsidRPr="00B63714">
        <w:rPr>
          <w:rFonts w:ascii="Times New Roman" w:eastAsia="WarnockPro-Regular" w:hAnsi="Times New Roman" w:cs="Times New Roman"/>
          <w:kern w:val="0"/>
          <w:sz w:val="24"/>
          <w:szCs w:val="24"/>
        </w:rPr>
        <w:t xml:space="preserve"> To calculate the vector titer of the virus stock, 293T cells were prepared in triplicate per LV</w:t>
      </w:r>
      <w:r>
        <w:rPr>
          <w:rFonts w:ascii="Times New Roman" w:eastAsia="WarnockPro-Regular" w:hAnsi="Times New Roman" w:cs="Times New Roman"/>
          <w:kern w:val="0"/>
          <w:sz w:val="24"/>
          <w:szCs w:val="24"/>
        </w:rPr>
        <w:t>,</w:t>
      </w:r>
      <w:r w:rsidRPr="00B63714">
        <w:rPr>
          <w:rFonts w:ascii="Times New Roman" w:eastAsia="WarnockPro-Regular" w:hAnsi="Times New Roman" w:cs="Times New Roman"/>
          <w:kern w:val="0"/>
          <w:sz w:val="24"/>
          <w:szCs w:val="24"/>
        </w:rPr>
        <w:t xml:space="preserve"> and the concentrated LVs were diluted 100 times. After cell adherence, the medium was replaced with 600 μl fresh medium containing 8 μg/ml polybrene, and 5 μl, 25 μl, and 50 μl diluted LVs were added to the three wells, corresponding to 0.1 μl, 0.5 μl, and 1 μl of stock </w:t>
      </w:r>
      <w:r>
        <w:rPr>
          <w:rFonts w:ascii="Times New Roman" w:eastAsia="WarnockPro-Regular" w:hAnsi="Times New Roman" w:cs="Times New Roman"/>
          <w:kern w:val="0"/>
          <w:sz w:val="24"/>
          <w:szCs w:val="24"/>
        </w:rPr>
        <w:t>vector</w:t>
      </w:r>
      <w:r w:rsidRPr="00B63714">
        <w:rPr>
          <w:rFonts w:ascii="Times New Roman" w:eastAsia="WarnockPro-Regular" w:hAnsi="Times New Roman" w:cs="Times New Roman"/>
          <w:kern w:val="0"/>
          <w:sz w:val="24"/>
          <w:szCs w:val="24"/>
        </w:rPr>
        <w:t xml:space="preserve"> solution, respectively. After transduction for one week, 1×10</w:t>
      </w:r>
      <w:r w:rsidRPr="00B63714">
        <w:rPr>
          <w:rFonts w:ascii="Times New Roman" w:eastAsia="WarnockPro-Regular" w:hAnsi="Times New Roman" w:cs="Times New Roman"/>
          <w:kern w:val="0"/>
          <w:sz w:val="24"/>
          <w:szCs w:val="24"/>
          <w:vertAlign w:val="superscript"/>
        </w:rPr>
        <w:t>6</w:t>
      </w:r>
      <w:r w:rsidRPr="00B63714">
        <w:rPr>
          <w:rFonts w:ascii="Times New Roman" w:eastAsia="WarnockPro-Regular" w:hAnsi="Times New Roman" w:cs="Times New Roman"/>
          <w:kern w:val="0"/>
          <w:sz w:val="24"/>
          <w:szCs w:val="24"/>
        </w:rPr>
        <w:t xml:space="preserve"> 293T cells were counted and collected for qPCR analysis. The cell number and the VCN were determined</w:t>
      </w:r>
      <w:r>
        <w:rPr>
          <w:rFonts w:ascii="Times New Roman" w:eastAsia="WarnockPro-Regular" w:hAnsi="Times New Roman" w:cs="Times New Roman"/>
          <w:kern w:val="0"/>
          <w:sz w:val="24"/>
          <w:szCs w:val="24"/>
        </w:rPr>
        <w:t xml:space="preserve"> by PCR</w:t>
      </w:r>
      <w:r w:rsidRPr="00B63714">
        <w:rPr>
          <w:rFonts w:ascii="Times New Roman" w:eastAsia="WarnockPro-Regular" w:hAnsi="Times New Roman" w:cs="Times New Roman"/>
          <w:kern w:val="0"/>
          <w:sz w:val="24"/>
          <w:szCs w:val="24"/>
        </w:rPr>
        <w:t xml:space="preserve">, using 10 uM </w:t>
      </w:r>
      <w:r>
        <w:rPr>
          <w:rFonts w:ascii="Times New Roman" w:eastAsia="WarnockPro-Regular" w:hAnsi="Times New Roman" w:cs="Times New Roman"/>
          <w:kern w:val="0"/>
          <w:sz w:val="24"/>
          <w:szCs w:val="24"/>
        </w:rPr>
        <w:t xml:space="preserve">of </w:t>
      </w:r>
      <w:r w:rsidRPr="00B63714">
        <w:rPr>
          <w:rFonts w:ascii="Times New Roman" w:eastAsia="WarnockPro-Regular" w:hAnsi="Times New Roman" w:cs="Times New Roman"/>
          <w:kern w:val="0"/>
          <w:sz w:val="24"/>
          <w:szCs w:val="24"/>
        </w:rPr>
        <w:t xml:space="preserve">GAPDH </w:t>
      </w:r>
      <w:r>
        <w:rPr>
          <w:rFonts w:ascii="Times New Roman" w:eastAsia="WarnockPro-Regular" w:hAnsi="Times New Roman" w:cs="Times New Roman"/>
          <w:kern w:val="0"/>
          <w:sz w:val="24"/>
          <w:szCs w:val="24"/>
        </w:rPr>
        <w:t>or</w:t>
      </w:r>
      <w:r w:rsidRPr="00B63714">
        <w:rPr>
          <w:rFonts w:ascii="Times New Roman" w:eastAsia="WarnockPro-Regular" w:hAnsi="Times New Roman" w:cs="Times New Roman"/>
          <w:kern w:val="0"/>
          <w:sz w:val="24"/>
          <w:szCs w:val="24"/>
        </w:rPr>
        <w:t xml:space="preserve"> LV</w:t>
      </w:r>
      <w:r>
        <w:rPr>
          <w:rFonts w:ascii="Times New Roman" w:eastAsia="WarnockPro-Regular" w:hAnsi="Times New Roman" w:cs="Times New Roman"/>
          <w:kern w:val="0"/>
          <w:sz w:val="24"/>
          <w:szCs w:val="24"/>
        </w:rPr>
        <w:t>-specific</w:t>
      </w:r>
      <w:r w:rsidRPr="00B63714">
        <w:rPr>
          <w:rFonts w:ascii="Times New Roman" w:eastAsia="WarnockPro-Regular" w:hAnsi="Times New Roman" w:cs="Times New Roman"/>
          <w:kern w:val="0"/>
          <w:sz w:val="24"/>
          <w:szCs w:val="24"/>
        </w:rPr>
        <w:t xml:space="preserve"> primers. The LV titres were calculated based on the following formula: </w:t>
      </w:r>
    </w:p>
    <w:p w14:paraId="4B56783A" w14:textId="77777777" w:rsidR="00E672B8" w:rsidRPr="00B63714" w:rsidRDefault="00E672B8" w:rsidP="00E672B8">
      <w:pPr>
        <w:widowControl/>
        <w:spacing w:line="480" w:lineRule="auto"/>
        <w:ind w:firstLineChars="200" w:firstLine="480"/>
        <w:rPr>
          <w:rFonts w:ascii="Times New Roman" w:eastAsia="WarnockPro-Regular" w:hAnsi="Times New Roman" w:cs="Times New Roman"/>
          <w:kern w:val="0"/>
          <w:sz w:val="24"/>
          <w:szCs w:val="24"/>
          <w:lang w:val="fr-FR"/>
        </w:rPr>
      </w:pPr>
      <w:r w:rsidRPr="00B63714">
        <w:rPr>
          <w:rFonts w:ascii="Times New Roman" w:eastAsia="WarnockPro-Regular" w:hAnsi="Times New Roman" w:cs="Times New Roman"/>
          <w:kern w:val="0"/>
          <w:sz w:val="24"/>
          <w:szCs w:val="24"/>
          <w:lang w:val="fr-FR"/>
        </w:rPr>
        <w:t>LV Titer =</w:t>
      </w:r>
      <m:oMath>
        <m:r>
          <w:rPr>
            <w:rFonts w:ascii="Cambria Math" w:eastAsia="WarnockPro-Regular" w:hAnsi="Cambria Math" w:cs="Times New Roman"/>
            <w:kern w:val="0"/>
            <w:sz w:val="24"/>
            <w:szCs w:val="24"/>
            <w:lang w:val="fr-FR"/>
          </w:rPr>
          <m:t xml:space="preserve"> </m:t>
        </m:r>
        <m:f>
          <m:fPr>
            <m:ctrlPr>
              <w:rPr>
                <w:rFonts w:ascii="Cambria Math" w:eastAsia="WarnockPro-Regular" w:hAnsi="Cambria Math" w:cs="Times New Roman"/>
                <w:i/>
                <w:kern w:val="0"/>
                <w:sz w:val="24"/>
                <w:szCs w:val="24"/>
              </w:rPr>
            </m:ctrlPr>
          </m:fPr>
          <m:num>
            <m:r>
              <w:rPr>
                <w:rFonts w:ascii="Cambria Math" w:eastAsia="WarnockPro-Regular" w:hAnsi="Cambria Math" w:cs="Times New Roman"/>
                <w:kern w:val="0"/>
                <w:sz w:val="24"/>
                <w:szCs w:val="24"/>
              </w:rPr>
              <m:t>VCN</m:t>
            </m:r>
            <m:r>
              <w:rPr>
                <w:rFonts w:ascii="Cambria Math" w:eastAsia="WarnockPro-Regular" w:hAnsi="Cambria Math" w:cs="Times New Roman"/>
                <w:kern w:val="0"/>
                <w:sz w:val="24"/>
                <w:szCs w:val="24"/>
                <w:lang w:val="fr-FR"/>
              </w:rPr>
              <m:t>*</m:t>
            </m:r>
            <m:r>
              <w:rPr>
                <w:rFonts w:ascii="Cambria Math" w:eastAsia="WarnockPro-Regular" w:hAnsi="Cambria Math" w:cs="Times New Roman"/>
                <w:kern w:val="0"/>
                <w:sz w:val="24"/>
                <w:szCs w:val="24"/>
              </w:rPr>
              <m:t>cell</m:t>
            </m:r>
            <m:r>
              <w:rPr>
                <w:rFonts w:ascii="Cambria Math" w:eastAsia="WarnockPro-Regular" w:hAnsi="Cambria Math" w:cs="Times New Roman"/>
                <w:kern w:val="0"/>
                <w:sz w:val="24"/>
                <w:szCs w:val="24"/>
                <w:lang w:val="fr-FR"/>
              </w:rPr>
              <m:t xml:space="preserve"> </m:t>
            </m:r>
            <m:r>
              <w:rPr>
                <w:rFonts w:ascii="Cambria Math" w:eastAsia="WarnockPro-Regular" w:hAnsi="Cambria Math" w:cs="Times New Roman"/>
                <w:kern w:val="0"/>
                <w:sz w:val="24"/>
                <w:szCs w:val="24"/>
              </w:rPr>
              <m:t>number</m:t>
            </m:r>
            <m:r>
              <w:rPr>
                <w:rFonts w:ascii="Cambria Math" w:eastAsia="WarnockPro-Regular" w:hAnsi="Cambria Math" w:cs="Times New Roman"/>
                <w:kern w:val="0"/>
                <w:sz w:val="24"/>
                <w:szCs w:val="24"/>
                <w:lang w:val="fr-FR"/>
              </w:rPr>
              <m:t>/</m:t>
            </m:r>
            <m:r>
              <w:rPr>
                <w:rFonts w:ascii="Cambria Math" w:eastAsia="WarnockPro-Regular" w:hAnsi="Cambria Math" w:cs="Times New Roman"/>
                <w:kern w:val="0"/>
                <w:sz w:val="24"/>
                <w:szCs w:val="24"/>
              </w:rPr>
              <m:t>well</m:t>
            </m:r>
          </m:num>
          <m:den>
            <m:r>
              <m:rPr>
                <m:sty m:val="p"/>
              </m:rPr>
              <w:rPr>
                <w:rFonts w:ascii="Cambria Math" w:eastAsia="WarnockPro-Regular" w:hAnsi="Cambria Math" w:cs="Times New Roman"/>
                <w:kern w:val="0"/>
                <w:sz w:val="24"/>
                <w:szCs w:val="24"/>
                <w:lang w:val="fr-FR"/>
              </w:rPr>
              <m:t>volume of virus solution × 10-3</m:t>
            </m:r>
          </m:den>
        </m:f>
      </m:oMath>
      <w:r w:rsidRPr="00B63714">
        <w:rPr>
          <w:rFonts w:ascii="Times New Roman" w:eastAsia="WarnockPro-Regular" w:hAnsi="Times New Roman" w:cs="Times New Roman"/>
          <w:kern w:val="0"/>
          <w:sz w:val="24"/>
          <w:szCs w:val="24"/>
          <w:lang w:val="fr-FR"/>
        </w:rPr>
        <w:t xml:space="preserve"> </w:t>
      </w:r>
    </w:p>
    <w:p w14:paraId="4F4F2E00" w14:textId="77777777" w:rsidR="00E672B8" w:rsidRPr="00B63714" w:rsidRDefault="00E672B8" w:rsidP="00E672B8">
      <w:pPr>
        <w:widowControl/>
        <w:spacing w:before="120" w:line="480" w:lineRule="auto"/>
        <w:rPr>
          <w:rFonts w:ascii="Times New Roman" w:eastAsia="WarnockPro-Regular" w:hAnsi="Times New Roman" w:cs="Times New Roman"/>
          <w:kern w:val="0"/>
          <w:sz w:val="24"/>
          <w:szCs w:val="24"/>
          <w:lang w:val="fr-FR"/>
        </w:rPr>
      </w:pPr>
    </w:p>
    <w:p w14:paraId="2BA4832D" w14:textId="77777777" w:rsidR="00E672B8" w:rsidRPr="00B63714" w:rsidRDefault="00E672B8" w:rsidP="00E672B8">
      <w:pPr>
        <w:autoSpaceDE w:val="0"/>
        <w:autoSpaceDN w:val="0"/>
        <w:adjustRightInd w:val="0"/>
        <w:spacing w:before="120" w:line="480" w:lineRule="auto"/>
        <w:rPr>
          <w:rFonts w:ascii="Times New Roman" w:eastAsia="WarnockPro-Regular" w:hAnsi="Times New Roman" w:cs="Times New Roman"/>
          <w:kern w:val="0"/>
          <w:sz w:val="24"/>
          <w:szCs w:val="24"/>
        </w:rPr>
      </w:pPr>
      <w:r w:rsidRPr="00B63714">
        <w:rPr>
          <w:rFonts w:ascii="Times New Roman" w:eastAsia="WarnockPro-Regular" w:hAnsi="Times New Roman" w:cs="Times New Roman"/>
          <w:b/>
          <w:kern w:val="0"/>
          <w:sz w:val="24"/>
          <w:szCs w:val="24"/>
        </w:rPr>
        <w:t>Quantitative real-time PCR (qPCR)</w:t>
      </w:r>
      <w:r>
        <w:rPr>
          <w:rFonts w:ascii="Times New Roman" w:eastAsia="WarnockPro-Regular" w:hAnsi="Times New Roman" w:cs="Times New Roman"/>
          <w:b/>
          <w:kern w:val="0"/>
          <w:sz w:val="24"/>
          <w:szCs w:val="24"/>
        </w:rPr>
        <w:t>.</w:t>
      </w:r>
      <w:r w:rsidRPr="00B63714">
        <w:rPr>
          <w:rFonts w:ascii="Times New Roman" w:eastAsia="WarnockPro-Regular" w:hAnsi="Times New Roman" w:cs="Times New Roman"/>
          <w:kern w:val="0"/>
          <w:sz w:val="24"/>
          <w:szCs w:val="24"/>
        </w:rPr>
        <w:t xml:space="preserve"> The functional LV titration was based on quantification of the integrated proviral DNA by SYBR green qPCR using gDNA of the transduced cells. The PCR reagents were purchased from Thermo Fisher Scientific. The sequences for LV primers and the human and mouse GAPDH primers used for qPCR </w:t>
      </w:r>
      <w:r>
        <w:rPr>
          <w:rFonts w:ascii="Times New Roman" w:eastAsia="WarnockPro-Regular" w:hAnsi="Times New Roman" w:cs="Times New Roman"/>
          <w:kern w:val="0"/>
          <w:sz w:val="24"/>
          <w:szCs w:val="24"/>
        </w:rPr>
        <w:t>are</w:t>
      </w:r>
      <w:r w:rsidRPr="00B63714">
        <w:rPr>
          <w:rFonts w:ascii="Times New Roman" w:eastAsia="WarnockPro-Regular" w:hAnsi="Times New Roman" w:cs="Times New Roman"/>
          <w:kern w:val="0"/>
          <w:sz w:val="24"/>
          <w:szCs w:val="24"/>
        </w:rPr>
        <w:t xml:space="preserve"> listed in Supplemental Table S1</w:t>
      </w:r>
      <w:bookmarkStart w:id="2" w:name="_Hlk32138449"/>
      <w:r w:rsidRPr="00B63714">
        <w:rPr>
          <w:rFonts w:ascii="Times New Roman" w:eastAsia="WarnockPro-Regular" w:hAnsi="Times New Roman" w:cs="Times New Roman"/>
          <w:kern w:val="0"/>
          <w:sz w:val="24"/>
          <w:szCs w:val="24"/>
        </w:rPr>
        <w:t>.</w:t>
      </w:r>
      <w:bookmarkStart w:id="3" w:name="OLE_LINK41"/>
      <w:bookmarkStart w:id="4" w:name="OLE_LINK42"/>
      <w:bookmarkEnd w:id="2"/>
      <w:r w:rsidRPr="00B63714">
        <w:rPr>
          <w:rFonts w:ascii="Times New Roman" w:hAnsi="Times New Roman" w:cs="Times New Roman"/>
          <w:sz w:val="24"/>
          <w:szCs w:val="24"/>
        </w:rPr>
        <w:t xml:space="preserve"> </w:t>
      </w:r>
      <w:bookmarkEnd w:id="3"/>
      <w:bookmarkEnd w:id="4"/>
      <w:r w:rsidRPr="00B63714">
        <w:rPr>
          <w:rFonts w:ascii="Times New Roman" w:eastAsia="WarnockPro-Regular" w:hAnsi="Times New Roman" w:cs="Times New Roman"/>
          <w:kern w:val="0"/>
          <w:sz w:val="24"/>
          <w:szCs w:val="24"/>
        </w:rPr>
        <w:t xml:space="preserve">The following thermal cycling condition was used: one 2-min cycle at 50 </w:t>
      </w:r>
      <w:r w:rsidRPr="00B63714">
        <w:rPr>
          <w:rFonts w:ascii="Times New Roman" w:eastAsia="WarnockPro-Regular" w:hAnsi="Times New Roman" w:cs="Times New Roman"/>
          <w:kern w:val="0"/>
          <w:sz w:val="24"/>
          <w:szCs w:val="24"/>
          <w:vertAlign w:val="superscript"/>
        </w:rPr>
        <w:t>o</w:t>
      </w:r>
      <w:r w:rsidRPr="00B63714">
        <w:rPr>
          <w:rFonts w:ascii="Times New Roman" w:eastAsia="WarnockPro-Regular" w:hAnsi="Times New Roman" w:cs="Times New Roman"/>
          <w:kern w:val="0"/>
          <w:sz w:val="24"/>
          <w:szCs w:val="24"/>
        </w:rPr>
        <w:t xml:space="preserve">C and 10-min cycle at 95 </w:t>
      </w:r>
      <w:r w:rsidRPr="00B63714">
        <w:rPr>
          <w:rFonts w:ascii="Times New Roman" w:eastAsia="WarnockPro-Regular" w:hAnsi="Times New Roman" w:cs="Times New Roman"/>
          <w:kern w:val="0"/>
          <w:sz w:val="24"/>
          <w:szCs w:val="24"/>
          <w:vertAlign w:val="superscript"/>
        </w:rPr>
        <w:t>o</w:t>
      </w:r>
      <w:r w:rsidRPr="00B63714">
        <w:rPr>
          <w:rFonts w:ascii="Times New Roman" w:eastAsia="WarnockPro-Regular" w:hAnsi="Times New Roman" w:cs="Times New Roman"/>
          <w:kern w:val="0"/>
          <w:sz w:val="24"/>
          <w:szCs w:val="24"/>
        </w:rPr>
        <w:t>C followed by 40 3-step cycles (15 sec at 95</w:t>
      </w:r>
      <w:r w:rsidRPr="00B63714">
        <w:rPr>
          <w:rFonts w:ascii="Times New Roman" w:eastAsia="WarnockPro-Regular" w:hAnsi="Times New Roman" w:cs="Times New Roman"/>
          <w:kern w:val="0"/>
          <w:sz w:val="24"/>
          <w:szCs w:val="24"/>
          <w:vertAlign w:val="superscript"/>
        </w:rPr>
        <w:t xml:space="preserve"> o</w:t>
      </w:r>
      <w:r w:rsidRPr="00B63714">
        <w:rPr>
          <w:rFonts w:ascii="Times New Roman" w:eastAsia="WarnockPro-Regular" w:hAnsi="Times New Roman" w:cs="Times New Roman"/>
          <w:kern w:val="0"/>
          <w:sz w:val="24"/>
          <w:szCs w:val="24"/>
        </w:rPr>
        <w:t xml:space="preserve">C, 60 sec at 60 </w:t>
      </w:r>
      <w:r w:rsidRPr="00B63714">
        <w:rPr>
          <w:rFonts w:ascii="Times New Roman" w:eastAsia="WarnockPro-Regular" w:hAnsi="Times New Roman" w:cs="Times New Roman"/>
          <w:kern w:val="0"/>
          <w:sz w:val="24"/>
          <w:szCs w:val="24"/>
          <w:vertAlign w:val="superscript"/>
        </w:rPr>
        <w:t>o</w:t>
      </w:r>
      <w:r w:rsidRPr="00B63714">
        <w:rPr>
          <w:rFonts w:ascii="Times New Roman" w:eastAsia="WarnockPro-Regular" w:hAnsi="Times New Roman" w:cs="Times New Roman"/>
          <w:kern w:val="0"/>
          <w:sz w:val="24"/>
          <w:szCs w:val="24"/>
        </w:rPr>
        <w:t xml:space="preserve">C, and 35 sec at 82 </w:t>
      </w:r>
      <w:r w:rsidRPr="00B63714">
        <w:rPr>
          <w:rFonts w:ascii="Times New Roman" w:eastAsia="WarnockPro-Regular" w:hAnsi="Times New Roman" w:cs="Times New Roman"/>
          <w:kern w:val="0"/>
          <w:sz w:val="24"/>
          <w:szCs w:val="24"/>
          <w:vertAlign w:val="superscript"/>
        </w:rPr>
        <w:t>o</w:t>
      </w:r>
      <w:r w:rsidRPr="00B63714">
        <w:rPr>
          <w:rFonts w:ascii="Times New Roman" w:eastAsia="WarnockPro-Regular" w:hAnsi="Times New Roman" w:cs="Times New Roman"/>
          <w:kern w:val="0"/>
          <w:sz w:val="24"/>
          <w:szCs w:val="24"/>
        </w:rPr>
        <w:t xml:space="preserve">C). qPCR was performed by using the Fast SYBR Green Master Mix (Applied Biosystems) in a CFX96 Real time PCR detection system (BioRad Laboratories). All qPCRs were </w:t>
      </w:r>
      <w:r w:rsidRPr="00B63714">
        <w:rPr>
          <w:rFonts w:ascii="Times New Roman" w:eastAsia="WarnockPro-Regular" w:hAnsi="Times New Roman" w:cs="Times New Roman"/>
          <w:kern w:val="0"/>
          <w:sz w:val="24"/>
          <w:szCs w:val="24"/>
        </w:rPr>
        <w:lastRenderedPageBreak/>
        <w:t xml:space="preserve">carried out in duplicates or triplicates. The CT value </w:t>
      </w:r>
      <w:r w:rsidRPr="00B63714">
        <w:rPr>
          <w:rFonts w:ascii="SimSun" w:eastAsia="SimSun" w:hAnsi="SimSun" w:cs="SimSun" w:hint="eastAsia"/>
          <w:kern w:val="0"/>
          <w:sz w:val="24"/>
          <w:szCs w:val="24"/>
        </w:rPr>
        <w:t>≧</w:t>
      </w:r>
      <w:r w:rsidRPr="00B63714">
        <w:rPr>
          <w:rFonts w:ascii="Times New Roman" w:eastAsia="WarnockPro-Regular" w:hAnsi="Times New Roman" w:cs="Times New Roman"/>
          <w:kern w:val="0"/>
          <w:sz w:val="24"/>
          <w:szCs w:val="24"/>
        </w:rPr>
        <w:t xml:space="preserve">37 were considered as an undetectable value. The VCNs of all LV constructs were calculated based on the 2ΔCt method and normalized against the GAPDH genome copies as per cell </w:t>
      </w:r>
      <w:r w:rsidRPr="00B63714">
        <w:rPr>
          <w:rFonts w:ascii="Times New Roman" w:eastAsia="WarnockPro-Regular" w:hAnsi="Times New Roman" w:cs="Times New Roman"/>
          <w:i/>
          <w:iCs/>
          <w:kern w:val="0"/>
          <w:sz w:val="24"/>
          <w:szCs w:val="24"/>
        </w:rPr>
        <w:t>in vitro</w:t>
      </w:r>
      <w:r w:rsidRPr="00B63714">
        <w:rPr>
          <w:rFonts w:ascii="Times New Roman" w:eastAsia="WarnockPro-Regular" w:hAnsi="Times New Roman" w:cs="Times New Roman"/>
          <w:kern w:val="0"/>
          <w:sz w:val="24"/>
          <w:szCs w:val="24"/>
        </w:rPr>
        <w:t xml:space="preserve"> or percentage </w:t>
      </w:r>
      <w:r w:rsidRPr="00B63714">
        <w:rPr>
          <w:rFonts w:ascii="Times New Roman" w:eastAsia="WarnockPro-Regular" w:hAnsi="Times New Roman" w:cs="Times New Roman"/>
          <w:i/>
          <w:iCs/>
          <w:kern w:val="0"/>
          <w:sz w:val="24"/>
          <w:szCs w:val="24"/>
        </w:rPr>
        <w:t>in vivo</w:t>
      </w:r>
      <w:r w:rsidRPr="00B63714">
        <w:rPr>
          <w:rFonts w:ascii="Times New Roman" w:eastAsia="WarnockPro-Regular" w:hAnsi="Times New Roman" w:cs="Times New Roman"/>
          <w:kern w:val="0"/>
          <w:sz w:val="24"/>
          <w:szCs w:val="24"/>
        </w:rPr>
        <w:t>.</w:t>
      </w:r>
    </w:p>
    <w:p w14:paraId="614932A2" w14:textId="77777777" w:rsidR="00E672B8" w:rsidRDefault="00E672B8" w:rsidP="00E672B8">
      <w:pPr>
        <w:widowControl/>
        <w:spacing w:before="120" w:line="480" w:lineRule="auto"/>
        <w:jc w:val="left"/>
        <w:rPr>
          <w:rFonts w:ascii="Times New Roman" w:eastAsia="DengXian" w:hAnsi="Times New Roman" w:cs="Times New Roman"/>
          <w:b/>
          <w:kern w:val="0"/>
          <w:sz w:val="24"/>
          <w:szCs w:val="24"/>
          <w:lang w:eastAsia="en-US"/>
        </w:rPr>
      </w:pPr>
    </w:p>
    <w:p w14:paraId="50285029" w14:textId="77777777" w:rsidR="00E672B8" w:rsidRDefault="00E672B8" w:rsidP="00E672B8">
      <w:pPr>
        <w:spacing w:before="120" w:after="120" w:line="480" w:lineRule="auto"/>
        <w:jc w:val="left"/>
        <w:rPr>
          <w:rFonts w:ascii="Times New Roman" w:eastAsia="DengXian" w:hAnsi="Times New Roman" w:cs="Times New Roman"/>
          <w:b/>
          <w:kern w:val="0"/>
          <w:sz w:val="24"/>
          <w:szCs w:val="24"/>
          <w:lang w:eastAsia="en-US"/>
        </w:rPr>
      </w:pPr>
      <w:r>
        <w:rPr>
          <w:rFonts w:ascii="Times New Roman" w:eastAsia="DengXian" w:hAnsi="Times New Roman" w:cs="Times New Roman"/>
          <w:b/>
          <w:kern w:val="0"/>
          <w:sz w:val="24"/>
          <w:szCs w:val="24"/>
          <w:lang w:eastAsia="en-US"/>
        </w:rPr>
        <w:t>Supplementary Tables</w:t>
      </w:r>
    </w:p>
    <w:p w14:paraId="35981088" w14:textId="77777777" w:rsidR="00E672B8" w:rsidRPr="00E815FA" w:rsidRDefault="00E672B8" w:rsidP="00E672B8">
      <w:pPr>
        <w:spacing w:before="240" w:after="120"/>
        <w:jc w:val="left"/>
        <w:rPr>
          <w:rFonts w:ascii="Times New Roman" w:hAnsi="Times New Roman" w:cs="Times New Roman"/>
          <w:b/>
          <w:bCs/>
          <w:sz w:val="22"/>
        </w:rPr>
      </w:pPr>
      <w:r w:rsidRPr="00E815FA">
        <w:rPr>
          <w:rFonts w:ascii="Times New Roman" w:eastAsia="DengXian" w:hAnsi="Times New Roman" w:cs="Times New Roman"/>
          <w:b/>
          <w:kern w:val="0"/>
          <w:sz w:val="22"/>
          <w:lang w:eastAsia="en-US"/>
        </w:rPr>
        <w:t>Table S1.</w:t>
      </w:r>
      <w:r w:rsidRPr="00E815FA">
        <w:rPr>
          <w:rFonts w:ascii="Times New Roman" w:eastAsia="DengXian" w:hAnsi="Times New Roman" w:cs="Times New Roman"/>
          <w:b/>
          <w:bCs/>
          <w:kern w:val="0"/>
          <w:sz w:val="22"/>
          <w:lang w:eastAsia="en-US"/>
        </w:rPr>
        <w:t xml:space="preserve"> </w:t>
      </w:r>
      <w:r w:rsidRPr="00E815FA">
        <w:rPr>
          <w:rFonts w:ascii="Times New Roman" w:hAnsi="Times New Roman" w:cs="Times New Roman"/>
          <w:b/>
          <w:bCs/>
          <w:sz w:val="22"/>
        </w:rPr>
        <w:t xml:space="preserve"> The LV and mouse or human GAPDH primers</w:t>
      </w:r>
    </w:p>
    <w:tbl>
      <w:tblPr>
        <w:tblW w:w="8789" w:type="dxa"/>
        <w:tblBorders>
          <w:top w:val="single" w:sz="12" w:space="0" w:color="auto"/>
          <w:bottom w:val="single" w:sz="12" w:space="0" w:color="auto"/>
          <w:insideH w:val="single" w:sz="4" w:space="0" w:color="7F7F7F"/>
        </w:tblBorders>
        <w:tblLook w:val="04A0" w:firstRow="1" w:lastRow="0" w:firstColumn="1" w:lastColumn="0" w:noHBand="0" w:noVBand="1"/>
      </w:tblPr>
      <w:tblGrid>
        <w:gridCol w:w="2122"/>
        <w:gridCol w:w="1318"/>
        <w:gridCol w:w="5349"/>
      </w:tblGrid>
      <w:tr w:rsidR="00E672B8" w:rsidRPr="00B63714" w14:paraId="71C3EA23" w14:textId="77777777" w:rsidTr="00417A7C">
        <w:trPr>
          <w:trHeight w:val="340"/>
        </w:trPr>
        <w:tc>
          <w:tcPr>
            <w:tcW w:w="2122" w:type="dxa"/>
            <w:tcBorders>
              <w:top w:val="single" w:sz="12" w:space="0" w:color="auto"/>
              <w:bottom w:val="single" w:sz="6" w:space="0" w:color="auto"/>
            </w:tcBorders>
            <w:shd w:val="clear" w:color="auto" w:fill="auto"/>
            <w:noWrap/>
            <w:vAlign w:val="center"/>
            <w:hideMark/>
          </w:tcPr>
          <w:p w14:paraId="25BF10DE"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hAnsi="Arial" w:cs="Arial"/>
                <w:color w:val="000000"/>
                <w:kern w:val="0"/>
                <w:sz w:val="18"/>
                <w:szCs w:val="18"/>
              </w:rPr>
              <w:t>gene</w:t>
            </w:r>
          </w:p>
        </w:tc>
        <w:tc>
          <w:tcPr>
            <w:tcW w:w="6667" w:type="dxa"/>
            <w:gridSpan w:val="2"/>
            <w:tcBorders>
              <w:top w:val="single" w:sz="12" w:space="0" w:color="auto"/>
              <w:bottom w:val="single" w:sz="6" w:space="0" w:color="auto"/>
            </w:tcBorders>
            <w:shd w:val="clear" w:color="auto" w:fill="auto"/>
            <w:noWrap/>
            <w:vAlign w:val="center"/>
            <w:hideMark/>
          </w:tcPr>
          <w:p w14:paraId="2DF6D7DC"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hAnsi="Arial" w:cs="Arial"/>
                <w:color w:val="000000"/>
                <w:kern w:val="0"/>
                <w:sz w:val="18"/>
                <w:szCs w:val="18"/>
              </w:rPr>
              <w:t>sequence</w:t>
            </w:r>
          </w:p>
        </w:tc>
      </w:tr>
      <w:tr w:rsidR="00E672B8" w:rsidRPr="00B63714" w14:paraId="1DB406E0" w14:textId="77777777" w:rsidTr="00417A7C">
        <w:trPr>
          <w:trHeight w:val="340"/>
        </w:trPr>
        <w:tc>
          <w:tcPr>
            <w:tcW w:w="2122" w:type="dxa"/>
            <w:vMerge w:val="restart"/>
            <w:tcBorders>
              <w:top w:val="single" w:sz="6" w:space="0" w:color="auto"/>
              <w:bottom w:val="nil"/>
            </w:tcBorders>
            <w:shd w:val="clear" w:color="auto" w:fill="auto"/>
            <w:noWrap/>
            <w:vAlign w:val="center"/>
          </w:tcPr>
          <w:p w14:paraId="03FA2B0B" w14:textId="77777777" w:rsidR="00E672B8" w:rsidRPr="004C186B" w:rsidRDefault="00E672B8" w:rsidP="00417A7C">
            <w:pPr>
              <w:widowControl/>
              <w:spacing w:line="480" w:lineRule="auto"/>
              <w:jc w:val="center"/>
              <w:rPr>
                <w:rFonts w:ascii="Arial" w:eastAsia="DengXian" w:hAnsi="Arial" w:cs="Arial"/>
                <w:color w:val="000000"/>
                <w:kern w:val="0"/>
                <w:sz w:val="18"/>
                <w:szCs w:val="18"/>
              </w:rPr>
            </w:pPr>
            <w:r w:rsidRPr="004C186B">
              <w:rPr>
                <w:rFonts w:ascii="Arial" w:eastAsia="DengXian" w:hAnsi="Arial" w:cs="Arial"/>
                <w:color w:val="000000"/>
                <w:kern w:val="0"/>
                <w:sz w:val="18"/>
                <w:szCs w:val="18"/>
              </w:rPr>
              <w:t>LV</w:t>
            </w:r>
          </w:p>
        </w:tc>
        <w:tc>
          <w:tcPr>
            <w:tcW w:w="1318" w:type="dxa"/>
            <w:tcBorders>
              <w:top w:val="single" w:sz="6" w:space="0" w:color="auto"/>
              <w:bottom w:val="nil"/>
            </w:tcBorders>
            <w:shd w:val="clear" w:color="auto" w:fill="auto"/>
            <w:noWrap/>
            <w:vAlign w:val="center"/>
          </w:tcPr>
          <w:p w14:paraId="2F51EEE2"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Forward (F)</w:t>
            </w:r>
          </w:p>
        </w:tc>
        <w:tc>
          <w:tcPr>
            <w:tcW w:w="5349" w:type="dxa"/>
            <w:tcBorders>
              <w:top w:val="single" w:sz="6" w:space="0" w:color="auto"/>
              <w:bottom w:val="nil"/>
            </w:tcBorders>
            <w:shd w:val="clear" w:color="auto" w:fill="auto"/>
            <w:noWrap/>
            <w:vAlign w:val="center"/>
          </w:tcPr>
          <w:p w14:paraId="75461C2E"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GGGACTTGAAAGCGAAAGTAAAG - 3′</w:t>
            </w:r>
          </w:p>
        </w:tc>
      </w:tr>
      <w:tr w:rsidR="00E672B8" w:rsidRPr="00B63714" w14:paraId="607FD87E" w14:textId="77777777" w:rsidTr="00417A7C">
        <w:trPr>
          <w:trHeight w:val="340"/>
        </w:trPr>
        <w:tc>
          <w:tcPr>
            <w:tcW w:w="2122" w:type="dxa"/>
            <w:vMerge/>
            <w:tcBorders>
              <w:top w:val="nil"/>
              <w:bottom w:val="nil"/>
            </w:tcBorders>
            <w:shd w:val="clear" w:color="auto" w:fill="auto"/>
            <w:noWrap/>
            <w:vAlign w:val="center"/>
          </w:tcPr>
          <w:p w14:paraId="1E788416"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p>
        </w:tc>
        <w:tc>
          <w:tcPr>
            <w:tcW w:w="1318" w:type="dxa"/>
            <w:tcBorders>
              <w:top w:val="nil"/>
              <w:bottom w:val="nil"/>
            </w:tcBorders>
            <w:shd w:val="clear" w:color="auto" w:fill="auto"/>
            <w:noWrap/>
            <w:vAlign w:val="center"/>
          </w:tcPr>
          <w:p w14:paraId="10700920"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Reverse (R)</w:t>
            </w:r>
          </w:p>
        </w:tc>
        <w:tc>
          <w:tcPr>
            <w:tcW w:w="5349" w:type="dxa"/>
            <w:tcBorders>
              <w:top w:val="nil"/>
              <w:bottom w:val="nil"/>
            </w:tcBorders>
            <w:shd w:val="clear" w:color="auto" w:fill="auto"/>
            <w:noWrap/>
            <w:vAlign w:val="center"/>
          </w:tcPr>
          <w:p w14:paraId="351ACEE4"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TTTGGCGTACTCTGCAGTC - 3′</w:t>
            </w:r>
          </w:p>
        </w:tc>
      </w:tr>
      <w:tr w:rsidR="00E672B8" w:rsidRPr="00B63714" w14:paraId="4C583BAD" w14:textId="77777777" w:rsidTr="00417A7C">
        <w:trPr>
          <w:trHeight w:val="340"/>
        </w:trPr>
        <w:tc>
          <w:tcPr>
            <w:tcW w:w="2122" w:type="dxa"/>
            <w:vMerge w:val="restart"/>
            <w:tcBorders>
              <w:top w:val="nil"/>
              <w:bottom w:val="nil"/>
            </w:tcBorders>
            <w:shd w:val="clear" w:color="auto" w:fill="auto"/>
            <w:noWrap/>
            <w:vAlign w:val="center"/>
            <w:hideMark/>
          </w:tcPr>
          <w:p w14:paraId="23A1478C"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human GAPDH</w:t>
            </w:r>
          </w:p>
        </w:tc>
        <w:tc>
          <w:tcPr>
            <w:tcW w:w="1318" w:type="dxa"/>
            <w:tcBorders>
              <w:top w:val="nil"/>
              <w:bottom w:val="nil"/>
            </w:tcBorders>
            <w:shd w:val="clear" w:color="auto" w:fill="auto"/>
            <w:noWrap/>
            <w:vAlign w:val="center"/>
            <w:hideMark/>
          </w:tcPr>
          <w:p w14:paraId="7D427D4E"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Forward (F)</w:t>
            </w:r>
          </w:p>
        </w:tc>
        <w:tc>
          <w:tcPr>
            <w:tcW w:w="5349" w:type="dxa"/>
            <w:tcBorders>
              <w:top w:val="nil"/>
              <w:bottom w:val="nil"/>
            </w:tcBorders>
            <w:shd w:val="clear" w:color="auto" w:fill="auto"/>
            <w:noWrap/>
            <w:vAlign w:val="center"/>
            <w:hideMark/>
          </w:tcPr>
          <w:p w14:paraId="7ACE030E"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ACATCGCTCAGACACCATG- 3′</w:t>
            </w:r>
          </w:p>
        </w:tc>
      </w:tr>
      <w:tr w:rsidR="00E672B8" w:rsidRPr="00B63714" w14:paraId="00D37126" w14:textId="77777777" w:rsidTr="00417A7C">
        <w:trPr>
          <w:trHeight w:val="340"/>
        </w:trPr>
        <w:tc>
          <w:tcPr>
            <w:tcW w:w="2122" w:type="dxa"/>
            <w:vMerge/>
            <w:tcBorders>
              <w:top w:val="nil"/>
              <w:bottom w:val="nil"/>
            </w:tcBorders>
            <w:shd w:val="clear" w:color="auto" w:fill="auto"/>
            <w:vAlign w:val="center"/>
            <w:hideMark/>
          </w:tcPr>
          <w:p w14:paraId="6FF644F8"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p>
        </w:tc>
        <w:tc>
          <w:tcPr>
            <w:tcW w:w="1318" w:type="dxa"/>
            <w:tcBorders>
              <w:top w:val="nil"/>
              <w:bottom w:val="nil"/>
            </w:tcBorders>
            <w:shd w:val="clear" w:color="auto" w:fill="auto"/>
            <w:noWrap/>
            <w:vAlign w:val="center"/>
            <w:hideMark/>
          </w:tcPr>
          <w:p w14:paraId="55C0D83A"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Reverse (R)</w:t>
            </w:r>
          </w:p>
        </w:tc>
        <w:tc>
          <w:tcPr>
            <w:tcW w:w="5349" w:type="dxa"/>
            <w:tcBorders>
              <w:top w:val="nil"/>
              <w:bottom w:val="nil"/>
            </w:tcBorders>
            <w:shd w:val="clear" w:color="auto" w:fill="auto"/>
            <w:noWrap/>
            <w:vAlign w:val="center"/>
            <w:hideMark/>
          </w:tcPr>
          <w:p w14:paraId="623405E8"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 TGTAGTTGAGGTCAATGAAGGG - 3′</w:t>
            </w:r>
          </w:p>
        </w:tc>
      </w:tr>
      <w:tr w:rsidR="00E672B8" w:rsidRPr="00B63714" w14:paraId="6EB6032E" w14:textId="77777777" w:rsidTr="00417A7C">
        <w:trPr>
          <w:trHeight w:val="340"/>
        </w:trPr>
        <w:tc>
          <w:tcPr>
            <w:tcW w:w="2122" w:type="dxa"/>
            <w:vMerge w:val="restart"/>
            <w:tcBorders>
              <w:top w:val="nil"/>
              <w:bottom w:val="nil"/>
            </w:tcBorders>
            <w:shd w:val="clear" w:color="auto" w:fill="auto"/>
            <w:vAlign w:val="center"/>
          </w:tcPr>
          <w:p w14:paraId="4AA86671"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mouse GAPDH</w:t>
            </w:r>
          </w:p>
        </w:tc>
        <w:tc>
          <w:tcPr>
            <w:tcW w:w="1318" w:type="dxa"/>
            <w:tcBorders>
              <w:top w:val="nil"/>
              <w:bottom w:val="nil"/>
            </w:tcBorders>
            <w:shd w:val="clear" w:color="auto" w:fill="auto"/>
            <w:noWrap/>
            <w:vAlign w:val="center"/>
          </w:tcPr>
          <w:p w14:paraId="396EDA43"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Forward (F)</w:t>
            </w:r>
          </w:p>
        </w:tc>
        <w:tc>
          <w:tcPr>
            <w:tcW w:w="5349" w:type="dxa"/>
            <w:tcBorders>
              <w:top w:val="nil"/>
              <w:bottom w:val="nil"/>
            </w:tcBorders>
            <w:shd w:val="clear" w:color="auto" w:fill="auto"/>
            <w:noWrap/>
            <w:vAlign w:val="center"/>
          </w:tcPr>
          <w:p w14:paraId="6CB82024"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GCATGGCCTTCCGTGTTC- 3′</w:t>
            </w:r>
          </w:p>
        </w:tc>
      </w:tr>
      <w:tr w:rsidR="00E672B8" w:rsidRPr="00B63714" w14:paraId="0409C265" w14:textId="77777777" w:rsidTr="00417A7C">
        <w:trPr>
          <w:trHeight w:val="340"/>
        </w:trPr>
        <w:tc>
          <w:tcPr>
            <w:tcW w:w="2122" w:type="dxa"/>
            <w:vMerge/>
            <w:tcBorders>
              <w:top w:val="nil"/>
              <w:bottom w:val="single" w:sz="12" w:space="0" w:color="auto"/>
            </w:tcBorders>
            <w:shd w:val="clear" w:color="auto" w:fill="auto"/>
            <w:vAlign w:val="center"/>
          </w:tcPr>
          <w:p w14:paraId="57A4F086"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p>
        </w:tc>
        <w:tc>
          <w:tcPr>
            <w:tcW w:w="1318" w:type="dxa"/>
            <w:tcBorders>
              <w:top w:val="nil"/>
              <w:bottom w:val="single" w:sz="12" w:space="0" w:color="auto"/>
            </w:tcBorders>
            <w:shd w:val="clear" w:color="auto" w:fill="auto"/>
            <w:noWrap/>
            <w:vAlign w:val="center"/>
          </w:tcPr>
          <w:p w14:paraId="6DAC2569"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Reverse (R)</w:t>
            </w:r>
          </w:p>
        </w:tc>
        <w:tc>
          <w:tcPr>
            <w:tcW w:w="5349" w:type="dxa"/>
            <w:tcBorders>
              <w:top w:val="nil"/>
              <w:bottom w:val="single" w:sz="12" w:space="0" w:color="auto"/>
            </w:tcBorders>
            <w:shd w:val="clear" w:color="auto" w:fill="auto"/>
            <w:noWrap/>
            <w:vAlign w:val="center"/>
          </w:tcPr>
          <w:p w14:paraId="00241A18" w14:textId="77777777" w:rsidR="00E672B8" w:rsidRPr="004C186B" w:rsidRDefault="00E672B8" w:rsidP="00417A7C">
            <w:pPr>
              <w:widowControl/>
              <w:spacing w:line="480" w:lineRule="auto"/>
              <w:jc w:val="center"/>
              <w:rPr>
                <w:rFonts w:ascii="Arial" w:eastAsia="Times New Roman" w:hAnsi="Arial" w:cs="Arial"/>
                <w:color w:val="000000"/>
                <w:kern w:val="0"/>
                <w:sz w:val="18"/>
                <w:szCs w:val="18"/>
              </w:rPr>
            </w:pPr>
            <w:r w:rsidRPr="004C186B">
              <w:rPr>
                <w:rFonts w:ascii="Arial" w:eastAsia="Times New Roman" w:hAnsi="Arial" w:cs="Arial"/>
                <w:color w:val="000000"/>
                <w:kern w:val="0"/>
                <w:sz w:val="18"/>
                <w:szCs w:val="18"/>
              </w:rPr>
              <w:t>5′ - GATGTCATCATACCTGGCAGGTTT - 3′</w:t>
            </w:r>
          </w:p>
        </w:tc>
      </w:tr>
    </w:tbl>
    <w:p w14:paraId="05734E99" w14:textId="77777777" w:rsidR="00E672B8" w:rsidRDefault="00E672B8" w:rsidP="00E672B8">
      <w:pPr>
        <w:spacing w:line="480" w:lineRule="auto"/>
      </w:pPr>
    </w:p>
    <w:tbl>
      <w:tblPr>
        <w:tblW w:w="8680" w:type="dxa"/>
        <w:tblLook w:val="04A0" w:firstRow="1" w:lastRow="0" w:firstColumn="1" w:lastColumn="0" w:noHBand="0" w:noVBand="1"/>
      </w:tblPr>
      <w:tblGrid>
        <w:gridCol w:w="1658"/>
        <w:gridCol w:w="960"/>
        <w:gridCol w:w="960"/>
        <w:gridCol w:w="1242"/>
        <w:gridCol w:w="1242"/>
        <w:gridCol w:w="1319"/>
        <w:gridCol w:w="1299"/>
      </w:tblGrid>
      <w:tr w:rsidR="00E672B8" w:rsidRPr="00984501" w14:paraId="7A600758" w14:textId="77777777" w:rsidTr="00417A7C">
        <w:trPr>
          <w:trHeight w:val="312"/>
        </w:trPr>
        <w:tc>
          <w:tcPr>
            <w:tcW w:w="8680" w:type="dxa"/>
            <w:gridSpan w:val="7"/>
            <w:tcBorders>
              <w:top w:val="nil"/>
              <w:left w:val="nil"/>
              <w:bottom w:val="single" w:sz="4" w:space="0" w:color="auto"/>
              <w:right w:val="nil"/>
            </w:tcBorders>
            <w:shd w:val="clear" w:color="auto" w:fill="auto"/>
            <w:vAlign w:val="center"/>
            <w:hideMark/>
          </w:tcPr>
          <w:p w14:paraId="339B0462" w14:textId="77777777" w:rsidR="00E672B8" w:rsidRDefault="00E672B8" w:rsidP="00417A7C">
            <w:pPr>
              <w:widowControl/>
              <w:jc w:val="center"/>
              <w:rPr>
                <w:rFonts w:ascii="Times New Roman" w:eastAsia="DengXian" w:hAnsi="Times New Roman" w:cs="Times New Roman"/>
                <w:b/>
                <w:bCs/>
                <w:color w:val="000000"/>
                <w:kern w:val="0"/>
                <w:sz w:val="24"/>
                <w:szCs w:val="24"/>
              </w:rPr>
            </w:pPr>
          </w:p>
          <w:p w14:paraId="5D03EB20" w14:textId="77777777" w:rsidR="00E672B8" w:rsidRPr="00E815FA" w:rsidRDefault="00E672B8" w:rsidP="00417A7C">
            <w:pPr>
              <w:widowControl/>
              <w:jc w:val="left"/>
              <w:rPr>
                <w:rFonts w:ascii="Times New Roman" w:eastAsia="DengXian" w:hAnsi="Times New Roman" w:cs="Times New Roman"/>
                <w:b/>
                <w:bCs/>
                <w:color w:val="000000"/>
                <w:kern w:val="0"/>
                <w:sz w:val="22"/>
              </w:rPr>
            </w:pPr>
            <w:r w:rsidRPr="00E815FA">
              <w:rPr>
                <w:rFonts w:ascii="Times New Roman" w:eastAsia="DengXian" w:hAnsi="Times New Roman" w:cs="Times New Roman"/>
                <w:b/>
                <w:bCs/>
                <w:color w:val="000000"/>
                <w:kern w:val="0"/>
                <w:sz w:val="22"/>
              </w:rPr>
              <w:t>Table S2. Mean and standard deviation of body weight change in Fig. 4C</w:t>
            </w:r>
          </w:p>
        </w:tc>
      </w:tr>
      <w:tr w:rsidR="00E672B8" w:rsidRPr="004C186B" w14:paraId="192B3455" w14:textId="77777777" w:rsidTr="00417A7C">
        <w:trPr>
          <w:trHeight w:val="684"/>
        </w:trPr>
        <w:tc>
          <w:tcPr>
            <w:tcW w:w="1660" w:type="dxa"/>
            <w:tcBorders>
              <w:top w:val="nil"/>
              <w:left w:val="nil"/>
              <w:bottom w:val="single" w:sz="4" w:space="0" w:color="auto"/>
              <w:right w:val="nil"/>
            </w:tcBorders>
            <w:shd w:val="clear" w:color="auto" w:fill="auto"/>
            <w:vAlign w:val="center"/>
            <w:hideMark/>
          </w:tcPr>
          <w:p w14:paraId="5106C5E3"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color w:val="000000"/>
                <w:kern w:val="0"/>
                <w:sz w:val="18"/>
                <w:szCs w:val="18"/>
              </w:rPr>
              <w:t xml:space="preserve">　</w:t>
            </w:r>
          </w:p>
        </w:tc>
        <w:tc>
          <w:tcPr>
            <w:tcW w:w="960" w:type="dxa"/>
            <w:tcBorders>
              <w:top w:val="nil"/>
              <w:left w:val="nil"/>
              <w:bottom w:val="single" w:sz="4" w:space="0" w:color="auto"/>
              <w:right w:val="nil"/>
            </w:tcBorders>
            <w:shd w:val="clear" w:color="auto" w:fill="auto"/>
            <w:vAlign w:val="center"/>
            <w:hideMark/>
          </w:tcPr>
          <w:p w14:paraId="0BE26651"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color w:val="000000"/>
                <w:kern w:val="0"/>
                <w:sz w:val="18"/>
                <w:szCs w:val="18"/>
              </w:rPr>
              <w:t>WT</w:t>
            </w:r>
          </w:p>
        </w:tc>
        <w:tc>
          <w:tcPr>
            <w:tcW w:w="960" w:type="dxa"/>
            <w:tcBorders>
              <w:top w:val="nil"/>
              <w:left w:val="nil"/>
              <w:bottom w:val="single" w:sz="4" w:space="0" w:color="auto"/>
              <w:right w:val="nil"/>
            </w:tcBorders>
            <w:shd w:val="clear" w:color="auto" w:fill="auto"/>
            <w:vAlign w:val="center"/>
            <w:hideMark/>
          </w:tcPr>
          <w:p w14:paraId="077BE488"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color w:val="000000"/>
                <w:kern w:val="0"/>
                <w:sz w:val="18"/>
                <w:szCs w:val="18"/>
              </w:rPr>
              <w:t>CGD</w:t>
            </w:r>
          </w:p>
        </w:tc>
        <w:tc>
          <w:tcPr>
            <w:tcW w:w="1240" w:type="dxa"/>
            <w:tcBorders>
              <w:top w:val="nil"/>
              <w:left w:val="nil"/>
              <w:bottom w:val="single" w:sz="4" w:space="0" w:color="auto"/>
              <w:right w:val="nil"/>
            </w:tcBorders>
            <w:shd w:val="clear" w:color="auto" w:fill="auto"/>
            <w:vAlign w:val="center"/>
            <w:hideMark/>
          </w:tcPr>
          <w:p w14:paraId="36FAE43D"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i/>
                <w:iCs/>
                <w:color w:val="000000"/>
                <w:kern w:val="0"/>
                <w:sz w:val="18"/>
                <w:szCs w:val="18"/>
              </w:rPr>
              <w:t>EF1a</w:t>
            </w:r>
            <w:r w:rsidRPr="004C186B">
              <w:rPr>
                <w:rFonts w:ascii="Arial" w:eastAsia="DengXian" w:hAnsi="Arial" w:cs="Arial"/>
                <w:color w:val="000000"/>
                <w:kern w:val="0"/>
                <w:sz w:val="18"/>
                <w:szCs w:val="18"/>
              </w:rPr>
              <w:t xml:space="preserve"> (+AMD3100)</w:t>
            </w:r>
          </w:p>
        </w:tc>
        <w:tc>
          <w:tcPr>
            <w:tcW w:w="1240" w:type="dxa"/>
            <w:tcBorders>
              <w:top w:val="nil"/>
              <w:left w:val="nil"/>
              <w:bottom w:val="single" w:sz="4" w:space="0" w:color="auto"/>
              <w:right w:val="nil"/>
            </w:tcBorders>
            <w:shd w:val="clear" w:color="auto" w:fill="auto"/>
            <w:vAlign w:val="center"/>
            <w:hideMark/>
          </w:tcPr>
          <w:p w14:paraId="5212BFCA"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i/>
                <w:iCs/>
                <w:color w:val="000000"/>
                <w:kern w:val="0"/>
                <w:sz w:val="18"/>
                <w:szCs w:val="18"/>
              </w:rPr>
              <w:t xml:space="preserve">miR223 </w:t>
            </w:r>
            <w:r w:rsidRPr="004C186B">
              <w:rPr>
                <w:rFonts w:ascii="Arial" w:eastAsia="DengXian" w:hAnsi="Arial" w:cs="Arial"/>
                <w:color w:val="000000"/>
                <w:kern w:val="0"/>
                <w:sz w:val="18"/>
                <w:szCs w:val="18"/>
              </w:rPr>
              <w:t>(+AMD3100)</w:t>
            </w:r>
          </w:p>
        </w:tc>
        <w:tc>
          <w:tcPr>
            <w:tcW w:w="1320" w:type="dxa"/>
            <w:tcBorders>
              <w:top w:val="nil"/>
              <w:left w:val="nil"/>
              <w:bottom w:val="single" w:sz="4" w:space="0" w:color="auto"/>
              <w:right w:val="nil"/>
            </w:tcBorders>
            <w:shd w:val="clear" w:color="auto" w:fill="auto"/>
            <w:vAlign w:val="center"/>
            <w:hideMark/>
          </w:tcPr>
          <w:p w14:paraId="34549B19"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i/>
                <w:iCs/>
                <w:color w:val="000000"/>
                <w:kern w:val="0"/>
                <w:sz w:val="18"/>
                <w:szCs w:val="18"/>
              </w:rPr>
              <w:t>EF1a</w:t>
            </w:r>
            <w:r w:rsidRPr="004C186B">
              <w:rPr>
                <w:rFonts w:ascii="Arial" w:eastAsia="DengXian" w:hAnsi="Arial" w:cs="Arial"/>
                <w:i/>
                <w:iCs/>
                <w:color w:val="000000"/>
                <w:kern w:val="0"/>
                <w:sz w:val="18"/>
                <w:szCs w:val="18"/>
              </w:rPr>
              <w:br/>
            </w:r>
            <w:r w:rsidRPr="004C186B">
              <w:rPr>
                <w:rFonts w:ascii="Arial" w:eastAsia="DengXian" w:hAnsi="Arial" w:cs="Arial"/>
                <w:color w:val="000000"/>
                <w:kern w:val="0"/>
                <w:sz w:val="18"/>
                <w:szCs w:val="18"/>
              </w:rPr>
              <w:t xml:space="preserve"> (-AMD3100)</w:t>
            </w:r>
          </w:p>
        </w:tc>
        <w:tc>
          <w:tcPr>
            <w:tcW w:w="1300" w:type="dxa"/>
            <w:tcBorders>
              <w:top w:val="nil"/>
              <w:left w:val="nil"/>
              <w:bottom w:val="single" w:sz="4" w:space="0" w:color="auto"/>
              <w:right w:val="nil"/>
            </w:tcBorders>
            <w:shd w:val="clear" w:color="auto" w:fill="auto"/>
            <w:vAlign w:val="center"/>
            <w:hideMark/>
          </w:tcPr>
          <w:p w14:paraId="2CCEEB72" w14:textId="77777777" w:rsidR="00E672B8" w:rsidRPr="004C186B" w:rsidRDefault="00E672B8" w:rsidP="00417A7C">
            <w:pPr>
              <w:widowControl/>
              <w:jc w:val="center"/>
              <w:rPr>
                <w:rFonts w:ascii="Arial" w:eastAsia="DengXian" w:hAnsi="Arial" w:cs="Arial"/>
                <w:color w:val="000000"/>
                <w:kern w:val="0"/>
                <w:sz w:val="18"/>
                <w:szCs w:val="18"/>
              </w:rPr>
            </w:pPr>
            <w:r w:rsidRPr="004C186B">
              <w:rPr>
                <w:rFonts w:ascii="Arial" w:eastAsia="DengXian" w:hAnsi="Arial" w:cs="Arial"/>
                <w:i/>
                <w:iCs/>
                <w:color w:val="000000"/>
                <w:kern w:val="0"/>
                <w:sz w:val="18"/>
                <w:szCs w:val="18"/>
              </w:rPr>
              <w:t xml:space="preserve">miR223 </w:t>
            </w:r>
            <w:r w:rsidRPr="004C186B">
              <w:rPr>
                <w:rFonts w:ascii="Arial" w:eastAsia="DengXian" w:hAnsi="Arial" w:cs="Arial"/>
                <w:color w:val="000000"/>
                <w:kern w:val="0"/>
                <w:sz w:val="18"/>
                <w:szCs w:val="18"/>
              </w:rPr>
              <w:br/>
              <w:t>(-AMD3100)</w:t>
            </w:r>
          </w:p>
        </w:tc>
      </w:tr>
      <w:tr w:rsidR="00E672B8" w:rsidRPr="004C186B" w14:paraId="72583D40" w14:textId="77777777" w:rsidTr="00417A7C">
        <w:trPr>
          <w:trHeight w:val="276"/>
        </w:trPr>
        <w:tc>
          <w:tcPr>
            <w:tcW w:w="1660" w:type="dxa"/>
            <w:tcBorders>
              <w:top w:val="nil"/>
              <w:left w:val="nil"/>
              <w:bottom w:val="nil"/>
              <w:right w:val="nil"/>
            </w:tcBorders>
            <w:shd w:val="clear" w:color="auto" w:fill="auto"/>
            <w:vAlign w:val="center"/>
            <w:hideMark/>
          </w:tcPr>
          <w:p w14:paraId="29835209"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Mean</w:t>
            </w:r>
          </w:p>
        </w:tc>
        <w:tc>
          <w:tcPr>
            <w:tcW w:w="960" w:type="dxa"/>
            <w:tcBorders>
              <w:top w:val="nil"/>
              <w:left w:val="nil"/>
              <w:bottom w:val="nil"/>
              <w:right w:val="nil"/>
            </w:tcBorders>
            <w:shd w:val="clear" w:color="auto" w:fill="auto"/>
            <w:vAlign w:val="center"/>
            <w:hideMark/>
          </w:tcPr>
          <w:p w14:paraId="2DEEDCBE"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-0.05933</w:t>
            </w:r>
          </w:p>
        </w:tc>
        <w:tc>
          <w:tcPr>
            <w:tcW w:w="960" w:type="dxa"/>
            <w:tcBorders>
              <w:top w:val="nil"/>
              <w:left w:val="nil"/>
              <w:bottom w:val="nil"/>
              <w:right w:val="nil"/>
            </w:tcBorders>
            <w:shd w:val="clear" w:color="auto" w:fill="auto"/>
            <w:vAlign w:val="center"/>
            <w:hideMark/>
          </w:tcPr>
          <w:p w14:paraId="3F9724B6"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-0.1293</w:t>
            </w:r>
          </w:p>
        </w:tc>
        <w:tc>
          <w:tcPr>
            <w:tcW w:w="1240" w:type="dxa"/>
            <w:tcBorders>
              <w:top w:val="nil"/>
              <w:left w:val="nil"/>
              <w:bottom w:val="nil"/>
              <w:right w:val="nil"/>
            </w:tcBorders>
            <w:shd w:val="clear" w:color="auto" w:fill="auto"/>
            <w:vAlign w:val="center"/>
            <w:hideMark/>
          </w:tcPr>
          <w:p w14:paraId="24684318"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-0.05725</w:t>
            </w:r>
          </w:p>
        </w:tc>
        <w:tc>
          <w:tcPr>
            <w:tcW w:w="1240" w:type="dxa"/>
            <w:tcBorders>
              <w:top w:val="nil"/>
              <w:left w:val="nil"/>
              <w:bottom w:val="nil"/>
              <w:right w:val="nil"/>
            </w:tcBorders>
            <w:shd w:val="clear" w:color="auto" w:fill="auto"/>
            <w:vAlign w:val="center"/>
            <w:hideMark/>
          </w:tcPr>
          <w:p w14:paraId="4EE2B58D"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-0.06348</w:t>
            </w:r>
          </w:p>
        </w:tc>
        <w:tc>
          <w:tcPr>
            <w:tcW w:w="1320" w:type="dxa"/>
            <w:tcBorders>
              <w:top w:val="nil"/>
              <w:left w:val="nil"/>
              <w:bottom w:val="nil"/>
              <w:right w:val="nil"/>
            </w:tcBorders>
            <w:shd w:val="clear" w:color="auto" w:fill="auto"/>
            <w:vAlign w:val="center"/>
            <w:hideMark/>
          </w:tcPr>
          <w:p w14:paraId="6A5BC726"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-0.08771</w:t>
            </w:r>
          </w:p>
        </w:tc>
        <w:tc>
          <w:tcPr>
            <w:tcW w:w="1300" w:type="dxa"/>
            <w:tcBorders>
              <w:top w:val="nil"/>
              <w:left w:val="nil"/>
              <w:bottom w:val="nil"/>
              <w:right w:val="nil"/>
            </w:tcBorders>
            <w:shd w:val="clear" w:color="auto" w:fill="auto"/>
            <w:vAlign w:val="center"/>
            <w:hideMark/>
          </w:tcPr>
          <w:p w14:paraId="5DF3F058"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-0.09484</w:t>
            </w:r>
          </w:p>
        </w:tc>
      </w:tr>
      <w:tr w:rsidR="00E672B8" w:rsidRPr="004C186B" w14:paraId="56426282" w14:textId="77777777" w:rsidTr="00417A7C">
        <w:trPr>
          <w:trHeight w:val="276"/>
        </w:trPr>
        <w:tc>
          <w:tcPr>
            <w:tcW w:w="1660" w:type="dxa"/>
            <w:tcBorders>
              <w:top w:val="nil"/>
              <w:left w:val="nil"/>
              <w:bottom w:val="single" w:sz="4" w:space="0" w:color="auto"/>
              <w:right w:val="nil"/>
            </w:tcBorders>
            <w:shd w:val="clear" w:color="auto" w:fill="auto"/>
            <w:vAlign w:val="center"/>
            <w:hideMark/>
          </w:tcPr>
          <w:p w14:paraId="3E32C5EC"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Std. Deviation</w:t>
            </w:r>
          </w:p>
        </w:tc>
        <w:tc>
          <w:tcPr>
            <w:tcW w:w="960" w:type="dxa"/>
            <w:tcBorders>
              <w:top w:val="nil"/>
              <w:left w:val="nil"/>
              <w:bottom w:val="single" w:sz="4" w:space="0" w:color="auto"/>
              <w:right w:val="nil"/>
            </w:tcBorders>
            <w:shd w:val="clear" w:color="auto" w:fill="auto"/>
            <w:vAlign w:val="center"/>
            <w:hideMark/>
          </w:tcPr>
          <w:p w14:paraId="3CDFCA5F"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0.03183</w:t>
            </w:r>
          </w:p>
        </w:tc>
        <w:tc>
          <w:tcPr>
            <w:tcW w:w="960" w:type="dxa"/>
            <w:tcBorders>
              <w:top w:val="nil"/>
              <w:left w:val="nil"/>
              <w:bottom w:val="single" w:sz="4" w:space="0" w:color="auto"/>
              <w:right w:val="nil"/>
            </w:tcBorders>
            <w:shd w:val="clear" w:color="auto" w:fill="auto"/>
            <w:vAlign w:val="center"/>
            <w:hideMark/>
          </w:tcPr>
          <w:p w14:paraId="70637DF8"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0.06461</w:t>
            </w:r>
          </w:p>
        </w:tc>
        <w:tc>
          <w:tcPr>
            <w:tcW w:w="1240" w:type="dxa"/>
            <w:tcBorders>
              <w:top w:val="nil"/>
              <w:left w:val="nil"/>
              <w:bottom w:val="single" w:sz="4" w:space="0" w:color="auto"/>
              <w:right w:val="nil"/>
            </w:tcBorders>
            <w:shd w:val="clear" w:color="auto" w:fill="auto"/>
            <w:vAlign w:val="center"/>
            <w:hideMark/>
          </w:tcPr>
          <w:p w14:paraId="33E47CAB"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0.03689</w:t>
            </w:r>
          </w:p>
        </w:tc>
        <w:tc>
          <w:tcPr>
            <w:tcW w:w="1240" w:type="dxa"/>
            <w:tcBorders>
              <w:top w:val="nil"/>
              <w:left w:val="nil"/>
              <w:bottom w:val="single" w:sz="4" w:space="0" w:color="auto"/>
              <w:right w:val="nil"/>
            </w:tcBorders>
            <w:shd w:val="clear" w:color="auto" w:fill="auto"/>
            <w:vAlign w:val="center"/>
            <w:hideMark/>
          </w:tcPr>
          <w:p w14:paraId="5F8F8369"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0.03821</w:t>
            </w:r>
          </w:p>
        </w:tc>
        <w:tc>
          <w:tcPr>
            <w:tcW w:w="1320" w:type="dxa"/>
            <w:tcBorders>
              <w:top w:val="nil"/>
              <w:left w:val="nil"/>
              <w:bottom w:val="single" w:sz="4" w:space="0" w:color="auto"/>
              <w:right w:val="nil"/>
            </w:tcBorders>
            <w:shd w:val="clear" w:color="auto" w:fill="auto"/>
            <w:vAlign w:val="center"/>
            <w:hideMark/>
          </w:tcPr>
          <w:p w14:paraId="1FB14470"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0.04519</w:t>
            </w:r>
          </w:p>
        </w:tc>
        <w:tc>
          <w:tcPr>
            <w:tcW w:w="1300" w:type="dxa"/>
            <w:tcBorders>
              <w:top w:val="nil"/>
              <w:left w:val="nil"/>
              <w:bottom w:val="single" w:sz="4" w:space="0" w:color="auto"/>
              <w:right w:val="nil"/>
            </w:tcBorders>
            <w:shd w:val="clear" w:color="auto" w:fill="auto"/>
            <w:vAlign w:val="center"/>
            <w:hideMark/>
          </w:tcPr>
          <w:p w14:paraId="6E9B48BD" w14:textId="77777777" w:rsidR="00E672B8" w:rsidRPr="004C186B" w:rsidRDefault="00E672B8" w:rsidP="00417A7C">
            <w:pPr>
              <w:widowControl/>
              <w:jc w:val="center"/>
              <w:rPr>
                <w:rFonts w:ascii="Arial" w:eastAsia="DengXian" w:hAnsi="Arial" w:cs="Arial"/>
                <w:kern w:val="0"/>
                <w:sz w:val="18"/>
                <w:szCs w:val="18"/>
              </w:rPr>
            </w:pPr>
            <w:r w:rsidRPr="004C186B">
              <w:rPr>
                <w:rFonts w:ascii="Arial" w:eastAsia="DengXian" w:hAnsi="Arial" w:cs="Arial"/>
                <w:kern w:val="0"/>
                <w:sz w:val="18"/>
                <w:szCs w:val="18"/>
              </w:rPr>
              <w:t>0.05003</w:t>
            </w:r>
          </w:p>
        </w:tc>
      </w:tr>
    </w:tbl>
    <w:p w14:paraId="4BCA0C23" w14:textId="77777777" w:rsidR="00E672B8" w:rsidRPr="004C186B" w:rsidRDefault="00E672B8" w:rsidP="00E672B8">
      <w:pPr>
        <w:spacing w:before="120" w:line="480" w:lineRule="auto"/>
        <w:rPr>
          <w:sz w:val="18"/>
          <w:szCs w:val="18"/>
        </w:rPr>
      </w:pPr>
    </w:p>
    <w:p w14:paraId="21407EAC" w14:textId="77777777" w:rsidR="00E672B8" w:rsidRPr="00712DDC" w:rsidRDefault="00E672B8" w:rsidP="00E672B8">
      <w:pPr>
        <w:spacing w:before="120" w:line="480" w:lineRule="auto"/>
        <w:rPr>
          <w:rFonts w:ascii="Times New Roman" w:eastAsia="WarnockPro-Regular" w:hAnsi="Times New Roman" w:cs="Times New Roman"/>
          <w:kern w:val="0"/>
          <w:sz w:val="24"/>
          <w:szCs w:val="24"/>
        </w:rPr>
      </w:pPr>
      <w:r w:rsidRPr="00B63714">
        <w:rPr>
          <w:rFonts w:ascii="Times New Roman" w:hAnsi="Times New Roman" w:cs="Times New Roman"/>
          <w:b/>
          <w:bCs/>
          <w:sz w:val="24"/>
          <w:szCs w:val="24"/>
        </w:rPr>
        <w:t xml:space="preserve">Abbreviations: </w:t>
      </w:r>
      <w:r w:rsidRPr="00B63714">
        <w:rPr>
          <w:rFonts w:ascii="Times New Roman" w:hAnsi="Times New Roman" w:cs="Times New Roman"/>
          <w:sz w:val="24"/>
          <w:szCs w:val="24"/>
        </w:rPr>
        <w:t xml:space="preserve">CGD, </w:t>
      </w:r>
      <w:r>
        <w:rPr>
          <w:rFonts w:ascii="Times New Roman" w:hAnsi="Times New Roman" w:cs="Times New Roman"/>
          <w:sz w:val="24"/>
          <w:szCs w:val="24"/>
        </w:rPr>
        <w:t>c</w:t>
      </w:r>
      <w:r w:rsidRPr="00B63714">
        <w:rPr>
          <w:rFonts w:ascii="Times New Roman" w:hAnsi="Times New Roman" w:cs="Times New Roman"/>
          <w:sz w:val="24"/>
          <w:szCs w:val="24"/>
        </w:rPr>
        <w:t xml:space="preserve">hronic granulomatous disease; </w:t>
      </w:r>
      <w:r w:rsidRPr="00B63714">
        <w:rPr>
          <w:rFonts w:ascii="Symbol" w:hAnsi="Symbol" w:cs="Times New Roman"/>
          <w:sz w:val="24"/>
          <w:szCs w:val="24"/>
        </w:rPr>
        <w:t>g</w:t>
      </w:r>
      <w:r w:rsidRPr="00B63714">
        <w:rPr>
          <w:rFonts w:ascii="Times New Roman" w:hAnsi="Times New Roman" w:cs="Times New Roman"/>
          <w:sz w:val="24"/>
          <w:szCs w:val="24"/>
        </w:rPr>
        <w:t>RV, gamma-retroviral vector; LV, lentiviral vector; PRT, protein replacement therapy; FBS, fetal bovine serum; P/S, penicillin/streptomycin; MOI, multiplicities of infection; HSC, hematopoietic stem cell; BM, bone marrow;</w:t>
      </w:r>
      <w:r>
        <w:rPr>
          <w:rFonts w:ascii="Times New Roman" w:hAnsi="Times New Roman" w:cs="Times New Roman"/>
          <w:sz w:val="24"/>
          <w:szCs w:val="24"/>
        </w:rPr>
        <w:t xml:space="preserve"> PBMC, peripheral blood mononuclear cell;</w:t>
      </w:r>
      <w:r w:rsidRPr="00B63714">
        <w:rPr>
          <w:rFonts w:ascii="Times New Roman" w:hAnsi="Times New Roman" w:cs="Times New Roman"/>
          <w:sz w:val="24"/>
          <w:szCs w:val="24"/>
        </w:rPr>
        <w:t xml:space="preserve"> mSCF, mouse stem cell factor; mFL</w:t>
      </w:r>
      <w:r>
        <w:rPr>
          <w:rFonts w:ascii="Times New Roman" w:hAnsi="Times New Roman" w:cs="Times New Roman"/>
          <w:sz w:val="24"/>
          <w:szCs w:val="24"/>
        </w:rPr>
        <w:t>T</w:t>
      </w:r>
      <w:r w:rsidRPr="00B63714">
        <w:rPr>
          <w:rFonts w:ascii="Times New Roman" w:hAnsi="Times New Roman" w:cs="Times New Roman"/>
          <w:sz w:val="24"/>
          <w:szCs w:val="24"/>
        </w:rPr>
        <w:t>3-L, mouse FMS-like tyrosine kinase 3-</w:t>
      </w:r>
      <w:r>
        <w:rPr>
          <w:rFonts w:ascii="Times New Roman" w:hAnsi="Times New Roman" w:cs="Times New Roman"/>
          <w:sz w:val="24"/>
          <w:szCs w:val="24"/>
        </w:rPr>
        <w:t>l</w:t>
      </w:r>
      <w:r w:rsidRPr="00B63714">
        <w:rPr>
          <w:rFonts w:ascii="Times New Roman" w:hAnsi="Times New Roman" w:cs="Times New Roman"/>
          <w:sz w:val="24"/>
          <w:szCs w:val="24"/>
        </w:rPr>
        <w:t xml:space="preserve">igand; mTPO, mouse </w:t>
      </w:r>
      <w:r w:rsidRPr="00B63714">
        <w:rPr>
          <w:rFonts w:ascii="Times New Roman" w:hAnsi="Times New Roman" w:cs="Times New Roman"/>
          <w:sz w:val="24"/>
          <w:szCs w:val="24"/>
        </w:rPr>
        <w:lastRenderedPageBreak/>
        <w:t>thrombopoietin; mIL-6,</w:t>
      </w:r>
      <w:r>
        <w:rPr>
          <w:rFonts w:ascii="Times New Roman" w:hAnsi="Times New Roman" w:cs="Times New Roman"/>
          <w:sz w:val="24"/>
          <w:szCs w:val="24"/>
        </w:rPr>
        <w:t xml:space="preserve"> </w:t>
      </w:r>
      <w:r w:rsidRPr="00B63714">
        <w:rPr>
          <w:rFonts w:ascii="Times New Roman" w:hAnsi="Times New Roman" w:cs="Times New Roman"/>
          <w:sz w:val="24"/>
          <w:szCs w:val="24"/>
        </w:rPr>
        <w:t xml:space="preserve">mouse </w:t>
      </w:r>
      <w:r>
        <w:rPr>
          <w:rFonts w:ascii="Times New Roman" w:hAnsi="Times New Roman" w:cs="Times New Roman"/>
          <w:sz w:val="24"/>
          <w:szCs w:val="24"/>
        </w:rPr>
        <w:t>i</w:t>
      </w:r>
      <w:r w:rsidRPr="00B63714">
        <w:rPr>
          <w:rFonts w:ascii="Times New Roman" w:hAnsi="Times New Roman" w:cs="Times New Roman"/>
          <w:sz w:val="24"/>
          <w:szCs w:val="24"/>
        </w:rPr>
        <w:t>nterleukin-6; mG-CSF, mouse granulocyte colony stimulating factor; gDNA, genomic DNA; qPCR, quantitative polymerase chain reaction; VCN, vector copy number; MFI, mean fluorescence intensity; GFP, green fluorescence protein; DHR123, dihydrorhodamine 123</w:t>
      </w:r>
      <w:r>
        <w:rPr>
          <w:rFonts w:ascii="Times New Roman" w:hAnsi="Times New Roman" w:cs="Times New Roman"/>
          <w:sz w:val="24"/>
          <w:szCs w:val="24"/>
        </w:rPr>
        <w:t xml:space="preserve">; BALF, </w:t>
      </w:r>
      <w:r w:rsidRPr="00B63714">
        <w:rPr>
          <w:rFonts w:ascii="Times New Roman" w:hAnsi="Times New Roman" w:cs="Times New Roman"/>
          <w:sz w:val="24"/>
          <w:szCs w:val="24"/>
        </w:rPr>
        <w:t xml:space="preserve">the broncho-alveolar lavage </w:t>
      </w:r>
      <w:r w:rsidRPr="00B63714">
        <w:rPr>
          <w:rFonts w:ascii="Times New Roman" w:eastAsia="MS Gothic" w:hAnsi="Times New Roman" w:cs="Times New Roman"/>
          <w:sz w:val="24"/>
          <w:szCs w:val="24"/>
        </w:rPr>
        <w:t>ﬂ</w:t>
      </w:r>
      <w:r w:rsidRPr="00B63714">
        <w:rPr>
          <w:rFonts w:ascii="Times New Roman" w:hAnsi="Times New Roman" w:cs="Times New Roman"/>
          <w:sz w:val="24"/>
          <w:szCs w:val="24"/>
        </w:rPr>
        <w:t>uid</w:t>
      </w:r>
      <w:r>
        <w:rPr>
          <w:rFonts w:ascii="Times New Roman" w:hAnsi="Times New Roman" w:cs="Times New Roman"/>
          <w:sz w:val="24"/>
          <w:szCs w:val="24"/>
        </w:rPr>
        <w:t>.</w:t>
      </w:r>
    </w:p>
    <w:p w14:paraId="42484BCD" w14:textId="77777777" w:rsidR="00372C9B" w:rsidRDefault="00E672B8"/>
    <w:sectPr w:rsidR="00372C9B" w:rsidSect="00C85ED9">
      <w:footerReference w:type="even" r:id="rId4"/>
      <w:footerReference w:type="default" r:id="rId5"/>
      <w:pgSz w:w="11906" w:h="16838"/>
      <w:pgMar w:top="1440" w:right="1797" w:bottom="1440" w:left="1797" w:header="851" w:footer="992" w:gutter="0"/>
      <w:lnNumType w:countBy="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arnockPro-Regular">
    <w:altName w:val="Microsoft YaHei"/>
    <w:panose1 w:val="020B0604020202020204"/>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6255603"/>
      <w:docPartObj>
        <w:docPartGallery w:val="Page Numbers (Bottom of Page)"/>
        <w:docPartUnique/>
      </w:docPartObj>
    </w:sdtPr>
    <w:sdtEndPr>
      <w:rPr>
        <w:rStyle w:val="PageNumber"/>
      </w:rPr>
    </w:sdtEndPr>
    <w:sdtContent>
      <w:p w14:paraId="72B946B8" w14:textId="77777777" w:rsidR="00007B3E" w:rsidRDefault="00E672B8" w:rsidP="00753D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AF8F4" w14:textId="77777777" w:rsidR="00007B3E" w:rsidRDefault="00E672B8" w:rsidP="00007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2"/>
        <w:szCs w:val="22"/>
      </w:rPr>
      <w:id w:val="704452988"/>
      <w:docPartObj>
        <w:docPartGallery w:val="Page Numbers (Bottom of Page)"/>
        <w:docPartUnique/>
      </w:docPartObj>
    </w:sdtPr>
    <w:sdtEndPr>
      <w:rPr>
        <w:rStyle w:val="PageNumber"/>
      </w:rPr>
    </w:sdtEndPr>
    <w:sdtContent>
      <w:p w14:paraId="37D06EFA" w14:textId="77777777" w:rsidR="00007B3E" w:rsidRPr="00007B3E" w:rsidRDefault="00E672B8" w:rsidP="00306F23">
        <w:pPr>
          <w:pStyle w:val="Footer"/>
          <w:framePr w:wrap="none" w:vAnchor="text" w:hAnchor="page" w:x="10340" w:y="-1"/>
          <w:rPr>
            <w:rStyle w:val="PageNumber"/>
            <w:rFonts w:ascii="Times New Roman" w:hAnsi="Times New Roman" w:cs="Times New Roman"/>
            <w:sz w:val="22"/>
            <w:szCs w:val="22"/>
          </w:rPr>
        </w:pPr>
        <w:r w:rsidRPr="00007B3E">
          <w:rPr>
            <w:rStyle w:val="PageNumber"/>
            <w:rFonts w:ascii="Times New Roman" w:hAnsi="Times New Roman" w:cs="Times New Roman"/>
            <w:sz w:val="22"/>
            <w:szCs w:val="22"/>
          </w:rPr>
          <w:fldChar w:fldCharType="begin"/>
        </w:r>
        <w:r w:rsidRPr="00007B3E">
          <w:rPr>
            <w:rStyle w:val="PageNumber"/>
            <w:rFonts w:ascii="Times New Roman" w:hAnsi="Times New Roman" w:cs="Times New Roman"/>
            <w:sz w:val="22"/>
            <w:szCs w:val="22"/>
          </w:rPr>
          <w:instrText xml:space="preserve"> PAGE </w:instrText>
        </w:r>
        <w:r w:rsidRPr="00007B3E">
          <w:rPr>
            <w:rStyle w:val="PageNumber"/>
            <w:rFonts w:ascii="Times New Roman" w:hAnsi="Times New Roman" w:cs="Times New Roman"/>
            <w:sz w:val="22"/>
            <w:szCs w:val="22"/>
          </w:rPr>
          <w:fldChar w:fldCharType="separate"/>
        </w:r>
        <w:r w:rsidRPr="00007B3E">
          <w:rPr>
            <w:rStyle w:val="PageNumber"/>
            <w:rFonts w:ascii="Times New Roman" w:hAnsi="Times New Roman" w:cs="Times New Roman"/>
            <w:noProof/>
            <w:sz w:val="22"/>
            <w:szCs w:val="22"/>
          </w:rPr>
          <w:t>1</w:t>
        </w:r>
        <w:r w:rsidRPr="00007B3E">
          <w:rPr>
            <w:rStyle w:val="PageNumber"/>
            <w:rFonts w:ascii="Times New Roman" w:hAnsi="Times New Roman" w:cs="Times New Roman"/>
            <w:sz w:val="22"/>
            <w:szCs w:val="22"/>
          </w:rPr>
          <w:fldChar w:fldCharType="end"/>
        </w:r>
      </w:p>
    </w:sdtContent>
  </w:sdt>
  <w:p w14:paraId="523E34D3" w14:textId="77777777" w:rsidR="00007B3E" w:rsidRDefault="00E672B8" w:rsidP="00007B3E">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2B8"/>
    <w:rsid w:val="00002CB4"/>
    <w:rsid w:val="00002E51"/>
    <w:rsid w:val="00011C84"/>
    <w:rsid w:val="000277E8"/>
    <w:rsid w:val="00033718"/>
    <w:rsid w:val="000428DB"/>
    <w:rsid w:val="00044E21"/>
    <w:rsid w:val="00066221"/>
    <w:rsid w:val="0008575C"/>
    <w:rsid w:val="00094105"/>
    <w:rsid w:val="000A7E84"/>
    <w:rsid w:val="000B4783"/>
    <w:rsid w:val="000C0160"/>
    <w:rsid w:val="000C6A76"/>
    <w:rsid w:val="000D335C"/>
    <w:rsid w:val="000E1790"/>
    <w:rsid w:val="000E52BE"/>
    <w:rsid w:val="0010349A"/>
    <w:rsid w:val="00103BBB"/>
    <w:rsid w:val="00107877"/>
    <w:rsid w:val="00111600"/>
    <w:rsid w:val="00111EB4"/>
    <w:rsid w:val="00120385"/>
    <w:rsid w:val="00123627"/>
    <w:rsid w:val="0012575E"/>
    <w:rsid w:val="00126A8B"/>
    <w:rsid w:val="00130A01"/>
    <w:rsid w:val="00136052"/>
    <w:rsid w:val="00140FA6"/>
    <w:rsid w:val="00146143"/>
    <w:rsid w:val="00151239"/>
    <w:rsid w:val="00151744"/>
    <w:rsid w:val="00153854"/>
    <w:rsid w:val="00173EE6"/>
    <w:rsid w:val="00176D23"/>
    <w:rsid w:val="00176DF5"/>
    <w:rsid w:val="00182DED"/>
    <w:rsid w:val="0019243B"/>
    <w:rsid w:val="001949FE"/>
    <w:rsid w:val="001A4628"/>
    <w:rsid w:val="001A7F4A"/>
    <w:rsid w:val="001B34BF"/>
    <w:rsid w:val="001C1B9A"/>
    <w:rsid w:val="001C21E9"/>
    <w:rsid w:val="001C2AEE"/>
    <w:rsid w:val="001C4DCB"/>
    <w:rsid w:val="001D2626"/>
    <w:rsid w:val="001E3580"/>
    <w:rsid w:val="001E36B5"/>
    <w:rsid w:val="001E6A1F"/>
    <w:rsid w:val="001F2B3D"/>
    <w:rsid w:val="001F4911"/>
    <w:rsid w:val="002003CD"/>
    <w:rsid w:val="00202938"/>
    <w:rsid w:val="00204C32"/>
    <w:rsid w:val="00205BE4"/>
    <w:rsid w:val="00217086"/>
    <w:rsid w:val="00225BFD"/>
    <w:rsid w:val="00226424"/>
    <w:rsid w:val="00237724"/>
    <w:rsid w:val="00242596"/>
    <w:rsid w:val="00243395"/>
    <w:rsid w:val="0025033B"/>
    <w:rsid w:val="002779FD"/>
    <w:rsid w:val="00282DE9"/>
    <w:rsid w:val="0029495F"/>
    <w:rsid w:val="00294BB4"/>
    <w:rsid w:val="002953CD"/>
    <w:rsid w:val="0029698A"/>
    <w:rsid w:val="002A5C51"/>
    <w:rsid w:val="002A667C"/>
    <w:rsid w:val="002B01DD"/>
    <w:rsid w:val="002B785C"/>
    <w:rsid w:val="002C744C"/>
    <w:rsid w:val="002E2B19"/>
    <w:rsid w:val="002E2F36"/>
    <w:rsid w:val="002E4CAF"/>
    <w:rsid w:val="002F2552"/>
    <w:rsid w:val="002F5BAD"/>
    <w:rsid w:val="00303B7E"/>
    <w:rsid w:val="00306BA5"/>
    <w:rsid w:val="00325875"/>
    <w:rsid w:val="003337B4"/>
    <w:rsid w:val="00337B16"/>
    <w:rsid w:val="00352B33"/>
    <w:rsid w:val="00360DFD"/>
    <w:rsid w:val="003652CC"/>
    <w:rsid w:val="00366B94"/>
    <w:rsid w:val="00385BF9"/>
    <w:rsid w:val="003B2C33"/>
    <w:rsid w:val="003C2B6D"/>
    <w:rsid w:val="003C59C5"/>
    <w:rsid w:val="003F0111"/>
    <w:rsid w:val="003F0A5E"/>
    <w:rsid w:val="003F77CD"/>
    <w:rsid w:val="004071FA"/>
    <w:rsid w:val="004114A5"/>
    <w:rsid w:val="0041432F"/>
    <w:rsid w:val="004163C2"/>
    <w:rsid w:val="00425569"/>
    <w:rsid w:val="004315E8"/>
    <w:rsid w:val="004333A1"/>
    <w:rsid w:val="00437261"/>
    <w:rsid w:val="0047203D"/>
    <w:rsid w:val="004A5DEB"/>
    <w:rsid w:val="004C1F1A"/>
    <w:rsid w:val="004C3BCC"/>
    <w:rsid w:val="004D144C"/>
    <w:rsid w:val="004E2F39"/>
    <w:rsid w:val="004E65E0"/>
    <w:rsid w:val="004F68C5"/>
    <w:rsid w:val="004F6B75"/>
    <w:rsid w:val="00505269"/>
    <w:rsid w:val="0051160F"/>
    <w:rsid w:val="00522FB5"/>
    <w:rsid w:val="005269C8"/>
    <w:rsid w:val="00531E57"/>
    <w:rsid w:val="00540DDC"/>
    <w:rsid w:val="00540F04"/>
    <w:rsid w:val="00544AC2"/>
    <w:rsid w:val="00547908"/>
    <w:rsid w:val="00555AEE"/>
    <w:rsid w:val="005561C2"/>
    <w:rsid w:val="0056471A"/>
    <w:rsid w:val="005754C0"/>
    <w:rsid w:val="005831FB"/>
    <w:rsid w:val="00593579"/>
    <w:rsid w:val="00594FCB"/>
    <w:rsid w:val="005A1A63"/>
    <w:rsid w:val="005A2F34"/>
    <w:rsid w:val="005A3F35"/>
    <w:rsid w:val="005A4060"/>
    <w:rsid w:val="005D614F"/>
    <w:rsid w:val="005E0493"/>
    <w:rsid w:val="005E3429"/>
    <w:rsid w:val="005F0847"/>
    <w:rsid w:val="005F7755"/>
    <w:rsid w:val="006038A5"/>
    <w:rsid w:val="00603B05"/>
    <w:rsid w:val="00610DE9"/>
    <w:rsid w:val="006139D7"/>
    <w:rsid w:val="006247B7"/>
    <w:rsid w:val="00625C85"/>
    <w:rsid w:val="00625E38"/>
    <w:rsid w:val="006307FF"/>
    <w:rsid w:val="00644659"/>
    <w:rsid w:val="006466E4"/>
    <w:rsid w:val="00647671"/>
    <w:rsid w:val="006503D8"/>
    <w:rsid w:val="00662EA8"/>
    <w:rsid w:val="00663016"/>
    <w:rsid w:val="00672C8B"/>
    <w:rsid w:val="00681790"/>
    <w:rsid w:val="00682AD1"/>
    <w:rsid w:val="00696776"/>
    <w:rsid w:val="006A0E1F"/>
    <w:rsid w:val="006A46FA"/>
    <w:rsid w:val="006B0380"/>
    <w:rsid w:val="006E0D09"/>
    <w:rsid w:val="006E3630"/>
    <w:rsid w:val="006E3A83"/>
    <w:rsid w:val="006F4417"/>
    <w:rsid w:val="006F76C3"/>
    <w:rsid w:val="00702AE9"/>
    <w:rsid w:val="00715067"/>
    <w:rsid w:val="007337F8"/>
    <w:rsid w:val="00737D8D"/>
    <w:rsid w:val="00740CE7"/>
    <w:rsid w:val="00743257"/>
    <w:rsid w:val="007453A0"/>
    <w:rsid w:val="00746AE2"/>
    <w:rsid w:val="00746B86"/>
    <w:rsid w:val="00781D99"/>
    <w:rsid w:val="0079210F"/>
    <w:rsid w:val="00795D82"/>
    <w:rsid w:val="007B1F60"/>
    <w:rsid w:val="007D532B"/>
    <w:rsid w:val="007F4043"/>
    <w:rsid w:val="00822F38"/>
    <w:rsid w:val="00836CAF"/>
    <w:rsid w:val="00852C74"/>
    <w:rsid w:val="00855341"/>
    <w:rsid w:val="008579DE"/>
    <w:rsid w:val="00861A8E"/>
    <w:rsid w:val="0088413C"/>
    <w:rsid w:val="00886B6A"/>
    <w:rsid w:val="008A0929"/>
    <w:rsid w:val="008B22D4"/>
    <w:rsid w:val="008C461A"/>
    <w:rsid w:val="008C6FDC"/>
    <w:rsid w:val="008D4888"/>
    <w:rsid w:val="008E3245"/>
    <w:rsid w:val="008E7177"/>
    <w:rsid w:val="009023EC"/>
    <w:rsid w:val="0090475A"/>
    <w:rsid w:val="00917490"/>
    <w:rsid w:val="009316B7"/>
    <w:rsid w:val="00937027"/>
    <w:rsid w:val="00965901"/>
    <w:rsid w:val="00976229"/>
    <w:rsid w:val="00983264"/>
    <w:rsid w:val="009A34BD"/>
    <w:rsid w:val="009B1C99"/>
    <w:rsid w:val="009B347A"/>
    <w:rsid w:val="009B6DE0"/>
    <w:rsid w:val="009C41C8"/>
    <w:rsid w:val="009D3346"/>
    <w:rsid w:val="009D6034"/>
    <w:rsid w:val="009E0D2F"/>
    <w:rsid w:val="009E31CC"/>
    <w:rsid w:val="009F006F"/>
    <w:rsid w:val="00A01C26"/>
    <w:rsid w:val="00A102F7"/>
    <w:rsid w:val="00A24B64"/>
    <w:rsid w:val="00A266B0"/>
    <w:rsid w:val="00A42ECA"/>
    <w:rsid w:val="00A63F3B"/>
    <w:rsid w:val="00A96B42"/>
    <w:rsid w:val="00AA020A"/>
    <w:rsid w:val="00AA4E0A"/>
    <w:rsid w:val="00AB24B1"/>
    <w:rsid w:val="00AB4EBE"/>
    <w:rsid w:val="00AB5B0D"/>
    <w:rsid w:val="00AC2584"/>
    <w:rsid w:val="00AC6A3C"/>
    <w:rsid w:val="00AF1B41"/>
    <w:rsid w:val="00AF501F"/>
    <w:rsid w:val="00AF5B46"/>
    <w:rsid w:val="00B02AA7"/>
    <w:rsid w:val="00B06129"/>
    <w:rsid w:val="00B20E21"/>
    <w:rsid w:val="00B422BB"/>
    <w:rsid w:val="00B46C2E"/>
    <w:rsid w:val="00B556F6"/>
    <w:rsid w:val="00B7020B"/>
    <w:rsid w:val="00B91D7B"/>
    <w:rsid w:val="00B96746"/>
    <w:rsid w:val="00BB69EF"/>
    <w:rsid w:val="00BB7303"/>
    <w:rsid w:val="00BB73C7"/>
    <w:rsid w:val="00BD28F0"/>
    <w:rsid w:val="00BE07C8"/>
    <w:rsid w:val="00C22C8D"/>
    <w:rsid w:val="00C26D6A"/>
    <w:rsid w:val="00C33DDC"/>
    <w:rsid w:val="00C4576E"/>
    <w:rsid w:val="00C64CC8"/>
    <w:rsid w:val="00C65593"/>
    <w:rsid w:val="00C74F92"/>
    <w:rsid w:val="00C76FA0"/>
    <w:rsid w:val="00C84966"/>
    <w:rsid w:val="00C860A3"/>
    <w:rsid w:val="00C8621C"/>
    <w:rsid w:val="00C867F7"/>
    <w:rsid w:val="00C976F5"/>
    <w:rsid w:val="00CA1003"/>
    <w:rsid w:val="00CA42B5"/>
    <w:rsid w:val="00CC35F2"/>
    <w:rsid w:val="00CF5A4C"/>
    <w:rsid w:val="00D1402D"/>
    <w:rsid w:val="00D14AB6"/>
    <w:rsid w:val="00D14F59"/>
    <w:rsid w:val="00D22468"/>
    <w:rsid w:val="00D30A6D"/>
    <w:rsid w:val="00D34AF5"/>
    <w:rsid w:val="00D41297"/>
    <w:rsid w:val="00D43E34"/>
    <w:rsid w:val="00D61397"/>
    <w:rsid w:val="00D62113"/>
    <w:rsid w:val="00D63428"/>
    <w:rsid w:val="00D65354"/>
    <w:rsid w:val="00D84D87"/>
    <w:rsid w:val="00D95C43"/>
    <w:rsid w:val="00DA4EE6"/>
    <w:rsid w:val="00DA696D"/>
    <w:rsid w:val="00DB06E3"/>
    <w:rsid w:val="00DB644E"/>
    <w:rsid w:val="00DD3473"/>
    <w:rsid w:val="00DF6BBB"/>
    <w:rsid w:val="00DF7AB7"/>
    <w:rsid w:val="00E06D74"/>
    <w:rsid w:val="00E256C1"/>
    <w:rsid w:val="00E36B59"/>
    <w:rsid w:val="00E45438"/>
    <w:rsid w:val="00E45D28"/>
    <w:rsid w:val="00E53AB3"/>
    <w:rsid w:val="00E63059"/>
    <w:rsid w:val="00E63548"/>
    <w:rsid w:val="00E63600"/>
    <w:rsid w:val="00E64FE9"/>
    <w:rsid w:val="00E672B8"/>
    <w:rsid w:val="00E67D26"/>
    <w:rsid w:val="00E83561"/>
    <w:rsid w:val="00E91972"/>
    <w:rsid w:val="00E92028"/>
    <w:rsid w:val="00E94437"/>
    <w:rsid w:val="00E944FD"/>
    <w:rsid w:val="00EA2D04"/>
    <w:rsid w:val="00EA2E79"/>
    <w:rsid w:val="00EB33ED"/>
    <w:rsid w:val="00EB6F2E"/>
    <w:rsid w:val="00ED530C"/>
    <w:rsid w:val="00EE4CBB"/>
    <w:rsid w:val="00EF203F"/>
    <w:rsid w:val="00F04DC9"/>
    <w:rsid w:val="00F13429"/>
    <w:rsid w:val="00F21A55"/>
    <w:rsid w:val="00F30CE3"/>
    <w:rsid w:val="00F343AE"/>
    <w:rsid w:val="00F374CF"/>
    <w:rsid w:val="00F50599"/>
    <w:rsid w:val="00F52D36"/>
    <w:rsid w:val="00F539C0"/>
    <w:rsid w:val="00F60D7D"/>
    <w:rsid w:val="00F666E1"/>
    <w:rsid w:val="00F72639"/>
    <w:rsid w:val="00F74AB4"/>
    <w:rsid w:val="00F77BFB"/>
    <w:rsid w:val="00F80BF3"/>
    <w:rsid w:val="00FB477C"/>
    <w:rsid w:val="00FB7F4A"/>
    <w:rsid w:val="00FC4BEC"/>
    <w:rsid w:val="00FC4D12"/>
    <w:rsid w:val="00FD25A7"/>
    <w:rsid w:val="00FD5EB3"/>
    <w:rsid w:val="00FE1CC7"/>
    <w:rsid w:val="00FE1CF9"/>
    <w:rsid w:val="00FE6915"/>
    <w:rsid w:val="00FF35F4"/>
    <w:rsid w:val="00FF7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B1C3DA"/>
  <w15:chartTrackingRefBased/>
  <w15:docId w15:val="{07985B47-2832-AB48-A782-9C933772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2B8"/>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72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672B8"/>
    <w:rPr>
      <w:kern w:val="2"/>
      <w:sz w:val="18"/>
      <w:szCs w:val="18"/>
    </w:rPr>
  </w:style>
  <w:style w:type="character" w:styleId="PageNumber">
    <w:name w:val="page number"/>
    <w:basedOn w:val="DefaultParagraphFont"/>
    <w:uiPriority w:val="99"/>
    <w:semiHidden/>
    <w:unhideWhenUsed/>
    <w:rsid w:val="00E672B8"/>
  </w:style>
  <w:style w:type="character" w:styleId="LineNumber">
    <w:name w:val="line number"/>
    <w:basedOn w:val="DefaultParagraphFont"/>
    <w:uiPriority w:val="99"/>
    <w:semiHidden/>
    <w:unhideWhenUsed/>
    <w:rsid w:val="00E67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2679</Characters>
  <Application>Microsoft Office Word</Application>
  <DocSecurity>0</DocSecurity>
  <Lines>22</Lines>
  <Paragraphs>6</Paragraphs>
  <ScaleCrop>false</ScaleCrop>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Chang,Lung-Ji</dc:creator>
  <cp:keywords/>
  <dc:description/>
  <cp:lastModifiedBy>Chang,Lung-Ji</cp:lastModifiedBy>
  <cp:revision>1</cp:revision>
  <dcterms:created xsi:type="dcterms:W3CDTF">2023-01-26T02:44:00Z</dcterms:created>
  <dcterms:modified xsi:type="dcterms:W3CDTF">2023-01-26T02:44:00Z</dcterms:modified>
</cp:coreProperties>
</file>