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F0B9E" w14:textId="77777777" w:rsidR="0032272F" w:rsidRPr="00CA334F" w:rsidRDefault="0032272F" w:rsidP="0032272F">
      <w:pPr>
        <w:rPr>
          <w:rFonts w:asciiTheme="majorBidi" w:eastAsia="AdvEPSTIM" w:hAnsiTheme="majorBidi" w:cstheme="majorBidi"/>
          <w:color w:val="000000"/>
          <w:sz w:val="20"/>
          <w:szCs w:val="20"/>
        </w:rPr>
      </w:pPr>
      <w:r w:rsidRPr="00821737">
        <w:rPr>
          <w:rFonts w:asciiTheme="majorBidi" w:eastAsia="AdvEPSTIM" w:hAnsiTheme="majorBidi" w:cstheme="majorBidi"/>
          <w:b/>
          <w:bCs/>
          <w:color w:val="000000"/>
          <w:sz w:val="20"/>
          <w:szCs w:val="20"/>
        </w:rPr>
        <w:t>Supplementary table 1</w:t>
      </w:r>
      <w:r w:rsidRPr="00CA334F">
        <w:rPr>
          <w:rFonts w:asciiTheme="majorBidi" w:eastAsia="AdvEPSTIM" w:hAnsiTheme="majorBidi" w:cstheme="majorBidi"/>
          <w:color w:val="000000"/>
          <w:sz w:val="20"/>
          <w:szCs w:val="20"/>
        </w:rPr>
        <w:t xml:space="preserve"> - Neurological symptoms and/or signs at disease presentation. A symptomatic score was calculated by the sum of all variables</w:t>
      </w: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2272F" w:rsidRPr="00CA334F" w14:paraId="797BA1B4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3FFD74EE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Headaches </w:t>
            </w:r>
          </w:p>
        </w:tc>
      </w:tr>
      <w:tr w:rsidR="0032272F" w:rsidRPr="00CA334F" w14:paraId="2D6B241B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16F76F07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Red flag 1-awakens from sleep</w:t>
            </w:r>
          </w:p>
        </w:tc>
      </w:tr>
      <w:tr w:rsidR="0032272F" w:rsidRPr="00CA334F" w14:paraId="0C627BE0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0254DB02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Red flag 2-vomiting   </w:t>
            </w:r>
          </w:p>
        </w:tc>
      </w:tr>
      <w:tr w:rsidR="0032272F" w:rsidRPr="00CA334F" w14:paraId="0BC5BFE8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3936F0EE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Red flag 3-morning headaches</w:t>
            </w:r>
          </w:p>
        </w:tc>
      </w:tr>
      <w:tr w:rsidR="0032272F" w:rsidRPr="00CA334F" w14:paraId="47773232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3C5FEF96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Dizziness </w:t>
            </w:r>
          </w:p>
        </w:tc>
      </w:tr>
      <w:tr w:rsidR="0032272F" w:rsidRPr="00CA334F" w14:paraId="61B929C2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42CD86CC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Reported visual impairment (loss of peripheral vision or blurred vision)</w:t>
            </w:r>
          </w:p>
        </w:tc>
      </w:tr>
      <w:tr w:rsidR="0032272F" w:rsidRPr="00CA334F" w14:paraId="37A89A99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1783D5AA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Transient visual obscurations</w:t>
            </w:r>
          </w:p>
        </w:tc>
      </w:tr>
      <w:tr w:rsidR="0032272F" w:rsidRPr="00CA334F" w14:paraId="5854C5F1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5A3FB021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Tinnitus</w:t>
            </w:r>
          </w:p>
        </w:tc>
      </w:tr>
      <w:tr w:rsidR="0032272F" w:rsidRPr="00CA334F" w14:paraId="2D556191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473A943A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Evidence of VI nerve palsy</w:t>
            </w:r>
          </w:p>
        </w:tc>
      </w:tr>
      <w:tr w:rsidR="0032272F" w:rsidRPr="00CA334F" w14:paraId="18658598" w14:textId="77777777" w:rsidTr="00512A28">
        <w:trPr>
          <w:trHeight w:val="280"/>
          <w:jc w:val="right"/>
        </w:trPr>
        <w:tc>
          <w:tcPr>
            <w:tcW w:w="5000" w:type="pct"/>
            <w:shd w:val="clear" w:color="000000" w:fill="F2F2F2"/>
            <w:noWrap/>
            <w:vAlign w:val="bottom"/>
            <w:hideMark/>
          </w:tcPr>
          <w:p w14:paraId="3F8CD21D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Photophobia and/or phonophobia </w:t>
            </w:r>
          </w:p>
        </w:tc>
      </w:tr>
    </w:tbl>
    <w:p w14:paraId="09C2D0A5" w14:textId="77777777" w:rsidR="0032272F" w:rsidRPr="00CA334F" w:rsidRDefault="0032272F" w:rsidP="0032272F">
      <w:pPr>
        <w:rPr>
          <w:rFonts w:asciiTheme="majorBidi" w:eastAsia="AdvEPSTIM" w:hAnsiTheme="majorBidi" w:cstheme="majorBidi"/>
          <w:color w:val="000000"/>
          <w:sz w:val="20"/>
          <w:szCs w:val="20"/>
        </w:rPr>
      </w:pPr>
    </w:p>
    <w:p w14:paraId="11CAF4CE" w14:textId="77777777" w:rsidR="0032272F" w:rsidRPr="00CA334F" w:rsidRDefault="0032272F" w:rsidP="0032272F">
      <w:pPr>
        <w:rPr>
          <w:rFonts w:asciiTheme="majorBidi" w:eastAsia="AdvEPSTIM" w:hAnsiTheme="majorBidi" w:cstheme="majorBidi"/>
          <w:color w:val="000000"/>
          <w:sz w:val="20"/>
          <w:szCs w:val="20"/>
        </w:rPr>
      </w:pPr>
      <w:r w:rsidRPr="00821737">
        <w:rPr>
          <w:rFonts w:asciiTheme="majorBidi" w:eastAsia="AdvEPSTIM" w:hAnsiTheme="majorBidi" w:cstheme="majorBidi"/>
          <w:b/>
          <w:bCs/>
          <w:color w:val="000000"/>
          <w:sz w:val="20"/>
          <w:szCs w:val="20"/>
        </w:rPr>
        <w:t>Supplementary Table 2</w:t>
      </w:r>
      <w:r w:rsidRPr="00CA334F">
        <w:rPr>
          <w:rFonts w:asciiTheme="majorBidi" w:eastAsia="AdvEPSTIM" w:hAnsiTheme="majorBidi" w:cstheme="majorBidi"/>
          <w:color w:val="000000"/>
          <w:sz w:val="20"/>
          <w:szCs w:val="20"/>
        </w:rPr>
        <w:t xml:space="preserve"> – list of radiological signs suggestive of increased ICP (MRI-ICP) </w:t>
      </w:r>
    </w:p>
    <w:p w14:paraId="321E326B" w14:textId="77777777" w:rsidR="0032272F" w:rsidRPr="00CA334F" w:rsidRDefault="0032272F" w:rsidP="0032272F">
      <w:pPr>
        <w:rPr>
          <w:rFonts w:asciiTheme="majorBidi" w:eastAsia="AdvEPSTIM" w:hAnsiTheme="majorBidi" w:cstheme="majorBidi"/>
          <w:color w:val="000000"/>
          <w:sz w:val="20"/>
          <w:szCs w:val="20"/>
        </w:rPr>
      </w:pPr>
      <w:r w:rsidRPr="00CA334F">
        <w:rPr>
          <w:rFonts w:asciiTheme="majorBidi" w:eastAsia="AdvEPSTIM" w:hAnsiTheme="majorBidi" w:cstheme="majorBidi"/>
          <w:color w:val="000000"/>
          <w:sz w:val="20"/>
          <w:szCs w:val="20"/>
        </w:rPr>
        <w:t>An MR-ICP score was calculated by the sum of all variables</w:t>
      </w:r>
    </w:p>
    <w:tbl>
      <w:tblPr>
        <w:bidiVisual/>
        <w:tblW w:w="500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9356"/>
      </w:tblGrid>
      <w:tr w:rsidR="0032272F" w:rsidRPr="00CA334F" w14:paraId="2D08BF60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4B80F375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Empty </w:t>
            </w:r>
            <w:proofErr w:type="spellStart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sella</w:t>
            </w:r>
            <w:proofErr w:type="spellEnd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 w:rsidR="0032272F" w:rsidRPr="00CA334F" w14:paraId="4C2D16D2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43A2809E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Flattening of the </w:t>
            </w:r>
            <w:proofErr w:type="spellStart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sella</w:t>
            </w:r>
            <w:proofErr w:type="spellEnd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 or partially empty </w:t>
            </w:r>
            <w:proofErr w:type="spellStart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sella</w:t>
            </w:r>
            <w:proofErr w:type="spellEnd"/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 turcica  </w:t>
            </w:r>
          </w:p>
        </w:tc>
      </w:tr>
      <w:tr w:rsidR="0032272F" w:rsidRPr="00CA334F" w14:paraId="14404E07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78D165EE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Intraocular protrusion of the optic nerve head without or with abnormal contrast enhancement</w:t>
            </w:r>
          </w:p>
        </w:tc>
      </w:tr>
      <w:tr w:rsidR="0032272F" w:rsidRPr="00CA334F" w14:paraId="0FD29F20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01FE320C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Flattening of the posterior aspect of the globe</w:t>
            </w:r>
          </w:p>
        </w:tc>
      </w:tr>
      <w:tr w:rsidR="0032272F" w:rsidRPr="00CA334F" w14:paraId="14F3D48A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1E2F3AEA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Distention of the periodic subarachnoid space (0=normal, 1=unilateral, 2-bilateral)</w:t>
            </w:r>
          </w:p>
        </w:tc>
      </w:tr>
      <w:tr w:rsidR="0032272F" w:rsidRPr="00CA334F" w14:paraId="0DFEBF14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692D6814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Tortuous optic nerve</w:t>
            </w:r>
          </w:p>
        </w:tc>
      </w:tr>
      <w:tr w:rsidR="0032272F" w:rsidRPr="00CA334F" w14:paraId="57DC6E56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00F526C1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 xml:space="preserve">Skull base meningoceles/encephaloceles </w:t>
            </w:r>
          </w:p>
        </w:tc>
      </w:tr>
      <w:tr w:rsidR="0032272F" w:rsidRPr="00CA334F" w14:paraId="143841CE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3E81CA3C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Enlargement/meningoceles of the Meckel cave  </w:t>
            </w:r>
          </w:p>
        </w:tc>
      </w:tr>
      <w:tr w:rsidR="0032272F" w:rsidRPr="00CA334F" w14:paraId="5C1F3AEF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4D4145CA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Lower cerebellar tonsillar position</w:t>
            </w:r>
          </w:p>
        </w:tc>
      </w:tr>
      <w:tr w:rsidR="0032272F" w:rsidRPr="00CA334F" w14:paraId="61C7A4FE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3524D9E3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vascular-dominant venous circulation obstruction (side of obstruction- left/right)</w:t>
            </w:r>
          </w:p>
        </w:tc>
      </w:tr>
      <w:tr w:rsidR="0032272F" w:rsidRPr="00CA334F" w14:paraId="11A9EA01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431181B6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giant arachnoid granulation</w:t>
            </w:r>
          </w:p>
        </w:tc>
      </w:tr>
      <w:tr w:rsidR="0032272F" w:rsidRPr="00CA334F" w14:paraId="3C4163E6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3E82D565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opening of collateral circulation</w:t>
            </w:r>
          </w:p>
        </w:tc>
      </w:tr>
      <w:tr w:rsidR="0032272F" w:rsidRPr="00CA334F" w14:paraId="750D8D5C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33A25116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narrowing of one or both distal transverse venous sinuses</w:t>
            </w:r>
          </w:p>
        </w:tc>
      </w:tr>
      <w:tr w:rsidR="0032272F" w:rsidRPr="00CA334F" w14:paraId="06BAE52C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23F4F07E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sigmoid sinuses narrowing or obstruction</w:t>
            </w:r>
          </w:p>
        </w:tc>
      </w:tr>
      <w:tr w:rsidR="0032272F" w:rsidRPr="00CA334F" w14:paraId="6E05E18B" w14:textId="77777777" w:rsidTr="00512A28">
        <w:trPr>
          <w:trHeight w:val="280"/>
          <w:jc w:val="right"/>
        </w:trPr>
        <w:tc>
          <w:tcPr>
            <w:tcW w:w="5000" w:type="pct"/>
            <w:shd w:val="pct5" w:color="auto" w:fill="auto"/>
            <w:noWrap/>
            <w:vAlign w:val="bottom"/>
            <w:hideMark/>
          </w:tcPr>
          <w:p w14:paraId="4AF682D4" w14:textId="77777777" w:rsidR="0032272F" w:rsidRPr="00CA334F" w:rsidRDefault="0032272F" w:rsidP="00512A28">
            <w:pPr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</w:pPr>
            <w:r w:rsidRPr="00CA334F">
              <w:rPr>
                <w:rFonts w:asciiTheme="majorBidi" w:eastAsia="AdvEPSTIM" w:hAnsiTheme="majorBidi" w:cstheme="majorBidi"/>
                <w:color w:val="000000"/>
                <w:sz w:val="20"/>
                <w:szCs w:val="20"/>
              </w:rPr>
              <w:t>MRV: jugular foramen stenosis</w:t>
            </w:r>
          </w:p>
        </w:tc>
      </w:tr>
    </w:tbl>
    <w:p w14:paraId="6FD7E1D8" w14:textId="72AA8C3A" w:rsidR="00AD1398" w:rsidRDefault="0032272F">
      <w:r w:rsidRPr="00CA334F">
        <w:rPr>
          <w:rFonts w:asciiTheme="majorBidi" w:eastAsia="AdvEPSTIM" w:hAnsiTheme="majorBidi" w:cstheme="majorBidi"/>
          <w:color w:val="000000"/>
          <w:sz w:val="20"/>
          <w:szCs w:val="20"/>
        </w:rPr>
        <w:t>ICP- Intracerebral pressure; MRI- Magnetic resonance imaging; MRV- Ma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PSTI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2F"/>
    <w:rsid w:val="0032272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8FB6"/>
  <w15:chartTrackingRefBased/>
  <w15:docId w15:val="{128BC318-4A37-4C88-ADB1-63C725D6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>Springer Nature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2023-01-30T10:21:00Z</dcterms:created>
  <dcterms:modified xsi:type="dcterms:W3CDTF">2023-01-30T10:22:00Z</dcterms:modified>
</cp:coreProperties>
</file>