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1BB2F" w14:textId="77777777" w:rsidR="00881920" w:rsidRDefault="00881920" w:rsidP="00881920">
      <w:pPr>
        <w:keepNext/>
        <w:spacing w:after="0"/>
        <w:jc w:val="left"/>
        <w:rPr>
          <w:lang w:val="en-GB"/>
        </w:rPr>
      </w:pPr>
      <w:r>
        <w:rPr>
          <w:b/>
          <w:lang w:val="en-GB"/>
        </w:rPr>
        <w:t>Table</w:t>
      </w:r>
      <w:r w:rsidRPr="006D0DAC">
        <w:rPr>
          <w:b/>
          <w:lang w:val="en-GB"/>
        </w:rPr>
        <w:t xml:space="preserve"> 1</w:t>
      </w:r>
      <w:r>
        <w:rPr>
          <w:lang w:val="en-GB"/>
        </w:rPr>
        <w:t xml:space="preserve"> Capital requirements of the banking sector in the EU</w:t>
      </w:r>
    </w:p>
    <w:p w14:paraId="79B6DEC6" w14:textId="77777777" w:rsidR="00881920" w:rsidRPr="001964D1" w:rsidRDefault="00881920" w:rsidP="00881920">
      <w:pPr>
        <w:keepNext/>
        <w:spacing w:after="0"/>
        <w:jc w:val="left"/>
        <w:rPr>
          <w:lang w:val="en-GB"/>
        </w:rPr>
      </w:pPr>
      <w:r w:rsidRPr="009B49F8">
        <w:rPr>
          <w:noProof/>
          <w:lang w:eastAsia="cs-CZ"/>
        </w:rPr>
        <w:drawing>
          <wp:inline distT="0" distB="0" distL="0" distR="0" wp14:anchorId="0C687C85" wp14:editId="1F7DBD01">
            <wp:extent cx="6120130" cy="1840306"/>
            <wp:effectExtent l="0" t="0" r="0" b="762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40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D56ED" w14:textId="77777777" w:rsidR="00881920" w:rsidRPr="00B27176" w:rsidRDefault="00881920" w:rsidP="00881920">
      <w:pPr>
        <w:keepNext/>
        <w:spacing w:after="0"/>
        <w:rPr>
          <w:sz w:val="14"/>
          <w:lang w:val="en-GB"/>
        </w:rPr>
      </w:pPr>
      <w:r w:rsidRPr="00B27176">
        <w:rPr>
          <w:b/>
          <w:sz w:val="14"/>
          <w:lang w:val="en-GB"/>
        </w:rPr>
        <w:t>Source</w:t>
      </w:r>
      <w:r w:rsidRPr="00B27176">
        <w:rPr>
          <w:sz w:val="14"/>
          <w:lang w:val="en-GB"/>
        </w:rPr>
        <w:t>: Author based on CRD V, CRR II and BRRD II</w:t>
      </w:r>
    </w:p>
    <w:p w14:paraId="044CABD3" w14:textId="77777777" w:rsidR="00881920" w:rsidRPr="00B27176" w:rsidRDefault="00881920" w:rsidP="00881920">
      <w:pPr>
        <w:pStyle w:val="cbnblokpoznamka"/>
        <w:spacing w:after="240"/>
        <w:rPr>
          <w:color w:val="auto"/>
          <w:lang w:val="en-GB"/>
        </w:rPr>
      </w:pPr>
      <w:r w:rsidRPr="00B27176">
        <w:rPr>
          <w:b/>
          <w:bCs/>
          <w:color w:val="auto"/>
          <w:lang w:val="en-GB"/>
        </w:rPr>
        <w:t>Note:</w:t>
      </w:r>
      <w:r w:rsidRPr="00B27176">
        <w:rPr>
          <w:color w:val="auto"/>
          <w:lang w:val="en-GB"/>
        </w:rPr>
        <w:t xml:space="preserve"> </w:t>
      </w:r>
      <w:proofErr w:type="spellStart"/>
      <w:r w:rsidRPr="00B27176">
        <w:rPr>
          <w:color w:val="auto"/>
          <w:lang w:val="en-GB"/>
        </w:rPr>
        <w:t>CCoB</w:t>
      </w:r>
      <w:proofErr w:type="spellEnd"/>
      <w:r w:rsidRPr="00B27176">
        <w:rPr>
          <w:color w:val="auto"/>
          <w:lang w:val="en-GB"/>
        </w:rPr>
        <w:t xml:space="preserve"> = capital conservation buffer; </w:t>
      </w:r>
      <w:proofErr w:type="spellStart"/>
      <w:r w:rsidRPr="00B27176">
        <w:rPr>
          <w:color w:val="auto"/>
          <w:lang w:val="en-GB"/>
        </w:rPr>
        <w:t>CCyB</w:t>
      </w:r>
      <w:proofErr w:type="spellEnd"/>
      <w:r w:rsidRPr="00B27176">
        <w:rPr>
          <w:color w:val="auto"/>
          <w:lang w:val="en-GB"/>
        </w:rPr>
        <w:t xml:space="preserve"> = countercyclical capital buffer; SRB = systemic risk buffer; O-SII = buffer for other systemically important institutions; G-SII = buffer for global systemically important institutions; RWE = risk-weighted exposures; MREL = minimum requirement for own funds and eligible liabilities.</w:t>
      </w:r>
    </w:p>
    <w:p w14:paraId="46A025ED" w14:textId="77777777" w:rsidR="00881920" w:rsidRDefault="00881920" w:rsidP="00881920">
      <w:pPr>
        <w:keepNext/>
        <w:rPr>
          <w:b/>
          <w:lang w:val="en-GB"/>
        </w:rPr>
      </w:pPr>
    </w:p>
    <w:p w14:paraId="7273AC4E" w14:textId="77777777" w:rsidR="00881920" w:rsidRDefault="00881920" w:rsidP="00881920">
      <w:pPr>
        <w:keepNext/>
        <w:rPr>
          <w:b/>
          <w:lang w:val="en-GB"/>
        </w:rPr>
      </w:pPr>
    </w:p>
    <w:p w14:paraId="5970A2EB" w14:textId="08DBC726" w:rsidR="00881920" w:rsidRPr="005C6B1E" w:rsidRDefault="00881920" w:rsidP="00881920">
      <w:pPr>
        <w:keepNext/>
        <w:rPr>
          <w:b/>
          <w:lang w:val="en-GB"/>
        </w:rPr>
      </w:pPr>
      <w:r>
        <w:rPr>
          <w:b/>
          <w:lang w:val="en-GB"/>
        </w:rPr>
        <w:t>Table</w:t>
      </w:r>
      <w:r w:rsidRPr="005C6B1E">
        <w:rPr>
          <w:b/>
          <w:lang w:val="en-GB"/>
        </w:rPr>
        <w:t xml:space="preserve"> 2: </w:t>
      </w:r>
      <w:r w:rsidRPr="00696AD5">
        <w:rPr>
          <w:lang w:val="en-GB"/>
        </w:rPr>
        <w:t xml:space="preserve">Key variables in the alternative scenarios of solvency stress test and their impact on the </w:t>
      </w:r>
      <w:r>
        <w:rPr>
          <w:lang w:val="en-GB"/>
        </w:rPr>
        <w:t>capital position</w:t>
      </w:r>
    </w:p>
    <w:p w14:paraId="5126EDD5" w14:textId="77777777" w:rsidR="00881920" w:rsidRDefault="00881920" w:rsidP="00881920">
      <w:pPr>
        <w:spacing w:after="0"/>
        <w:rPr>
          <w:lang w:val="en-GB"/>
        </w:rPr>
      </w:pPr>
      <w:r w:rsidRPr="005C6B1E">
        <w:rPr>
          <w:noProof/>
          <w:lang w:eastAsia="cs-CZ"/>
        </w:rPr>
        <w:drawing>
          <wp:inline distT="0" distB="0" distL="0" distR="0" wp14:anchorId="2CA2FAC1" wp14:editId="037A81B4">
            <wp:extent cx="6120130" cy="3862482"/>
            <wp:effectExtent l="0" t="0" r="0" b="508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862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EE3C3" w14:textId="77777777" w:rsidR="00881920" w:rsidRPr="00B27176" w:rsidRDefault="00881920" w:rsidP="00881920">
      <w:pPr>
        <w:spacing w:after="0"/>
        <w:rPr>
          <w:sz w:val="14"/>
          <w:lang w:val="en-GB"/>
        </w:rPr>
      </w:pPr>
      <w:r w:rsidRPr="00B27176">
        <w:rPr>
          <w:b/>
          <w:sz w:val="14"/>
          <w:lang w:val="en-GB"/>
        </w:rPr>
        <w:t>Source</w:t>
      </w:r>
      <w:r w:rsidRPr="00B27176">
        <w:rPr>
          <w:sz w:val="14"/>
          <w:lang w:val="en-GB"/>
        </w:rPr>
        <w:t>: CNB (2022)</w:t>
      </w:r>
    </w:p>
    <w:p w14:paraId="67F49272" w14:textId="77777777" w:rsidR="00881920" w:rsidRPr="00B27176" w:rsidRDefault="00881920" w:rsidP="00881920">
      <w:pPr>
        <w:rPr>
          <w:sz w:val="14"/>
          <w:lang w:val="en-GB"/>
        </w:rPr>
      </w:pPr>
      <w:r w:rsidRPr="00B27176">
        <w:rPr>
          <w:b/>
          <w:bCs/>
          <w:sz w:val="14"/>
          <w:lang w:val="en-GB"/>
        </w:rPr>
        <w:t xml:space="preserve">Note: </w:t>
      </w:r>
      <w:r w:rsidRPr="00B27176">
        <w:rPr>
          <w:bCs/>
          <w:sz w:val="14"/>
          <w:lang w:val="en-GB"/>
        </w:rPr>
        <w:t>PD = Probability of Default, LGD =</w:t>
      </w:r>
      <w:r w:rsidRPr="00B27176">
        <w:rPr>
          <w:sz w:val="16"/>
        </w:rPr>
        <w:t xml:space="preserve"> </w:t>
      </w:r>
      <w:r w:rsidRPr="00B27176">
        <w:rPr>
          <w:bCs/>
          <w:sz w:val="14"/>
          <w:lang w:val="en-GB"/>
        </w:rPr>
        <w:t xml:space="preserve">Loss Given Default, CAR = capital ratio, TREA = risk-weighted exposures, TEM = total </w:t>
      </w:r>
      <w:proofErr w:type="gramStart"/>
      <w:r w:rsidRPr="00B27176">
        <w:rPr>
          <w:bCs/>
          <w:sz w:val="14"/>
          <w:lang w:val="en-GB"/>
        </w:rPr>
        <w:t>exposures,  MREL</w:t>
      </w:r>
      <w:proofErr w:type="gramEnd"/>
      <w:r w:rsidRPr="00B27176">
        <w:rPr>
          <w:bCs/>
          <w:sz w:val="14"/>
          <w:lang w:val="en-GB"/>
        </w:rPr>
        <w:t xml:space="preserve"> =</w:t>
      </w:r>
      <w:r w:rsidRPr="00B27176">
        <w:rPr>
          <w:sz w:val="16"/>
        </w:rPr>
        <w:t xml:space="preserve"> </w:t>
      </w:r>
      <w:r w:rsidRPr="00B27176">
        <w:rPr>
          <w:bCs/>
          <w:sz w:val="14"/>
          <w:lang w:val="en-GB"/>
        </w:rPr>
        <w:t>minimum requirement for own funds and eligible liabilities.</w:t>
      </w:r>
    </w:p>
    <w:p w14:paraId="3F3E4989" w14:textId="77777777" w:rsidR="001972E4" w:rsidRDefault="001972E4"/>
    <w:sectPr w:rsidR="001972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920"/>
    <w:rsid w:val="001972E4"/>
    <w:rsid w:val="0088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0C04B"/>
  <w15:chartTrackingRefBased/>
  <w15:docId w15:val="{BAE631D7-93E2-497F-AD2C-F53079863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920"/>
    <w:pPr>
      <w:spacing w:after="180" w:line="278" w:lineRule="auto"/>
      <w:jc w:val="both"/>
    </w:pPr>
    <w:rPr>
      <w:sz w:val="18"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nblokpoznamka">
    <w:name w:val="_cbn_blok_poznamka"/>
    <w:basedOn w:val="Normal"/>
    <w:qFormat/>
    <w:rsid w:val="00881920"/>
    <w:pPr>
      <w:spacing w:after="40"/>
    </w:pPr>
    <w:rPr>
      <w:color w:val="70AD47" w:themeColor="accent6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2023-01-31T19:18:00Z</dcterms:created>
  <dcterms:modified xsi:type="dcterms:W3CDTF">2023-01-31T19:19:00Z</dcterms:modified>
</cp:coreProperties>
</file>