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B2BD11" w14:textId="1716D287" w:rsidR="00AD1398" w:rsidRDefault="00F70EE8" w:rsidP="00F70EE8">
      <w:pPr>
        <w:jc w:val="both"/>
      </w:pPr>
      <w:r>
        <w:t>Table 3. Dose rate data, equivalent dose (D</w:t>
      </w:r>
      <w:r>
        <w:rPr>
          <w:vertAlign w:val="subscript"/>
        </w:rPr>
        <w:t>e</w:t>
      </w:r>
      <w:r>
        <w:t>) and overdispersion (OD) values, and OSL ages for samples collected from KFR1.</w:t>
      </w:r>
    </w:p>
    <w:p w14:paraId="0306A17F" w14:textId="007C3EA0" w:rsidR="00F70EE8" w:rsidRDefault="00F70EE8" w:rsidP="00F70EE8">
      <w:pPr>
        <w:jc w:val="both"/>
      </w:pPr>
      <w:r>
        <w:rPr>
          <w:noProof/>
          <w:lang w:eastAsia="en-AU"/>
        </w:rPr>
        <w:drawing>
          <wp:inline distT="0" distB="0" distL="0" distR="0" wp14:anchorId="20A3CC00" wp14:editId="2DBB2B63">
            <wp:extent cx="7990840" cy="5287645"/>
            <wp:effectExtent l="0" t="0" r="0" b="825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0840" cy="528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70A861" w14:textId="77777777" w:rsidR="00F70EE8" w:rsidRDefault="00F70EE8" w:rsidP="00F70EE8">
      <w:proofErr w:type="spellStart"/>
      <w:r>
        <w:rPr>
          <w:vertAlign w:val="superscript"/>
        </w:rPr>
        <w:lastRenderedPageBreak/>
        <w:t>a</w:t>
      </w:r>
      <w:proofErr w:type="spellEnd"/>
      <w:r>
        <w:t xml:space="preserve"> Includes a cosmic-ray dose rate of 0.045 ± 0.007 </w:t>
      </w:r>
      <w:proofErr w:type="spellStart"/>
      <w:r>
        <w:t>Gy</w:t>
      </w:r>
      <w:proofErr w:type="spellEnd"/>
      <w:r>
        <w:t>/ka. All beta and gamma dose rates were adjusted for an assumed long-term water content of 5 ± 2.5%; measured water contents ranged from 2.4% to 10.4% (mean = 5.3%).</w:t>
      </w:r>
    </w:p>
    <w:p w14:paraId="35F84E28" w14:textId="77777777" w:rsidR="00F70EE8" w:rsidRDefault="00F70EE8" w:rsidP="00F70EE8">
      <w:r>
        <w:rPr>
          <w:vertAlign w:val="superscript"/>
        </w:rPr>
        <w:t>b</w:t>
      </w:r>
      <w:r>
        <w:t xml:space="preserve"> Beta dose rates were calculated using a </w:t>
      </w:r>
      <w:proofErr w:type="spellStart"/>
      <w:r>
        <w:t>Risø</w:t>
      </w:r>
      <w:proofErr w:type="spellEnd"/>
      <w:r>
        <w:t xml:space="preserve"> GM-25-5 multi-counter system, measuring dried, </w:t>
      </w:r>
      <w:proofErr w:type="spellStart"/>
      <w:r>
        <w:t>homogenised</w:t>
      </w:r>
      <w:proofErr w:type="spellEnd"/>
      <w:r>
        <w:t xml:space="preserve"> powdered sediment samples.</w:t>
      </w:r>
    </w:p>
    <w:p w14:paraId="11DB21DC" w14:textId="77777777" w:rsidR="00F70EE8" w:rsidRDefault="00F70EE8" w:rsidP="00F70EE8">
      <w:r>
        <w:rPr>
          <w:vertAlign w:val="superscript"/>
        </w:rPr>
        <w:t>c</w:t>
      </w:r>
      <w:r>
        <w:t xml:space="preserve"> Gamma dose rates were calculated using elemental concentrations of U and Th (estimated using thick source alpha counting) and K (estimated using inductively coupled plasma optical emission spectroscopy). Gamma dose rates were directly measured, using a field gamma spectrometer, for samples indicated with an asterisk.</w:t>
      </w:r>
    </w:p>
    <w:p w14:paraId="1EAEB9C9" w14:textId="77777777" w:rsidR="00F70EE8" w:rsidRDefault="00F70EE8" w:rsidP="00F70EE8">
      <w:r>
        <w:rPr>
          <w:vertAlign w:val="superscript"/>
        </w:rPr>
        <w:t>d</w:t>
      </w:r>
      <w:r>
        <w:t xml:space="preserve"> Includes an assumed internal quartz alpha dose rate of 0.033 ± 0.008 </w:t>
      </w:r>
      <w:proofErr w:type="spellStart"/>
      <w:r>
        <w:t>Gy</w:t>
      </w:r>
      <w:proofErr w:type="spellEnd"/>
      <w:r>
        <w:t>/ka.</w:t>
      </w:r>
    </w:p>
    <w:p w14:paraId="301A04B9" w14:textId="77777777" w:rsidR="00F70EE8" w:rsidRDefault="00F70EE8" w:rsidP="00F70EE8">
      <w:r>
        <w:rPr>
          <w:vertAlign w:val="superscript"/>
        </w:rPr>
        <w:t>e</w:t>
      </w:r>
      <w:r>
        <w:t xml:space="preserve"> </w:t>
      </w:r>
      <w:proofErr w:type="gramStart"/>
      <w:r>
        <w:t>The</w:t>
      </w:r>
      <w:proofErr w:type="gramEnd"/>
      <w:r>
        <w:t xml:space="preserve"> number of grains used for final D</w:t>
      </w:r>
      <w:r>
        <w:rPr>
          <w:vertAlign w:val="subscript"/>
        </w:rPr>
        <w:t>e</w:t>
      </w:r>
      <w:r>
        <w:t xml:space="preserve"> determination / the total number of grains measured.</w:t>
      </w:r>
    </w:p>
    <w:p w14:paraId="71340997" w14:textId="77777777" w:rsidR="00F70EE8" w:rsidRDefault="00F70EE8" w:rsidP="00F70EE8">
      <w:r>
        <w:rPr>
          <w:vertAlign w:val="superscript"/>
        </w:rPr>
        <w:t>f</w:t>
      </w:r>
      <w:r>
        <w:t xml:space="preserve"> D</w:t>
      </w:r>
      <w:r>
        <w:rPr>
          <w:vertAlign w:val="subscript"/>
        </w:rPr>
        <w:t>e</w:t>
      </w:r>
      <w:r>
        <w:t xml:space="preserve"> determination for most grains was done following a conventional approach (Approach A) where the sensitivity-corrected natural signal (L</w:t>
      </w:r>
      <w:r>
        <w:rPr>
          <w:vertAlign w:val="subscript"/>
        </w:rPr>
        <w:t>n</w:t>
      </w:r>
      <w:r>
        <w:t>/T</w:t>
      </w:r>
      <w:r>
        <w:rPr>
          <w:vertAlign w:val="subscript"/>
        </w:rPr>
        <w:t>n</w:t>
      </w:r>
      <w:r>
        <w:t>) is projected onto the dose response curve for each grain to obtain a distribution of D</w:t>
      </w:r>
      <w:r>
        <w:rPr>
          <w:vertAlign w:val="subscript"/>
        </w:rPr>
        <w:t>e</w:t>
      </w:r>
      <w:r>
        <w:t xml:space="preserve"> values, or the ‘</w:t>
      </w:r>
      <w:proofErr w:type="spellStart"/>
      <w:r>
        <w:t>L</w:t>
      </w:r>
      <w:r>
        <w:rPr>
          <w:vertAlign w:val="subscript"/>
        </w:rPr>
        <w:t>n</w:t>
      </w:r>
      <w:r>
        <w:t>T</w:t>
      </w:r>
      <w:r>
        <w:rPr>
          <w:vertAlign w:val="subscript"/>
        </w:rPr>
        <w:t>n</w:t>
      </w:r>
      <w:proofErr w:type="spellEnd"/>
      <w:r>
        <w:t xml:space="preserve"> method’ of Li et al. (2016, 2020) (Approach B) where the distribution of re-</w:t>
      </w:r>
      <w:proofErr w:type="spellStart"/>
      <w:r>
        <w:t>normalised</w:t>
      </w:r>
      <w:proofErr w:type="spellEnd"/>
      <w:r>
        <w:t xml:space="preserve"> L</w:t>
      </w:r>
      <w:r>
        <w:rPr>
          <w:vertAlign w:val="subscript"/>
        </w:rPr>
        <w:t>n</w:t>
      </w:r>
      <w:r>
        <w:t>/T</w:t>
      </w:r>
      <w:r>
        <w:rPr>
          <w:vertAlign w:val="subscript"/>
        </w:rPr>
        <w:t>n</w:t>
      </w:r>
      <w:r>
        <w:t xml:space="preserve"> ratios are </w:t>
      </w:r>
      <w:proofErr w:type="spellStart"/>
      <w:r>
        <w:t>analysed</w:t>
      </w:r>
      <w:proofErr w:type="spellEnd"/>
      <w:r>
        <w:t xml:space="preserve"> and combined, with the combined value projected onto a </w:t>
      </w:r>
      <w:proofErr w:type="spellStart"/>
      <w:r>
        <w:t>standardised</w:t>
      </w:r>
      <w:proofErr w:type="spellEnd"/>
      <w:r>
        <w:t xml:space="preserve"> dose response curve (SGC) to obtain a single D</w:t>
      </w:r>
      <w:r>
        <w:rPr>
          <w:vertAlign w:val="subscript"/>
        </w:rPr>
        <w:t>e</w:t>
      </w:r>
      <w:r>
        <w:t xml:space="preserve"> value.  All data analyses for D</w:t>
      </w:r>
      <w:r>
        <w:rPr>
          <w:vertAlign w:val="subscript"/>
        </w:rPr>
        <w:t>e</w:t>
      </w:r>
      <w:r>
        <w:t xml:space="preserve"> determination were undertaken in </w:t>
      </w:r>
      <w:r>
        <w:rPr>
          <w:i/>
        </w:rPr>
        <w:t>R</w:t>
      </w:r>
      <w:r>
        <w:t xml:space="preserve"> (R Core Team, 2020) using packages </w:t>
      </w:r>
      <w:proofErr w:type="spellStart"/>
      <w:r>
        <w:rPr>
          <w:i/>
        </w:rPr>
        <w:t>numOSL</w:t>
      </w:r>
      <w:proofErr w:type="spellEnd"/>
      <w:r>
        <w:t xml:space="preserve"> (Peng et al. 2013; Peng &amp; Li 2017) and </w:t>
      </w:r>
      <w:r>
        <w:rPr>
          <w:i/>
        </w:rPr>
        <w:t>Luminescence</w:t>
      </w:r>
      <w:r>
        <w:t xml:space="preserve"> (Kreutzer et al. 2012; Kreutzer et al. 2021). </w:t>
      </w:r>
    </w:p>
    <w:p w14:paraId="7460E4A2" w14:textId="77777777" w:rsidR="00F70EE8" w:rsidRDefault="00F70EE8" w:rsidP="00F70EE8">
      <w:r>
        <w:rPr>
          <w:vertAlign w:val="superscript"/>
        </w:rPr>
        <w:t>g</w:t>
      </w:r>
      <w:r>
        <w:t xml:space="preserve"> OD values calculated using the CAM. Values in brackets represent the OD used for either the FMM or calculated after rejection of outliers using </w:t>
      </w:r>
      <w:proofErr w:type="spellStart"/>
      <w:r>
        <w:t>nMAD</w:t>
      </w:r>
      <w:proofErr w:type="spellEnd"/>
      <w:r>
        <w:t>.</w:t>
      </w:r>
    </w:p>
    <w:p w14:paraId="44300194" w14:textId="77777777" w:rsidR="00F70EE8" w:rsidRDefault="00F70EE8" w:rsidP="00F70EE8">
      <w:r>
        <w:rPr>
          <w:vertAlign w:val="superscript"/>
        </w:rPr>
        <w:t xml:space="preserve">h </w:t>
      </w:r>
      <w:r>
        <w:t xml:space="preserve">FMM components comprising less than 10% of the accepted grains are not listed. </w:t>
      </w:r>
    </w:p>
    <w:p w14:paraId="00B965CF" w14:textId="77777777" w:rsidR="00F70EE8" w:rsidRDefault="00F70EE8" w:rsidP="00F70EE8">
      <w:proofErr w:type="spellStart"/>
      <w:r>
        <w:rPr>
          <w:vertAlign w:val="superscript"/>
        </w:rPr>
        <w:t>i</w:t>
      </w:r>
      <w:proofErr w:type="spellEnd"/>
      <w:r>
        <w:rPr>
          <w:vertAlign w:val="superscript"/>
        </w:rPr>
        <w:t xml:space="preserve"> </w:t>
      </w:r>
      <w:r>
        <w:t>Values highlighted in bold represent the age for the main D</w:t>
      </w:r>
      <w:r>
        <w:rPr>
          <w:vertAlign w:val="subscript"/>
        </w:rPr>
        <w:t xml:space="preserve">e </w:t>
      </w:r>
      <w:r>
        <w:t xml:space="preserve">component, when clearly distinguishable (i.e., representing &gt;60% of the accepted grains). </w:t>
      </w:r>
    </w:p>
    <w:p w14:paraId="63835DE9" w14:textId="77777777" w:rsidR="00F70EE8" w:rsidRDefault="00F70EE8" w:rsidP="00F70EE8"/>
    <w:p w14:paraId="41B697D3" w14:textId="77777777" w:rsidR="00F70EE8" w:rsidRDefault="00F70EE8" w:rsidP="00F70EE8"/>
    <w:p w14:paraId="14EB5957" w14:textId="77777777" w:rsidR="00F70EE8" w:rsidRDefault="00F70EE8" w:rsidP="00F70EE8"/>
    <w:p w14:paraId="23CF105C" w14:textId="77777777" w:rsidR="00F70EE8" w:rsidRDefault="00F70EE8" w:rsidP="00F70EE8"/>
    <w:p w14:paraId="59B36446" w14:textId="77777777" w:rsidR="00F70EE8" w:rsidRDefault="00F70EE8" w:rsidP="00F70EE8"/>
    <w:p w14:paraId="521ABCE0" w14:textId="77777777" w:rsidR="00F70EE8" w:rsidRDefault="00F70EE8" w:rsidP="00F70EE8"/>
    <w:p w14:paraId="66CCC958" w14:textId="77777777" w:rsidR="00F70EE8" w:rsidRDefault="00F70EE8" w:rsidP="00F70EE8">
      <w:pPr>
        <w:spacing w:after="0"/>
        <w:sectPr w:rsidR="00F70EE8">
          <w:pgSz w:w="16838" w:h="11906" w:orient="landscape"/>
          <w:pgMar w:top="1440" w:right="1440" w:bottom="1440" w:left="1440" w:header="708" w:footer="708" w:gutter="0"/>
          <w:cols w:space="720"/>
        </w:sectPr>
      </w:pPr>
    </w:p>
    <w:p w14:paraId="59552B5B" w14:textId="77777777" w:rsidR="00F70EE8" w:rsidRDefault="00F70EE8" w:rsidP="00F70EE8">
      <w:bookmarkStart w:id="0" w:name="_Hlk120888110"/>
      <w:r>
        <w:lastRenderedPageBreak/>
        <w:t>Table 4. Phytolith morphotype classifications and concentrations (per gram of sediment) for sediment samples and units, including indices and proportions for ecologically significant taxonomic groups.</w:t>
      </w:r>
      <w:bookmarkEnd w:id="0"/>
    </w:p>
    <w:p w14:paraId="336D1B99" w14:textId="3F043A45" w:rsidR="00F70EE8" w:rsidRDefault="00F70EE8" w:rsidP="00F70EE8">
      <w:pPr>
        <w:spacing w:after="0" w:line="276" w:lineRule="auto"/>
        <w:ind w:left="720" w:hanging="720"/>
        <w:rPr>
          <w:rFonts w:eastAsia="Times New Roman" w:cstheme="minorHAnsi"/>
          <w:lang w:eastAsia="en-AU"/>
        </w:rPr>
      </w:pPr>
      <w:r>
        <w:rPr>
          <w:noProof/>
          <w:lang w:eastAsia="en-AU"/>
        </w:rPr>
        <w:drawing>
          <wp:inline distT="0" distB="0" distL="0" distR="0" wp14:anchorId="46D5EDBF" wp14:editId="64662E1F">
            <wp:extent cx="5691505" cy="5731510"/>
            <wp:effectExtent l="0" t="0" r="4445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1505" cy="573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C898BE" w14:textId="60E194F3" w:rsidR="00F70EE8" w:rsidRDefault="00F70EE8" w:rsidP="00F70EE8">
      <w:pPr>
        <w:pStyle w:val="Header"/>
        <w:tabs>
          <w:tab w:val="left" w:pos="720"/>
        </w:tabs>
        <w:spacing w:after="160" w:line="276" w:lineRule="auto"/>
        <w:rPr>
          <w:rFonts w:eastAsia="Times New Roman" w:cstheme="minorHAnsi"/>
          <w:b/>
          <w:bCs/>
          <w:lang w:eastAsia="en-AU"/>
        </w:rPr>
      </w:pPr>
      <w:r>
        <w:rPr>
          <w:noProof/>
          <w:lang w:eastAsia="en-AU"/>
        </w:rPr>
        <w:drawing>
          <wp:inline distT="0" distB="0" distL="0" distR="0" wp14:anchorId="180E98BF" wp14:editId="359CF14B">
            <wp:extent cx="5732780" cy="1534795"/>
            <wp:effectExtent l="0" t="0" r="1270" b="825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153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89AE5" w14:textId="77777777" w:rsidR="00F70EE8" w:rsidRDefault="00F70EE8" w:rsidP="00F70EE8"/>
    <w:p w14:paraId="15B1A5DE" w14:textId="77777777" w:rsidR="00F70EE8" w:rsidRDefault="00F70EE8"/>
    <w:sectPr w:rsidR="00F70E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EE8"/>
    <w:rsid w:val="00AD1398"/>
    <w:rsid w:val="00F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67181F"/>
  <w15:chartTrackingRefBased/>
  <w15:docId w15:val="{30772223-B9D2-451A-8808-876933830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70EE8"/>
    <w:pPr>
      <w:tabs>
        <w:tab w:val="center" w:pos="4513"/>
        <w:tab w:val="right" w:pos="9026"/>
      </w:tabs>
      <w:spacing w:after="0" w:line="240" w:lineRule="auto"/>
    </w:pPr>
    <w:rPr>
      <w:lang w:val="en-AU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F70EE8"/>
    <w:rPr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78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338</Words>
  <Characters>1928</Characters>
  <Application>Microsoft Office Word</Application>
  <DocSecurity>0</DocSecurity>
  <Lines>16</Lines>
  <Paragraphs>4</Paragraphs>
  <ScaleCrop>false</ScaleCrop>
  <Company>Springer Nature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2023-01-30T13:18:00Z</dcterms:created>
  <dcterms:modified xsi:type="dcterms:W3CDTF">2023-01-30T13:19:00Z</dcterms:modified>
</cp:coreProperties>
</file>