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57A3" w14:textId="77777777" w:rsidR="00727156" w:rsidRPr="009101EC" w:rsidRDefault="00727156" w:rsidP="004F5F95">
      <w:pPr>
        <w:rPr>
          <w:b/>
        </w:rPr>
      </w:pPr>
      <w:r w:rsidRPr="009101EC">
        <w:rPr>
          <w:b/>
        </w:rPr>
        <w:t xml:space="preserve">The Middle Stone Age sequence at </w:t>
      </w:r>
      <w:proofErr w:type="spellStart"/>
      <w:r w:rsidRPr="009101EC">
        <w:rPr>
          <w:b/>
        </w:rPr>
        <w:t>Klipfonteinrand</w:t>
      </w:r>
      <w:proofErr w:type="spellEnd"/>
      <w:r w:rsidRPr="009101EC">
        <w:rPr>
          <w:b/>
        </w:rPr>
        <w:t xml:space="preserve"> 1 (KFR1), Western Cape, South Africa</w:t>
      </w:r>
    </w:p>
    <w:p w14:paraId="4BBE1C3A" w14:textId="77777777" w:rsidR="004F5F95" w:rsidRPr="006C7DCE" w:rsidRDefault="004F5F95" w:rsidP="004F5F95">
      <w:pPr>
        <w:jc w:val="both"/>
      </w:pPr>
      <w:r w:rsidRPr="006C7DCE">
        <w:t>Alex Mackay</w:t>
      </w:r>
      <w:r w:rsidRPr="006C7DCE">
        <w:rPr>
          <w:vertAlign w:val="superscript"/>
        </w:rPr>
        <w:t>1,</w:t>
      </w:r>
      <w:r>
        <w:rPr>
          <w:vertAlign w:val="superscript"/>
        </w:rPr>
        <w:t>2,3</w:t>
      </w:r>
      <w:r w:rsidRPr="006C7DCE">
        <w:t>*</w:t>
      </w:r>
      <w:r>
        <w:t xml:space="preserve">, </w:t>
      </w:r>
      <w:r w:rsidRPr="006C7DCE">
        <w:t>Rosaria B.</w:t>
      </w:r>
      <w:r>
        <w:t>K.</w:t>
      </w:r>
      <w:r w:rsidRPr="006C7DCE">
        <w:t xml:space="preserve"> Saktura</w:t>
      </w:r>
      <w:r w:rsidRPr="006C7DCE">
        <w:rPr>
          <w:vertAlign w:val="superscript"/>
        </w:rPr>
        <w:t>1</w:t>
      </w:r>
      <w:r w:rsidRPr="006C7DCE">
        <w:t xml:space="preserve">, Corey </w:t>
      </w:r>
      <w:r>
        <w:t xml:space="preserve">A. </w:t>
      </w:r>
      <w:r w:rsidRPr="006C7DCE">
        <w:t>O’Driscoll</w:t>
      </w:r>
      <w:r w:rsidRPr="006C7DCE">
        <w:rPr>
          <w:vertAlign w:val="superscript"/>
        </w:rPr>
        <w:t>1</w:t>
      </w:r>
      <w:r w:rsidRPr="006C7DCE">
        <w:t xml:space="preserve">, </w:t>
      </w:r>
      <w:r>
        <w:t>Kelsey C. Boyd</w:t>
      </w:r>
      <w:r w:rsidRPr="001D6127">
        <w:rPr>
          <w:vertAlign w:val="superscript"/>
        </w:rPr>
        <w:t>1</w:t>
      </w:r>
      <w:r>
        <w:t xml:space="preserve">, </w:t>
      </w:r>
      <w:r w:rsidRPr="006C7DCE">
        <w:t>Ben Marwick</w:t>
      </w:r>
      <w:r>
        <w:rPr>
          <w:vertAlign w:val="superscript"/>
        </w:rPr>
        <w:t>4</w:t>
      </w:r>
      <w:r w:rsidRPr="006C7DCE">
        <w:t>, Ian Moffat</w:t>
      </w:r>
      <w:r>
        <w:rPr>
          <w:vertAlign w:val="superscript"/>
        </w:rPr>
        <w:t>5</w:t>
      </w:r>
      <w:r w:rsidRPr="006C7DCE">
        <w:t xml:space="preserve">, </w:t>
      </w:r>
      <w:r>
        <w:t xml:space="preserve">&amp; </w:t>
      </w:r>
      <w:r w:rsidRPr="006C7DCE">
        <w:t>Zenobia Jacobs</w:t>
      </w:r>
      <w:r>
        <w:rPr>
          <w:vertAlign w:val="superscript"/>
        </w:rPr>
        <w:t>1,3</w:t>
      </w:r>
      <w:r w:rsidRPr="006C7DCE">
        <w:t xml:space="preserve"> </w:t>
      </w:r>
    </w:p>
    <w:p w14:paraId="15FF29B6" w14:textId="77777777" w:rsidR="004A33DD" w:rsidRPr="006C7DCE" w:rsidRDefault="004A33DD" w:rsidP="004A33DD">
      <w:pPr>
        <w:jc w:val="both"/>
      </w:pPr>
      <w:r w:rsidRPr="006C7DCE">
        <w:rPr>
          <w:vertAlign w:val="superscript"/>
        </w:rPr>
        <w:t>1</w:t>
      </w:r>
      <w:r w:rsidRPr="006C7DCE">
        <w:t xml:space="preserve">Centre of Archaeological Science, School of Earth, Atmospheric and Life Sciences, University of Wollongong, Wollongong, New South Wales 2522, AUSTRALIA; </w:t>
      </w:r>
      <w:r>
        <w:rPr>
          <w:vertAlign w:val="superscript"/>
        </w:rPr>
        <w:t>2</w:t>
      </w:r>
      <w:r w:rsidRPr="006C7DCE">
        <w:t xml:space="preserve">Department of Archaeology, University of Cape Town, Cape Town, Western Cape 8001, SOUTH AFRICA; </w:t>
      </w:r>
      <w:r>
        <w:rPr>
          <w:vertAlign w:val="superscript"/>
        </w:rPr>
        <w:t>3</w:t>
      </w:r>
      <w:r w:rsidRPr="006C7DCE">
        <w:t xml:space="preserve">ARC Centre of Excellence for Australian Biodiversity and Heritage &amp; Centre for Archaeological Science, School of Earth, Atmospheric and Life Sciences, University of Wollongong, Wollongong, New South Wales 2522, AUSTRALIA; </w:t>
      </w:r>
      <w:r>
        <w:rPr>
          <w:vertAlign w:val="superscript"/>
        </w:rPr>
        <w:t>4</w:t>
      </w:r>
      <w:r w:rsidRPr="006C7DCE">
        <w:t>Department of Anthropology, University of Washington, Seattle, Washington 98195, USA;</w:t>
      </w:r>
      <w:r w:rsidRPr="00DC7130">
        <w:rPr>
          <w:vertAlign w:val="superscript"/>
        </w:rPr>
        <w:t xml:space="preserve"> </w:t>
      </w:r>
      <w:r>
        <w:rPr>
          <w:vertAlign w:val="superscript"/>
        </w:rPr>
        <w:t>5</w:t>
      </w:r>
      <w:r>
        <w:t>Archaeology, College of Humanities, Arts and Social Sciences, Flinders University</w:t>
      </w:r>
      <w:r w:rsidRPr="006C7DCE">
        <w:t>, Flinders University, Adelaide, South Australia 5001, AUSTRALIA.</w:t>
      </w:r>
    </w:p>
    <w:p w14:paraId="59B70E1A" w14:textId="77777777" w:rsidR="004F5F95" w:rsidRPr="006C7DCE" w:rsidRDefault="004F5F95" w:rsidP="004F5F95">
      <w:pPr>
        <w:spacing w:after="0"/>
        <w:jc w:val="both"/>
        <w:rPr>
          <w:rFonts w:cstheme="minorHAnsi"/>
        </w:rPr>
      </w:pPr>
      <w:r w:rsidRPr="006C7DCE">
        <w:rPr>
          <w:rFonts w:cstheme="minorHAnsi"/>
        </w:rPr>
        <w:t>*</w:t>
      </w:r>
      <w:proofErr w:type="gramStart"/>
      <w:r w:rsidRPr="006C7DCE">
        <w:rPr>
          <w:rFonts w:cstheme="minorHAnsi"/>
        </w:rPr>
        <w:t>corresponding</w:t>
      </w:r>
      <w:proofErr w:type="gramEnd"/>
      <w:r w:rsidRPr="006C7DCE">
        <w:rPr>
          <w:rFonts w:cstheme="minorHAnsi"/>
        </w:rPr>
        <w:t xml:space="preserve"> author: </w:t>
      </w:r>
      <w:hyperlink r:id="rId7" w:history="1">
        <w:r w:rsidRPr="006C7DCE">
          <w:rPr>
            <w:rStyle w:val="Hyperlink"/>
            <w:rFonts w:cstheme="minorHAnsi"/>
          </w:rPr>
          <w:t>amackay@uow.edu.au</w:t>
        </w:r>
      </w:hyperlink>
      <w:r w:rsidRPr="006C7DCE">
        <w:rPr>
          <w:rFonts w:cstheme="minorHAnsi"/>
        </w:rPr>
        <w:t>, +61 2 4221 5344</w:t>
      </w:r>
    </w:p>
    <w:p w14:paraId="5EA4E58B" w14:textId="77777777" w:rsidR="004F5F95" w:rsidRPr="006C7DCE" w:rsidRDefault="004F5F95" w:rsidP="004F5F95">
      <w:pPr>
        <w:spacing w:after="0"/>
        <w:jc w:val="both"/>
        <w:rPr>
          <w:rFonts w:cstheme="minorHAnsi"/>
        </w:rPr>
      </w:pPr>
    </w:p>
    <w:p w14:paraId="7706E720" w14:textId="77777777" w:rsidR="004F5F95" w:rsidRPr="006C7DCE" w:rsidRDefault="004F5F95" w:rsidP="004F5F95">
      <w:pPr>
        <w:spacing w:after="0"/>
        <w:jc w:val="both"/>
        <w:rPr>
          <w:rFonts w:cstheme="minorHAnsi"/>
        </w:rPr>
      </w:pPr>
      <w:r w:rsidRPr="006C7DCE">
        <w:rPr>
          <w:rFonts w:cstheme="minorHAnsi"/>
        </w:rPr>
        <w:t>Conflict of Interest Statement: On behalf of all authors, the corresponding author states that there is no conflict of interest.</w:t>
      </w:r>
    </w:p>
    <w:p w14:paraId="5EDDAA76" w14:textId="77777777" w:rsidR="004F5F95" w:rsidRPr="006C7DCE" w:rsidRDefault="004F5F95" w:rsidP="004F5F95">
      <w:pPr>
        <w:spacing w:after="0"/>
        <w:jc w:val="both"/>
        <w:rPr>
          <w:rFonts w:cstheme="minorHAnsi"/>
        </w:rPr>
      </w:pPr>
    </w:p>
    <w:p w14:paraId="1C1B11C4" w14:textId="78E16A2C" w:rsidR="00BD4B3C" w:rsidRDefault="004F5F95" w:rsidP="004F5F95">
      <w:r w:rsidRPr="006C7DCE">
        <w:rPr>
          <w:rFonts w:cstheme="minorHAnsi"/>
        </w:rPr>
        <w:t>Data Statement: All data used in this paper are available on request.</w:t>
      </w:r>
    </w:p>
    <w:p w14:paraId="5585484B" w14:textId="77777777" w:rsidR="00727156" w:rsidRPr="00727156" w:rsidRDefault="00727156" w:rsidP="004F5F95">
      <w:pPr>
        <w:jc w:val="center"/>
        <w:rPr>
          <w:b/>
        </w:rPr>
      </w:pPr>
      <w:r w:rsidRPr="00727156">
        <w:rPr>
          <w:b/>
        </w:rPr>
        <w:t>Supporting Online Material</w:t>
      </w:r>
    </w:p>
    <w:p w14:paraId="3B397151" w14:textId="32B1F8C5" w:rsidR="00727156" w:rsidRPr="00727156" w:rsidRDefault="00097D91" w:rsidP="004F5F95">
      <w:pPr>
        <w:rPr>
          <w:b/>
        </w:rPr>
      </w:pPr>
      <w:r>
        <w:rPr>
          <w:b/>
        </w:rPr>
        <w:t xml:space="preserve">Section S1. </w:t>
      </w:r>
      <w:r w:rsidR="00727156" w:rsidRPr="00727156">
        <w:rPr>
          <w:b/>
        </w:rPr>
        <w:t>Geophysics</w:t>
      </w:r>
    </w:p>
    <w:p w14:paraId="60AFBF54" w14:textId="08F190C8" w:rsidR="00CA35CD" w:rsidRPr="00097D91" w:rsidRDefault="00CA35CD" w:rsidP="004F5F95">
      <w:pPr>
        <w:spacing w:line="240" w:lineRule="auto"/>
      </w:pPr>
      <w:r w:rsidRPr="00097D91">
        <w:t xml:space="preserve">Geophysical techniques are ubiquitous in archaeological research but have only occasionally been applied to cave and </w:t>
      </w:r>
      <w:proofErr w:type="spellStart"/>
      <w:r w:rsidRPr="00097D91">
        <w:t>rockshelter</w:t>
      </w:r>
      <w:proofErr w:type="spellEnd"/>
      <w:r w:rsidRPr="00097D91">
        <w:t xml:space="preserve"> sites.  GPR (comprehensively summarised for archaeological applications by Conyers 2013 and 2016) is a geophysical technique in which short pulses of high frequency electromagnetic energy are transmitted into the subsurface before being reflected back to the antenna off boundaries in dielectric permittivity. GPR is ideally suited to the detection of rock/sediment boundaries, changes in lithology and archaeological material.  GPR has previously been used to map the depth to bedrock within </w:t>
      </w:r>
      <w:proofErr w:type="spellStart"/>
      <w:r w:rsidRPr="00097D91">
        <w:t>quartize</w:t>
      </w:r>
      <w:proofErr w:type="spellEnd"/>
      <w:r w:rsidRPr="00097D91">
        <w:t xml:space="preserve"> sites in central Arnhem Land (</w:t>
      </w:r>
      <w:bookmarkStart w:id="0" w:name="_Hlk520278768"/>
      <w:r w:rsidRPr="00097D91">
        <w:t>Barker et al. 2017, David, Delannoy, Gunn, Brady et al. 2017</w:t>
      </w:r>
      <w:bookmarkEnd w:id="0"/>
      <w:r w:rsidRPr="00097D91">
        <w:t xml:space="preserve">, David, Delannoy, Gunn, </w:t>
      </w:r>
      <w:proofErr w:type="spellStart"/>
      <w:r w:rsidRPr="00097D91">
        <w:t>Calmin</w:t>
      </w:r>
      <w:proofErr w:type="spellEnd"/>
      <w:r w:rsidRPr="00097D91">
        <w:t xml:space="preserve"> et al. 2017) limestone sites at </w:t>
      </w:r>
      <w:proofErr w:type="spellStart"/>
      <w:r w:rsidRPr="00097D91">
        <w:t>Misliya</w:t>
      </w:r>
      <w:proofErr w:type="spellEnd"/>
      <w:r w:rsidRPr="00097D91">
        <w:t xml:space="preserve"> Caves </w:t>
      </w:r>
      <w:r w:rsidR="004A33DD">
        <w:t>in Israel (Weinstein-</w:t>
      </w:r>
      <w:proofErr w:type="spellStart"/>
      <w:r w:rsidR="004A33DD">
        <w:t>Evron</w:t>
      </w:r>
      <w:proofErr w:type="spellEnd"/>
      <w:r w:rsidR="004A33DD">
        <w:t xml:space="preserve"> et al., 2003), Slovakia (</w:t>
      </w:r>
      <w:proofErr w:type="spellStart"/>
      <w:r w:rsidR="004A33DD">
        <w:t>Putiška</w:t>
      </w:r>
      <w:proofErr w:type="spellEnd"/>
      <w:r w:rsidR="004A33DD">
        <w:t xml:space="preserve"> et al. 2016) and Indonesia (Maloney et al 2022</w:t>
      </w:r>
      <w:proofErr w:type="gramStart"/>
      <w:r w:rsidR="004A33DD">
        <w:t>a,b</w:t>
      </w:r>
      <w:proofErr w:type="gramEnd"/>
      <w:r w:rsidR="004A33DD">
        <w:t>) as well as travertine</w:t>
      </w:r>
      <w:r w:rsidR="004A33DD">
        <w:t xml:space="preserve"> </w:t>
      </w:r>
      <w:r w:rsidRPr="00097D91">
        <w:t xml:space="preserve">bedrock at </w:t>
      </w:r>
      <w:proofErr w:type="spellStart"/>
      <w:r w:rsidRPr="00097D91">
        <w:t>Prepoštská</w:t>
      </w:r>
      <w:proofErr w:type="spellEnd"/>
      <w:r w:rsidRPr="00097D91">
        <w:t xml:space="preserve"> Cave (</w:t>
      </w:r>
      <w:proofErr w:type="spellStart"/>
      <w:r w:rsidRPr="00097D91">
        <w:t>Putiška</w:t>
      </w:r>
      <w:proofErr w:type="spellEnd"/>
      <w:r w:rsidRPr="00097D91">
        <w:t xml:space="preserve"> et al. 2016).  </w:t>
      </w:r>
      <w:bookmarkStart w:id="1" w:name="_Hlk517434239"/>
      <w:bookmarkStart w:id="2" w:name="_Hlk520120052"/>
      <w:r w:rsidRPr="00097D91">
        <w:t xml:space="preserve">Electrical Resistivity Tomography (ERT) (summarised for pedological applications by </w:t>
      </w:r>
      <w:proofErr w:type="spellStart"/>
      <w:r w:rsidRPr="00097D91">
        <w:t>Samouëlian</w:t>
      </w:r>
      <w:proofErr w:type="spellEnd"/>
      <w:r w:rsidRPr="00097D91">
        <w:t xml:space="preserve"> et al (2005) and more generally by Loke et al (2013)) </w:t>
      </w:r>
      <w:bookmarkEnd w:id="1"/>
      <w:r w:rsidRPr="00097D91">
        <w:t xml:space="preserve">is a geophysical technique where a constant electrical direct current is passed through the subsurface between </w:t>
      </w:r>
      <w:proofErr w:type="gramStart"/>
      <w:r w:rsidRPr="00097D91">
        <w:t>a number of</w:t>
      </w:r>
      <w:proofErr w:type="gramEnd"/>
      <w:r w:rsidRPr="00097D91">
        <w:t xml:space="preserve"> electrodes which are usually connected to the ground by metal pegs.  ERT has been used for a range of archaeological investigations including mapping tombs, reconstructing </w:t>
      </w:r>
      <w:proofErr w:type="spellStart"/>
      <w:r w:rsidRPr="00097D91">
        <w:t>palaeolandscapes</w:t>
      </w:r>
      <w:proofErr w:type="spellEnd"/>
      <w:r w:rsidRPr="00097D91">
        <w:t xml:space="preserve"> and locating material culture items.  ERT is closely related to the widely archaeologically applied resistivity method (Schmidt 2013) however takes measurements at a variety of depths through the use of multiple electrode spacings rather than taking many measurements from the same depth in </w:t>
      </w:r>
      <w:proofErr w:type="spellStart"/>
      <w:r w:rsidRPr="00097D91">
        <w:t>plan</w:t>
      </w:r>
      <w:proofErr w:type="spellEnd"/>
      <w:r w:rsidRPr="00097D91">
        <w:t xml:space="preserve"> view across a site.  ERT has been successfully been used to determine the depth of bedrock of </w:t>
      </w:r>
      <w:proofErr w:type="spellStart"/>
      <w:r w:rsidR="004A33DD">
        <w:t>Canet</w:t>
      </w:r>
      <w:proofErr w:type="spellEnd"/>
      <w:r w:rsidR="004A33DD">
        <w:t xml:space="preserve"> Cave (</w:t>
      </w:r>
      <w:proofErr w:type="spellStart"/>
      <w:r w:rsidR="004A33DD">
        <w:t>Kopper</w:t>
      </w:r>
      <w:proofErr w:type="spellEnd"/>
      <w:r w:rsidR="004A33DD">
        <w:t xml:space="preserve">, 1972: 14), Liang Jon and Liang </w:t>
      </w:r>
      <w:proofErr w:type="spellStart"/>
      <w:r w:rsidR="004A33DD">
        <w:t>Tebo</w:t>
      </w:r>
      <w:proofErr w:type="spellEnd"/>
      <w:r w:rsidR="004A33DD">
        <w:t xml:space="preserve"> (Maloney et al. 2022</w:t>
      </w:r>
      <w:proofErr w:type="gramStart"/>
      <w:r w:rsidR="004A33DD">
        <w:t>a,b</w:t>
      </w:r>
      <w:proofErr w:type="gramEnd"/>
      <w:r w:rsidR="004A33DD">
        <w:t xml:space="preserve">) and </w:t>
      </w:r>
      <w:proofErr w:type="spellStart"/>
      <w:r w:rsidR="004A33DD">
        <w:t>Misliya</w:t>
      </w:r>
      <w:proofErr w:type="spellEnd"/>
      <w:r w:rsidR="004A33DD">
        <w:t xml:space="preserve"> </w:t>
      </w:r>
      <w:r w:rsidRPr="00097D91">
        <w:t xml:space="preserve">and </w:t>
      </w:r>
      <w:proofErr w:type="spellStart"/>
      <w:r w:rsidRPr="00097D91">
        <w:t>Nahal</w:t>
      </w:r>
      <w:proofErr w:type="spellEnd"/>
      <w:r w:rsidRPr="00097D91">
        <w:t xml:space="preserve"> </w:t>
      </w:r>
      <w:proofErr w:type="spellStart"/>
      <w:r w:rsidRPr="00097D91">
        <w:t>Me’arot</w:t>
      </w:r>
      <w:proofErr w:type="spellEnd"/>
      <w:r w:rsidRPr="00097D91">
        <w:t xml:space="preserve"> Caves (Weinstein-</w:t>
      </w:r>
      <w:proofErr w:type="spellStart"/>
      <w:r w:rsidRPr="00097D91">
        <w:t>Evron</w:t>
      </w:r>
      <w:proofErr w:type="spellEnd"/>
      <w:r w:rsidRPr="00097D91">
        <w:t xml:space="preserve"> et al., 2003).</w:t>
      </w:r>
      <w:bookmarkEnd w:id="2"/>
      <w:r w:rsidRPr="00097D91">
        <w:t xml:space="preserve">  </w:t>
      </w:r>
    </w:p>
    <w:p w14:paraId="4BCBDB9B" w14:textId="77777777" w:rsidR="00727156" w:rsidRPr="00097D91" w:rsidRDefault="00727156" w:rsidP="004F5F95">
      <w:r w:rsidRPr="00097D91">
        <w:t xml:space="preserve">Ground penetrating radar data were collected with a </w:t>
      </w:r>
      <w:proofErr w:type="spellStart"/>
      <w:r w:rsidRPr="00097D91">
        <w:t>Malå</w:t>
      </w:r>
      <w:proofErr w:type="spellEnd"/>
      <w:r w:rsidRPr="00097D91">
        <w:t xml:space="preserve"> X3M instrument using a 500 </w:t>
      </w:r>
      <w:proofErr w:type="spellStart"/>
      <w:r w:rsidRPr="00097D91">
        <w:t>Mhz</w:t>
      </w:r>
      <w:proofErr w:type="spellEnd"/>
      <w:r w:rsidRPr="00097D91">
        <w:t xml:space="preserve"> antenna.  Lines were collected in a parallel zig-zig configuration with a spacing of 0.5m approximately perpendicular to the drip line.  Acquisition parameters included a time window of 48 ns, a trace interval of 2cm, 4 stacks and 1024 samples per trace.  GPR data was processed using </w:t>
      </w:r>
      <w:proofErr w:type="spellStart"/>
      <w:r w:rsidRPr="00097D91">
        <w:t>ReflexW</w:t>
      </w:r>
      <w:proofErr w:type="spellEnd"/>
      <w:r w:rsidRPr="00097D91">
        <w:t xml:space="preserve"> using </w:t>
      </w:r>
      <w:proofErr w:type="spellStart"/>
      <w:r w:rsidRPr="00097D91">
        <w:t>dewow</w:t>
      </w:r>
      <w:proofErr w:type="spellEnd"/>
      <w:r w:rsidRPr="00097D91">
        <w:t xml:space="preserve">, energy decay gain, background remove and bandpass </w:t>
      </w:r>
      <w:proofErr w:type="spellStart"/>
      <w:r w:rsidRPr="00097D91">
        <w:t>butterworth</w:t>
      </w:r>
      <w:proofErr w:type="spellEnd"/>
      <w:r w:rsidRPr="00097D91">
        <w:t xml:space="preserve"> filters.  </w:t>
      </w:r>
      <w:r w:rsidRPr="00097D91">
        <w:lastRenderedPageBreak/>
        <w:t xml:space="preserve">GPR lines were interpreted in </w:t>
      </w:r>
      <w:proofErr w:type="spellStart"/>
      <w:r w:rsidRPr="00097D91">
        <w:t>ReflexW</w:t>
      </w:r>
      <w:proofErr w:type="spellEnd"/>
      <w:r w:rsidRPr="00097D91">
        <w:t xml:space="preserve"> with reference to previous excavations and the picks of bedrock surface exported to ArcGIS where they were gridded using a spline interpretation.</w:t>
      </w:r>
    </w:p>
    <w:p w14:paraId="66B4974F" w14:textId="03F95E34" w:rsidR="00727156" w:rsidRPr="00097D91" w:rsidRDefault="00727156" w:rsidP="004F5F95">
      <w:r w:rsidRPr="00097D91">
        <w:t xml:space="preserve">ERT data were collected using a ZZ Flash-Res Universal instrument using an electrode spacing of 0.2m and collecting ZZ, </w:t>
      </w:r>
      <w:proofErr w:type="spellStart"/>
      <w:r w:rsidRPr="00097D91">
        <w:t>Wenner</w:t>
      </w:r>
      <w:proofErr w:type="spellEnd"/>
      <w:r w:rsidRPr="00097D91">
        <w:t xml:space="preserve"> and Dipole-Dipole arrays.  Acquisition parameters included using 120V of current and 1.2 second current on and 0.2 second current off times.  2 perpendicular profiles were collected, one approximately parallel to and the other perpendicular to the drip line.  Electrodes were watered using slated water prior to data acquisition to reduce contact resistance, although these remained ~5000 Ohm.  Data were filtered using ZZ </w:t>
      </w:r>
      <w:proofErr w:type="spellStart"/>
      <w:r w:rsidRPr="003D5210">
        <w:rPr>
          <w:i/>
          <w:iCs/>
        </w:rPr>
        <w:t>Rdatacheck</w:t>
      </w:r>
      <w:proofErr w:type="spellEnd"/>
      <w:r w:rsidRPr="00097D91">
        <w:t xml:space="preserve"> software and a custom spreadsheet before being inverted using Res2D.  Profiles were imported into ArcGIS and interpreted with reference to previous excavations. The position of the start and finish of each GPR line and each ERT electrode was recorded using a Nikon 2C total station oriented to the local site grid.</w:t>
      </w:r>
    </w:p>
    <w:p w14:paraId="7017A442" w14:textId="1360B985" w:rsidR="00097D91" w:rsidRPr="00097D91" w:rsidRDefault="00097D91" w:rsidP="004F5F95">
      <w:pPr>
        <w:rPr>
          <w:b/>
        </w:rPr>
      </w:pPr>
      <w:r w:rsidRPr="00097D91">
        <w:rPr>
          <w:b/>
        </w:rPr>
        <w:t>Section S2. OSL dating</w:t>
      </w:r>
    </w:p>
    <w:p w14:paraId="56056346" w14:textId="3FA3BFA7" w:rsidR="00097D91" w:rsidRPr="00097D91" w:rsidRDefault="00367FC0" w:rsidP="004F5F95">
      <w:r w:rsidRPr="00367FC0">
        <w:t>Samples for optically stimulated luminescence (OSL) dating were collected by AM and ZJ during fieldwork in 2011 and transported to the Luminescence Dating Laboratory at the University of Wollongong in Australia, where they were prepared under subdued red-light conditions. Measurements for dose rate and equivalent dose (D</w:t>
      </w:r>
      <w:r w:rsidRPr="00367FC0">
        <w:rPr>
          <w:vertAlign w:val="subscript"/>
        </w:rPr>
        <w:t>e</w:t>
      </w:r>
      <w:r w:rsidRPr="00367FC0">
        <w:t xml:space="preserve">) determination were undertaken in 2011 and 2013. These existing, previously unpublished datasets were collated and analysed for OSL dating </w:t>
      </w:r>
      <w:r w:rsidR="00623CDB">
        <w:t xml:space="preserve">in the present study, </w:t>
      </w:r>
      <w:r w:rsidR="00EE0DEB">
        <w:t>as part ongoing investigations for RS’s PhD thesis</w:t>
      </w:r>
      <w:r w:rsidR="00623CDB">
        <w:t xml:space="preserve">. </w:t>
      </w:r>
      <w:r w:rsidRPr="00367FC0">
        <w:t>Additional GM-25-5 beta counting measurements were made on all samples to ensure reproducibility, as well as additional D</w:t>
      </w:r>
      <w:r w:rsidRPr="00367FC0">
        <w:rPr>
          <w:vertAlign w:val="subscript"/>
        </w:rPr>
        <w:t>e</w:t>
      </w:r>
      <w:r w:rsidRPr="00367FC0">
        <w:t xml:space="preserve"> measurements on OSL9. The datum used for calculating the ages reported here is 20</w:t>
      </w:r>
      <w:r w:rsidR="009B4309">
        <w:t>1</w:t>
      </w:r>
      <w:r w:rsidRPr="00367FC0">
        <w:t xml:space="preserve">1. </w:t>
      </w:r>
    </w:p>
    <w:p w14:paraId="27BE5277" w14:textId="0DAA1B4B" w:rsidR="00097D91" w:rsidRPr="005D66CB" w:rsidRDefault="00097D91" w:rsidP="004F5F95">
      <w:pPr>
        <w:rPr>
          <w:rFonts w:cstheme="minorHAnsi"/>
          <w:bCs/>
          <w:i/>
          <w:iCs/>
        </w:rPr>
      </w:pPr>
      <w:r w:rsidRPr="005D66CB">
        <w:rPr>
          <w:rFonts w:cstheme="minorHAnsi"/>
          <w:bCs/>
          <w:i/>
          <w:iCs/>
        </w:rPr>
        <w:t>Section S</w:t>
      </w:r>
      <w:r w:rsidR="005D66CB" w:rsidRPr="005D66CB">
        <w:rPr>
          <w:rFonts w:cstheme="minorHAnsi"/>
          <w:bCs/>
          <w:i/>
          <w:iCs/>
        </w:rPr>
        <w:t>2.1.</w:t>
      </w:r>
      <w:r w:rsidRPr="005D66CB">
        <w:rPr>
          <w:rFonts w:cstheme="minorHAnsi"/>
          <w:bCs/>
          <w:i/>
          <w:iCs/>
        </w:rPr>
        <w:t xml:space="preserve"> D</w:t>
      </w:r>
      <w:r w:rsidRPr="003F41CB">
        <w:rPr>
          <w:rFonts w:cstheme="minorHAnsi"/>
          <w:bCs/>
          <w:i/>
          <w:iCs/>
          <w:vertAlign w:val="subscript"/>
        </w:rPr>
        <w:t>e</w:t>
      </w:r>
      <w:r w:rsidRPr="005D66CB">
        <w:rPr>
          <w:rFonts w:cstheme="minorHAnsi"/>
          <w:bCs/>
          <w:i/>
          <w:iCs/>
        </w:rPr>
        <w:t xml:space="preserve"> determination </w:t>
      </w:r>
    </w:p>
    <w:p w14:paraId="4B6E777F" w14:textId="21727A5F" w:rsidR="00097D91" w:rsidRPr="005D66CB" w:rsidRDefault="00097D91" w:rsidP="004F5F95">
      <w:pPr>
        <w:rPr>
          <w:rFonts w:cstheme="minorHAnsi"/>
          <w:iCs/>
          <w:u w:val="single"/>
        </w:rPr>
      </w:pPr>
      <w:r w:rsidRPr="005D66CB">
        <w:rPr>
          <w:rFonts w:cstheme="minorHAnsi"/>
          <w:iCs/>
          <w:u w:val="single"/>
        </w:rPr>
        <w:t>Instrumentation and measurement</w:t>
      </w:r>
    </w:p>
    <w:p w14:paraId="67EB1BED" w14:textId="77777777" w:rsidR="00097D91" w:rsidRPr="0016666B" w:rsidRDefault="00097D91" w:rsidP="004F5F95">
      <w:r w:rsidRPr="005D66CB">
        <w:t xml:space="preserve">OSL measurements were made using </w:t>
      </w:r>
      <w:proofErr w:type="spellStart"/>
      <w:r w:rsidRPr="005D66CB">
        <w:t>Risø</w:t>
      </w:r>
      <w:proofErr w:type="spellEnd"/>
      <w:r w:rsidRPr="005D66CB">
        <w:t xml:space="preserve"> TL-DA-20 luminescence readers fitted with focused green (532 nm) laser attachments for single-grain simulation. Ultraviolet (UV) emissions were detected using Electron Tubes Ltd 9235QA photomultiplier tubes through Hoya U-340 filters. Individual grains were mounted onto aluminium discs drilled with 100 holes (each 300 </w:t>
      </w:r>
      <w:proofErr w:type="spellStart"/>
      <w:r w:rsidRPr="005D66CB">
        <w:t>μm</w:t>
      </w:r>
      <w:proofErr w:type="spellEnd"/>
      <w:r w:rsidRPr="005D66CB">
        <w:t xml:space="preserve"> in diameter and 300 </w:t>
      </w:r>
      <w:proofErr w:type="spellStart"/>
      <w:r w:rsidRPr="005D66CB">
        <w:t>μm</w:t>
      </w:r>
      <w:proofErr w:type="spellEnd"/>
      <w:r w:rsidRPr="005D66CB">
        <w:t xml:space="preserve"> deep). Laboratory irradiations </w:t>
      </w:r>
      <w:r w:rsidRPr="0016666B">
        <w:t xml:space="preserve">were undertaken using calibrated </w:t>
      </w:r>
      <w:r w:rsidRPr="0016666B">
        <w:rPr>
          <w:vertAlign w:val="superscript"/>
        </w:rPr>
        <w:t>90</w:t>
      </w:r>
      <w:r w:rsidRPr="0016666B">
        <w:t>Sr/</w:t>
      </w:r>
      <w:r w:rsidRPr="0016666B">
        <w:rPr>
          <w:vertAlign w:val="superscript"/>
        </w:rPr>
        <w:t>90</w:t>
      </w:r>
      <w:r w:rsidRPr="0016666B">
        <w:t xml:space="preserve">Y beta sources within the luminescence readers, with corrections made to account for spatial variation in the beta dose rate administered to individual grain positions. </w:t>
      </w:r>
    </w:p>
    <w:p w14:paraId="419B364E" w14:textId="77777777" w:rsidR="00097D91" w:rsidRPr="0016666B" w:rsidRDefault="00097D91" w:rsidP="004F5F95">
      <w:r w:rsidRPr="0016666B">
        <w:t xml:space="preserve">The single-aliquot regenerative-dose (SAR) procedure used for single-grain OSL measurements on the KFR1 samples is outlined in </w:t>
      </w:r>
      <w:r w:rsidRPr="0016666B">
        <w:rPr>
          <w:i/>
        </w:rPr>
        <w:t>Table S1</w:t>
      </w:r>
      <w:r w:rsidRPr="0016666B">
        <w:t>. A preheat combination of 260°C (preheat 1) and 220°C (preheat 2) was used for D</w:t>
      </w:r>
      <w:r w:rsidRPr="0016666B">
        <w:rPr>
          <w:vertAlign w:val="subscript"/>
        </w:rPr>
        <w:t>e</w:t>
      </w:r>
      <w:r w:rsidRPr="0016666B">
        <w:t xml:space="preserve"> measurements on all samples, with the exception of OSL10 and OSL11, where 180°C was used for both preheats. A ‘zero regenerative dose’ (0 Gy) measurement cycle was included after the highest regeneration dose cycle to monitor recuperation, followed by a duplicate regenerative dose cycle to test the adequacy of test-dose sensitivity corrections. An OSL infrared (IR) depletion ratio test (Duller, 2003) was done at the end of each SAR measurement sequence (at 50°C for 40 s) to check for feldspar contamination. </w:t>
      </w:r>
    </w:p>
    <w:p w14:paraId="7A7F14B1" w14:textId="3FCD58EA" w:rsidR="00097D91" w:rsidRPr="0016666B" w:rsidRDefault="00097D91" w:rsidP="004F5F95">
      <w:pPr>
        <w:rPr>
          <w:rFonts w:cstheme="minorHAnsi"/>
          <w:iCs/>
          <w:u w:val="single"/>
        </w:rPr>
      </w:pPr>
      <w:r w:rsidRPr="0016666B">
        <w:rPr>
          <w:rFonts w:cstheme="minorHAnsi"/>
          <w:iCs/>
          <w:u w:val="single"/>
        </w:rPr>
        <w:t>D</w:t>
      </w:r>
      <w:r w:rsidRPr="0016666B">
        <w:rPr>
          <w:rFonts w:cstheme="minorHAnsi"/>
          <w:iCs/>
          <w:u w:val="single"/>
          <w:vertAlign w:val="subscript"/>
        </w:rPr>
        <w:t>e</w:t>
      </w:r>
      <w:r w:rsidRPr="0016666B">
        <w:rPr>
          <w:rFonts w:cstheme="minorHAnsi"/>
          <w:iCs/>
          <w:u w:val="single"/>
        </w:rPr>
        <w:t xml:space="preserve"> data analysis and additional results</w:t>
      </w:r>
    </w:p>
    <w:p w14:paraId="7849B9A4" w14:textId="77777777" w:rsidR="00097D91" w:rsidRPr="0016666B" w:rsidRDefault="00097D91" w:rsidP="004F5F95">
      <w:pPr>
        <w:rPr>
          <w:rFonts w:cstheme="minorHAnsi"/>
        </w:rPr>
      </w:pPr>
      <w:r w:rsidRPr="0016666B">
        <w:rPr>
          <w:rFonts w:cstheme="minorHAnsi"/>
        </w:rPr>
        <w:t>All data analyses for D</w:t>
      </w:r>
      <w:r w:rsidRPr="0016666B">
        <w:rPr>
          <w:rFonts w:cstheme="minorHAnsi"/>
          <w:vertAlign w:val="subscript"/>
        </w:rPr>
        <w:t>e</w:t>
      </w:r>
      <w:r w:rsidRPr="0016666B">
        <w:rPr>
          <w:rFonts w:cstheme="minorHAnsi"/>
        </w:rPr>
        <w:t xml:space="preserve"> determination were undertaken in </w:t>
      </w:r>
      <w:r w:rsidRPr="0016666B">
        <w:rPr>
          <w:rFonts w:cstheme="minorHAnsi"/>
          <w:i/>
        </w:rPr>
        <w:t>R</w:t>
      </w:r>
      <w:r w:rsidRPr="0016666B">
        <w:rPr>
          <w:rFonts w:cstheme="minorHAnsi"/>
        </w:rPr>
        <w:t xml:space="preserve"> (R Core Team, 2020) using packages </w:t>
      </w:r>
      <w:proofErr w:type="spellStart"/>
      <w:r w:rsidRPr="0016666B">
        <w:rPr>
          <w:rFonts w:cstheme="minorHAnsi"/>
          <w:i/>
        </w:rPr>
        <w:t>numOSL</w:t>
      </w:r>
      <w:proofErr w:type="spellEnd"/>
      <w:r w:rsidRPr="0016666B">
        <w:rPr>
          <w:rFonts w:cstheme="minorHAnsi"/>
        </w:rPr>
        <w:t xml:space="preserve"> (Peng et al., 2013; Peng and Li, 2017) and </w:t>
      </w:r>
      <w:r w:rsidRPr="0016666B">
        <w:rPr>
          <w:rFonts w:cstheme="minorHAnsi"/>
          <w:i/>
        </w:rPr>
        <w:t>Luminescence</w:t>
      </w:r>
      <w:r w:rsidRPr="0016666B">
        <w:rPr>
          <w:rFonts w:cstheme="minorHAnsi"/>
        </w:rPr>
        <w:t xml:space="preserve"> (Kreutzer et al. 2012; Kreutzer et al. 2021). The net OSL signals were determined using late background subtraction (the first 0.22 s of decay, minus the mean count recorded over the last 0.3 s), and sensitivity-corrected dose response </w:t>
      </w:r>
      <w:r w:rsidRPr="0016666B">
        <w:rPr>
          <w:rFonts w:cstheme="minorHAnsi"/>
        </w:rPr>
        <w:lastRenderedPageBreak/>
        <w:t xml:space="preserve">curves (DRCs) constructed using a general-order kinetic function of the form </w:t>
      </w:r>
      <w:r w:rsidRPr="0016666B">
        <w:rPr>
          <w:rFonts w:cstheme="minorHAnsi"/>
          <w:i/>
        </w:rPr>
        <w:t>f(x) = a[1–(1+</w:t>
      </w:r>
      <w:proofErr w:type="gramStart"/>
      <w:r w:rsidRPr="0016666B">
        <w:rPr>
          <w:rFonts w:cstheme="minorHAnsi"/>
          <w:i/>
        </w:rPr>
        <w:t>bcx)(</w:t>
      </w:r>
      <w:proofErr w:type="gramEnd"/>
      <w:r w:rsidRPr="0016666B">
        <w:rPr>
          <w:rFonts w:cstheme="minorHAnsi"/>
          <w:i/>
        </w:rPr>
        <w:t xml:space="preserve"> –1/c)] + d</w:t>
      </w:r>
      <w:r w:rsidRPr="0016666B">
        <w:rPr>
          <w:rFonts w:cstheme="minorHAnsi"/>
        </w:rPr>
        <w:t xml:space="preserve"> (</w:t>
      </w:r>
      <w:proofErr w:type="spellStart"/>
      <w:r w:rsidRPr="0016666B">
        <w:rPr>
          <w:rFonts w:cstheme="minorHAnsi"/>
        </w:rPr>
        <w:t>Guralnik</w:t>
      </w:r>
      <w:proofErr w:type="spellEnd"/>
      <w:r w:rsidRPr="0016666B">
        <w:rPr>
          <w:rFonts w:cstheme="minorHAnsi"/>
        </w:rPr>
        <w:t xml:space="preserve"> et al., 2015; Peng and Li, 2018). The function </w:t>
      </w:r>
      <w:proofErr w:type="spellStart"/>
      <w:proofErr w:type="gramStart"/>
      <w:r w:rsidRPr="0016666B">
        <w:rPr>
          <w:rFonts w:cstheme="minorHAnsi"/>
        </w:rPr>
        <w:t>calSARED</w:t>
      </w:r>
      <w:proofErr w:type="spellEnd"/>
      <w:r w:rsidRPr="0016666B">
        <w:rPr>
          <w:rFonts w:cstheme="minorHAnsi"/>
        </w:rPr>
        <w:t>(</w:t>
      </w:r>
      <w:proofErr w:type="gramEnd"/>
      <w:r w:rsidRPr="0016666B">
        <w:rPr>
          <w:rFonts w:cstheme="minorHAnsi"/>
        </w:rPr>
        <w:t xml:space="preserve">) in R package </w:t>
      </w:r>
      <w:proofErr w:type="spellStart"/>
      <w:r w:rsidRPr="0016666B">
        <w:rPr>
          <w:rFonts w:cstheme="minorHAnsi"/>
          <w:i/>
        </w:rPr>
        <w:t>numOSL</w:t>
      </w:r>
      <w:proofErr w:type="spellEnd"/>
      <w:r w:rsidRPr="0016666B">
        <w:rPr>
          <w:rFonts w:cstheme="minorHAnsi"/>
        </w:rPr>
        <w:t xml:space="preserve"> was used to implement a quality-assurance rejection criteria for all samples, similar to that proposed by Jacobs et al. (2006). Individual grains were rejected prior to D</w:t>
      </w:r>
      <w:r w:rsidRPr="0016666B">
        <w:rPr>
          <w:rFonts w:cstheme="minorHAnsi"/>
          <w:vertAlign w:val="subscript"/>
        </w:rPr>
        <w:t>e</w:t>
      </w:r>
      <w:r w:rsidRPr="0016666B">
        <w:rPr>
          <w:rFonts w:cstheme="minorHAnsi"/>
        </w:rPr>
        <w:t xml:space="preserve"> determination for one or more of the following reasons:</w:t>
      </w:r>
    </w:p>
    <w:p w14:paraId="3F63C5C9" w14:textId="77777777" w:rsidR="00097D91" w:rsidRPr="0016666B" w:rsidRDefault="00097D91" w:rsidP="004F5F95">
      <w:pPr>
        <w:pStyle w:val="ListParagraph"/>
        <w:numPr>
          <w:ilvl w:val="0"/>
          <w:numId w:val="1"/>
        </w:numPr>
        <w:rPr>
          <w:rFonts w:cstheme="minorHAnsi"/>
        </w:rPr>
      </w:pPr>
      <w:r w:rsidRPr="0016666B">
        <w:rPr>
          <w:rFonts w:cstheme="minorHAnsi"/>
        </w:rPr>
        <w:t>OSL sensitivity is too low for reliable D</w:t>
      </w:r>
      <w:r w:rsidRPr="0016666B">
        <w:rPr>
          <w:rFonts w:cstheme="minorHAnsi"/>
          <w:vertAlign w:val="subscript"/>
        </w:rPr>
        <w:t>e</w:t>
      </w:r>
      <w:r w:rsidRPr="0016666B">
        <w:rPr>
          <w:rFonts w:cstheme="minorHAnsi"/>
        </w:rPr>
        <w:t xml:space="preserve"> determination (the test dose following the natural signal measurement is &lt;3σ above background, or its relative error is &gt;20%).</w:t>
      </w:r>
    </w:p>
    <w:p w14:paraId="71A77793" w14:textId="77777777" w:rsidR="00097D91" w:rsidRPr="0016666B" w:rsidRDefault="00097D91" w:rsidP="004F5F95">
      <w:pPr>
        <w:pStyle w:val="ListParagraph"/>
        <w:numPr>
          <w:ilvl w:val="0"/>
          <w:numId w:val="1"/>
        </w:numPr>
        <w:rPr>
          <w:rFonts w:cstheme="minorHAnsi"/>
        </w:rPr>
      </w:pPr>
      <w:r w:rsidRPr="0016666B">
        <w:rPr>
          <w:rFonts w:cstheme="minorHAnsi"/>
        </w:rPr>
        <w:t>There were high levels of recuperation (the recuperation ratio between the zero and maximum regenerative dose is &gt;5%).</w:t>
      </w:r>
    </w:p>
    <w:p w14:paraId="40A32E26" w14:textId="77777777" w:rsidR="00097D91" w:rsidRPr="0016666B" w:rsidRDefault="00097D91" w:rsidP="004F5F95">
      <w:pPr>
        <w:pStyle w:val="ListParagraph"/>
        <w:numPr>
          <w:ilvl w:val="0"/>
          <w:numId w:val="1"/>
        </w:numPr>
        <w:rPr>
          <w:rFonts w:cstheme="minorHAnsi"/>
        </w:rPr>
      </w:pPr>
      <w:r w:rsidRPr="0016666B">
        <w:rPr>
          <w:rFonts w:cstheme="minorHAnsi"/>
        </w:rPr>
        <w:t>A poor DRC was constructed. Accurate DRC shape is essential for D</w:t>
      </w:r>
      <w:r w:rsidRPr="0016666B">
        <w:rPr>
          <w:rFonts w:cstheme="minorHAnsi"/>
          <w:vertAlign w:val="subscript"/>
        </w:rPr>
        <w:t>e</w:t>
      </w:r>
      <w:r w:rsidRPr="0016666B">
        <w:rPr>
          <w:rFonts w:cstheme="minorHAnsi"/>
        </w:rPr>
        <w:t xml:space="preserve"> determination, and the reliability of its form was tested in a few ways. A grain was rejected if:</w:t>
      </w:r>
    </w:p>
    <w:p w14:paraId="4F2E4970" w14:textId="77777777" w:rsidR="00097D91" w:rsidRPr="0016666B" w:rsidRDefault="00097D91" w:rsidP="004F5F95">
      <w:pPr>
        <w:pStyle w:val="ListParagraph"/>
        <w:numPr>
          <w:ilvl w:val="1"/>
          <w:numId w:val="1"/>
        </w:numPr>
        <w:rPr>
          <w:rFonts w:cstheme="minorHAnsi"/>
        </w:rPr>
      </w:pPr>
      <w:r w:rsidRPr="0016666B">
        <w:rPr>
          <w:rFonts w:cstheme="minorHAnsi"/>
        </w:rPr>
        <w:t>The first recycling ratio (between the first and duplicate laboratory regenerative doses) is inconsistent with unity at 2σ, which is indicative of inadequate regenerative dose sensitivity correction.</w:t>
      </w:r>
    </w:p>
    <w:p w14:paraId="3DC41B2A" w14:textId="77777777" w:rsidR="00097D91" w:rsidRPr="0016666B" w:rsidRDefault="00097D91" w:rsidP="004F5F95">
      <w:pPr>
        <w:pStyle w:val="ListParagraph"/>
        <w:numPr>
          <w:ilvl w:val="1"/>
          <w:numId w:val="1"/>
        </w:numPr>
        <w:rPr>
          <w:rFonts w:cstheme="minorHAnsi"/>
        </w:rPr>
      </w:pPr>
      <w:r w:rsidRPr="0016666B">
        <w:rPr>
          <w:rFonts w:cstheme="minorHAnsi"/>
        </w:rPr>
        <w:t>The OSL IR depletion ratio is &gt;2σ below unity, indicative of feldspar contamination.</w:t>
      </w:r>
    </w:p>
    <w:p w14:paraId="2752ED0E" w14:textId="77777777" w:rsidR="00097D91" w:rsidRPr="0016666B" w:rsidRDefault="00097D91" w:rsidP="004F5F95">
      <w:pPr>
        <w:pStyle w:val="ListParagraph"/>
        <w:numPr>
          <w:ilvl w:val="1"/>
          <w:numId w:val="1"/>
        </w:numPr>
        <w:rPr>
          <w:rFonts w:cstheme="minorHAnsi"/>
        </w:rPr>
      </w:pPr>
      <w:r w:rsidRPr="0016666B">
        <w:rPr>
          <w:rFonts w:cstheme="minorHAnsi"/>
        </w:rPr>
        <w:t>The second recycling ratio (between the duplicate laboratory regenerative dose and that administered prior to IR depletion) is inconsistent with unity at 2σ. This ensures the reproducibility of a grain passing a test of adequate sensitivity change correction and of feldspar contamination.</w:t>
      </w:r>
    </w:p>
    <w:p w14:paraId="335D00E9" w14:textId="6109C138" w:rsidR="00097D91" w:rsidRPr="0016666B" w:rsidRDefault="00097D91" w:rsidP="004F5F95">
      <w:pPr>
        <w:pStyle w:val="ListParagraph"/>
        <w:numPr>
          <w:ilvl w:val="1"/>
          <w:numId w:val="1"/>
        </w:numPr>
        <w:rPr>
          <w:rFonts w:cstheme="minorHAnsi"/>
        </w:rPr>
      </w:pPr>
      <w:r w:rsidRPr="0016666B">
        <w:rPr>
          <w:rFonts w:cstheme="minorHAnsi"/>
        </w:rPr>
        <w:t>The sensitivity-corrected regenerative dose ratios are too scattered (the reduced chi-square (RCS) value is &gt;5 or the figure-of-merit (FOM) value is &gt;10%) (Peng et al., 201</w:t>
      </w:r>
      <w:r w:rsidR="003D7D79" w:rsidRPr="0016666B">
        <w:rPr>
          <w:rFonts w:cstheme="minorHAnsi"/>
        </w:rPr>
        <w:t>7</w:t>
      </w:r>
      <w:r w:rsidRPr="0016666B">
        <w:rPr>
          <w:rFonts w:cstheme="minorHAnsi"/>
        </w:rPr>
        <w:t>; Peng and Li, 2018). These goodness-of-fit metrics are defined as:</w:t>
      </w:r>
    </w:p>
    <w:p w14:paraId="11F8C7C9" w14:textId="77777777" w:rsidR="00097D91" w:rsidRPr="0016666B" w:rsidRDefault="00097D91" w:rsidP="004F5F95">
      <w:pPr>
        <w:pStyle w:val="ListParagraph"/>
        <w:ind w:left="1440"/>
        <w:rPr>
          <w:rFonts w:cstheme="minorHAnsi"/>
        </w:rPr>
      </w:pPr>
    </w:p>
    <w:p w14:paraId="10151508" w14:textId="60619716" w:rsidR="00097D91" w:rsidRPr="0016666B" w:rsidRDefault="0016666B" w:rsidP="004F5F95">
      <w:pPr>
        <w:pStyle w:val="ListParagraph"/>
        <w:ind w:left="1440"/>
        <w:rPr>
          <w:rFonts w:eastAsiaTheme="minorEastAsia" w:cstheme="minorHAnsi"/>
          <w:iCs/>
        </w:rPr>
      </w:pPr>
      <m:oMathPara>
        <m:oMath>
          <m:r>
            <w:rPr>
              <w:rFonts w:ascii="Cambria Math" w:hAnsi="Cambria Math" w:cstheme="minorHAnsi"/>
            </w:rPr>
            <m:t xml:space="preserve">RCS = </m:t>
          </m:r>
          <m:f>
            <m:fPr>
              <m:ctrlPr>
                <w:rPr>
                  <w:rFonts w:ascii="Cambria Math" w:hAnsi="Cambria Math" w:cstheme="minorHAnsi"/>
                  <w:i/>
                  <w:iCs/>
                </w:rPr>
              </m:ctrlPr>
            </m:fPr>
            <m:num>
              <m:r>
                <w:rPr>
                  <w:rFonts w:ascii="Cambria Math" w:hAnsi="Cambria Math" w:cstheme="minorHAnsi"/>
                </w:rPr>
                <m:t>1</m:t>
              </m:r>
            </m:num>
            <m:den>
              <m:r>
                <w:rPr>
                  <w:rFonts w:ascii="Cambria Math" w:hAnsi="Cambria Math" w:cstheme="minorHAnsi"/>
                </w:rPr>
                <m:t>N-n</m:t>
              </m:r>
            </m:den>
          </m:f>
          <m:r>
            <m:rPr>
              <m:nor/>
            </m:rPr>
            <w:rPr>
              <w:rFonts w:cstheme="minorHAnsi"/>
              <w:iCs/>
            </w:rPr>
            <m:t xml:space="preserve"> x  ∑</m:t>
          </m:r>
          <m:f>
            <m:fPr>
              <m:type m:val="noBar"/>
              <m:ctrlPr>
                <w:rPr>
                  <w:rFonts w:ascii="Cambria Math" w:hAnsi="Cambria Math" w:cstheme="minorHAnsi"/>
                  <w:i/>
                  <w:iCs/>
                </w:rPr>
              </m:ctrlPr>
            </m:fPr>
            <m:num>
              <m:r>
                <w:rPr>
                  <w:rFonts w:ascii="Cambria Math" w:hAnsi="Cambria Math" w:cstheme="minorHAnsi"/>
                </w:rPr>
                <m:t>n</m:t>
              </m:r>
            </m:num>
            <m:den>
              <m:r>
                <w:rPr>
                  <w:rFonts w:ascii="Cambria Math" w:hAnsi="Cambria Math" w:cstheme="minorHAnsi"/>
                </w:rPr>
                <m:t>i</m:t>
              </m:r>
            </m:den>
          </m:f>
          <m:box>
            <m:boxPr>
              <m:ctrlPr>
                <w:rPr>
                  <w:rFonts w:ascii="Cambria Math" w:hAnsi="Cambria Math" w:cstheme="minorHAnsi"/>
                  <w:i/>
                  <w:iCs/>
                </w:rPr>
              </m:ctrlPr>
            </m:boxPr>
            <m:e>
              <m:argPr>
                <m:argSz m:val="-1"/>
              </m:argPr>
              <m:f>
                <m:fPr>
                  <m:type m:val="noBar"/>
                  <m:ctrlPr>
                    <w:rPr>
                      <w:rFonts w:ascii="Cambria Math" w:hAnsi="Cambria Math" w:cstheme="minorHAnsi"/>
                      <w:i/>
                      <w:iCs/>
                    </w:rPr>
                  </m:ctrlPr>
                </m:fPr>
                <m:num>
                  <m:r>
                    <w:rPr>
                      <w:rFonts w:ascii="Cambria Math" w:hAnsi="Cambria Math" w:cstheme="minorHAnsi"/>
                    </w:rPr>
                    <m:t xml:space="preserve"> </m:t>
                  </m:r>
                </m:num>
                <m:den>
                  <m:r>
                    <w:rPr>
                      <w:rFonts w:ascii="Cambria Math" w:hAnsi="Cambria Math" w:cstheme="minorHAnsi"/>
                    </w:rPr>
                    <m:t>=1</m:t>
                  </m:r>
                </m:den>
              </m:f>
            </m:e>
          </m:box>
          <m:r>
            <w:rPr>
              <w:rFonts w:ascii="Cambria Math" w:hAnsi="Cambria Math" w:cstheme="minorHAnsi"/>
            </w:rPr>
            <m:t xml:space="preserve"> </m:t>
          </m:r>
          <m:f>
            <m:fPr>
              <m:ctrlPr>
                <w:rPr>
                  <w:rFonts w:ascii="Cambria Math" w:hAnsi="Cambria Math" w:cstheme="minorHAnsi"/>
                  <w:i/>
                  <w:iCs/>
                </w:rPr>
              </m:ctrlPr>
            </m:fPr>
            <m:num>
              <m:sSup>
                <m:sSupPr>
                  <m:ctrlPr>
                    <w:rPr>
                      <w:rFonts w:ascii="Cambria Math" w:hAnsi="Cambria Math" w:cstheme="minorHAnsi"/>
                      <w:i/>
                      <w:iCs/>
                    </w:rPr>
                  </m:ctrlPr>
                </m:sSupPr>
                <m:e>
                  <m:d>
                    <m:dPr>
                      <m:ctrlPr>
                        <w:rPr>
                          <w:rFonts w:ascii="Cambria Math" w:hAnsi="Cambria Math" w:cstheme="minorHAnsi"/>
                          <w:i/>
                          <w:iCs/>
                        </w:rPr>
                      </m:ctrlPr>
                    </m:dPr>
                    <m:e>
                      <m:r>
                        <w:rPr>
                          <w:rFonts w:ascii="Cambria Math" w:hAnsi="Cambria Math" w:cstheme="minorHAnsi"/>
                        </w:rPr>
                        <m:t>y</m:t>
                      </m:r>
                      <m:f>
                        <m:fPr>
                          <m:type m:val="noBar"/>
                          <m:ctrlPr>
                            <w:rPr>
                              <w:rFonts w:ascii="Cambria Math" w:hAnsi="Cambria Math" w:cstheme="minorHAnsi"/>
                              <w:i/>
                              <w:iCs/>
                            </w:rPr>
                          </m:ctrlPr>
                        </m:fPr>
                        <m:num>
                          <m:r>
                            <w:rPr>
                              <w:rFonts w:ascii="Cambria Math" w:hAnsi="Cambria Math" w:cstheme="minorHAnsi"/>
                            </w:rPr>
                            <m:t>o</m:t>
                          </m:r>
                        </m:num>
                        <m:den>
                          <m:r>
                            <w:rPr>
                              <w:rFonts w:ascii="Cambria Math" w:hAnsi="Cambria Math" w:cstheme="minorHAnsi"/>
                            </w:rPr>
                            <m:t>i</m:t>
                          </m:r>
                        </m:den>
                      </m:f>
                      <m:r>
                        <w:rPr>
                          <w:rFonts w:ascii="Cambria Math" w:hAnsi="Cambria Math" w:cstheme="minorHAnsi"/>
                        </w:rPr>
                        <m:t>-y</m:t>
                      </m:r>
                      <m:f>
                        <m:fPr>
                          <m:type m:val="noBar"/>
                          <m:ctrlPr>
                            <w:rPr>
                              <w:rFonts w:ascii="Cambria Math" w:hAnsi="Cambria Math" w:cstheme="minorHAnsi"/>
                              <w:i/>
                              <w:iCs/>
                            </w:rPr>
                          </m:ctrlPr>
                        </m:fPr>
                        <m:num>
                          <m:r>
                            <w:rPr>
                              <w:rFonts w:ascii="Cambria Math" w:hAnsi="Cambria Math" w:cstheme="minorHAnsi"/>
                            </w:rPr>
                            <m:t>f</m:t>
                          </m:r>
                        </m:num>
                        <m:den>
                          <m:r>
                            <w:rPr>
                              <w:rFonts w:ascii="Cambria Math" w:hAnsi="Cambria Math" w:cstheme="minorHAnsi"/>
                            </w:rPr>
                            <m:t>i</m:t>
                          </m:r>
                        </m:den>
                      </m:f>
                    </m:e>
                  </m:d>
                  <m:r>
                    <w:rPr>
                      <w:rFonts w:ascii="Cambria Math" w:hAnsi="Cambria Math" w:cstheme="minorHAnsi"/>
                    </w:rPr>
                    <m:t xml:space="preserve"> </m:t>
                  </m:r>
                </m:e>
                <m:sup>
                  <m:r>
                    <w:rPr>
                      <w:rFonts w:ascii="Cambria Math" w:hAnsi="Cambria Math" w:cstheme="minorHAnsi"/>
                    </w:rPr>
                    <m:t>2</m:t>
                  </m:r>
                </m:sup>
              </m:sSup>
            </m:num>
            <m:den>
              <m:r>
                <w:rPr>
                  <w:rFonts w:ascii="Cambria Math" w:hAnsi="Cambria Math" w:cstheme="minorHAnsi"/>
                </w:rPr>
                <m:t>σ</m:t>
              </m:r>
              <m:f>
                <m:fPr>
                  <m:type m:val="noBar"/>
                  <m:ctrlPr>
                    <w:rPr>
                      <w:rFonts w:ascii="Cambria Math" w:hAnsi="Cambria Math" w:cstheme="minorHAnsi"/>
                      <w:i/>
                      <w:iCs/>
                    </w:rPr>
                  </m:ctrlPr>
                </m:fPr>
                <m:num>
                  <m:r>
                    <w:rPr>
                      <w:rFonts w:ascii="Cambria Math" w:hAnsi="Cambria Math" w:cstheme="minorHAnsi"/>
                    </w:rPr>
                    <m:t>2</m:t>
                  </m:r>
                </m:num>
                <m:den>
                  <m:r>
                    <w:rPr>
                      <w:rFonts w:ascii="Cambria Math" w:hAnsi="Cambria Math" w:cstheme="minorHAnsi"/>
                    </w:rPr>
                    <m:t>i</m:t>
                  </m:r>
                </m:den>
              </m:f>
            </m:den>
          </m:f>
        </m:oMath>
      </m:oMathPara>
    </w:p>
    <w:p w14:paraId="13D4916D" w14:textId="77777777" w:rsidR="00097D91" w:rsidRPr="0016666B" w:rsidRDefault="00097D91" w:rsidP="004F5F95">
      <w:pPr>
        <w:pStyle w:val="ListParagraph"/>
        <w:ind w:left="1440"/>
        <w:rPr>
          <w:rFonts w:eastAsiaTheme="minorEastAsia" w:cstheme="minorHAnsi"/>
          <w:iCs/>
        </w:rPr>
      </w:pPr>
      <w:r w:rsidRPr="0016666B">
        <w:rPr>
          <w:rFonts w:eastAsiaTheme="minorEastAsia" w:cstheme="minorHAnsi"/>
          <w:iCs/>
        </w:rPr>
        <w:t>and</w:t>
      </w:r>
    </w:p>
    <w:p w14:paraId="5CDBBAF1" w14:textId="3CB4D581" w:rsidR="00097D91" w:rsidRPr="0016666B" w:rsidRDefault="0016666B" w:rsidP="004F5F95">
      <w:pPr>
        <w:pStyle w:val="ListParagraph"/>
        <w:ind w:left="1440"/>
        <w:rPr>
          <w:rFonts w:eastAsiaTheme="minorEastAsia" w:cstheme="minorHAnsi"/>
          <w:iCs/>
        </w:rPr>
      </w:pPr>
      <m:oMathPara>
        <m:oMath>
          <m:r>
            <w:rPr>
              <w:rFonts w:ascii="Cambria Math" w:hAnsi="Cambria Math" w:cstheme="minorHAnsi"/>
            </w:rPr>
            <m:t>FOM</m:t>
          </m:r>
          <m:d>
            <m:dPr>
              <m:grow m:val="0"/>
              <m:ctrlPr>
                <w:rPr>
                  <w:rFonts w:ascii="Cambria Math" w:hAnsi="Cambria Math" w:cstheme="minorHAnsi"/>
                  <w:iCs/>
                </w:rPr>
              </m:ctrlPr>
            </m:dPr>
            <m:e>
              <m:r>
                <w:rPr>
                  <w:rFonts w:ascii="Cambria Math" w:hAnsi="Cambria Math" w:cstheme="minorHAnsi"/>
                </w:rPr>
                <m:t>%</m:t>
              </m:r>
            </m:e>
          </m:d>
          <m:r>
            <w:rPr>
              <w:rFonts w:ascii="Cambria Math" w:hAnsi="Cambria Math" w:cstheme="minorHAnsi"/>
            </w:rPr>
            <m:t xml:space="preserve"> = 100</m:t>
          </m:r>
          <m:r>
            <m:rPr>
              <m:sty m:val="p"/>
            </m:rPr>
            <w:rPr>
              <w:rFonts w:ascii="Cambria Math" w:hAnsi="Cambria Math" w:cstheme="minorHAnsi"/>
            </w:rPr>
            <m:t xml:space="preserve"> x</m:t>
          </m:r>
          <m:r>
            <m:rPr>
              <m:nor/>
            </m:rPr>
            <w:rPr>
              <w:rFonts w:cstheme="minorHAnsi"/>
              <w:iCs/>
            </w:rPr>
            <m:t xml:space="preserve"> </m:t>
          </m:r>
          <m:f>
            <m:fPr>
              <m:ctrlPr>
                <w:rPr>
                  <w:rFonts w:ascii="Cambria Math" w:hAnsi="Cambria Math" w:cstheme="minorHAnsi"/>
                  <w:i/>
                  <w:iCs/>
                </w:rPr>
              </m:ctrlPr>
            </m:fPr>
            <m:num>
              <m:r>
                <w:rPr>
                  <w:rFonts w:ascii="Cambria Math" w:hAnsi="Cambria Math" w:cstheme="minorHAnsi"/>
                </w:rPr>
                <m:t>∑</m:t>
              </m:r>
              <m:f>
                <m:fPr>
                  <m:type m:val="noBar"/>
                  <m:ctrlPr>
                    <w:rPr>
                      <w:rFonts w:ascii="Cambria Math" w:hAnsi="Cambria Math" w:cstheme="minorHAnsi"/>
                      <w:i/>
                      <w:iCs/>
                    </w:rPr>
                  </m:ctrlPr>
                </m:fPr>
                <m:num>
                  <m:r>
                    <w:rPr>
                      <w:rFonts w:ascii="Cambria Math" w:hAnsi="Cambria Math" w:cstheme="minorHAnsi"/>
                    </w:rPr>
                    <m:t>n</m:t>
                  </m:r>
                </m:num>
                <m:den>
                  <m:r>
                    <w:rPr>
                      <w:rFonts w:ascii="Cambria Math" w:hAnsi="Cambria Math" w:cstheme="minorHAnsi"/>
                    </w:rPr>
                    <m:t>i</m:t>
                  </m:r>
                </m:den>
              </m:f>
              <m:box>
                <m:boxPr>
                  <m:ctrlPr>
                    <w:rPr>
                      <w:rFonts w:ascii="Cambria Math" w:hAnsi="Cambria Math" w:cstheme="minorHAnsi"/>
                      <w:i/>
                      <w:iCs/>
                    </w:rPr>
                  </m:ctrlPr>
                </m:boxPr>
                <m:e>
                  <m:argPr>
                    <m:argSz m:val="-1"/>
                  </m:argPr>
                  <m:f>
                    <m:fPr>
                      <m:type m:val="noBar"/>
                      <m:ctrlPr>
                        <w:rPr>
                          <w:rFonts w:ascii="Cambria Math" w:hAnsi="Cambria Math" w:cstheme="minorHAnsi"/>
                          <w:i/>
                          <w:iCs/>
                        </w:rPr>
                      </m:ctrlPr>
                    </m:fPr>
                    <m:num>
                      <m:r>
                        <w:rPr>
                          <w:rFonts w:ascii="Cambria Math" w:hAnsi="Cambria Math" w:cstheme="minorHAnsi"/>
                        </w:rPr>
                        <m:t xml:space="preserve"> </m:t>
                      </m:r>
                    </m:num>
                    <m:den>
                      <m:r>
                        <w:rPr>
                          <w:rFonts w:ascii="Cambria Math" w:hAnsi="Cambria Math" w:cstheme="minorHAnsi"/>
                        </w:rPr>
                        <m:t>=1</m:t>
                      </m:r>
                    </m:den>
                  </m:f>
                </m:e>
              </m:box>
              <m:r>
                <w:rPr>
                  <w:rFonts w:ascii="Cambria Math" w:eastAsia="AdvPS4C9543" w:hAnsi="Cambria Math" w:cstheme="minorHAnsi"/>
                </w:rPr>
                <m:t xml:space="preserve"> |y</m:t>
              </m:r>
              <m:f>
                <m:fPr>
                  <m:type m:val="noBar"/>
                  <m:ctrlPr>
                    <w:rPr>
                      <w:rFonts w:ascii="Cambria Math" w:eastAsia="AdvPS4C9543" w:hAnsi="Cambria Math" w:cstheme="minorHAnsi"/>
                    </w:rPr>
                  </m:ctrlPr>
                </m:fPr>
                <m:num>
                  <m:r>
                    <w:rPr>
                      <w:rFonts w:ascii="Cambria Math" w:eastAsia="AdvPS4C9543" w:hAnsi="Cambria Math" w:cstheme="minorHAnsi"/>
                    </w:rPr>
                    <m:t>o</m:t>
                  </m:r>
                </m:num>
                <m:den>
                  <m:r>
                    <w:rPr>
                      <w:rFonts w:ascii="Cambria Math" w:eastAsia="AdvPS4C9543" w:hAnsi="Cambria Math" w:cstheme="minorHAnsi"/>
                    </w:rPr>
                    <m:t>i</m:t>
                  </m:r>
                </m:den>
              </m:f>
              <m:r>
                <w:rPr>
                  <w:rFonts w:ascii="Cambria Math" w:eastAsia="AdvPS4C9543" w:hAnsi="Cambria Math" w:cstheme="minorHAnsi"/>
                </w:rPr>
                <m:t>-y</m:t>
              </m:r>
              <m:f>
                <m:fPr>
                  <m:type m:val="noBar"/>
                  <m:ctrlPr>
                    <w:rPr>
                      <w:rFonts w:ascii="Cambria Math" w:eastAsia="AdvPS4C9543" w:hAnsi="Cambria Math" w:cstheme="minorHAnsi"/>
                      <w:i/>
                    </w:rPr>
                  </m:ctrlPr>
                </m:fPr>
                <m:num>
                  <m:r>
                    <w:rPr>
                      <w:rFonts w:ascii="Cambria Math" w:eastAsia="AdvPS4C9543" w:hAnsi="Cambria Math" w:cstheme="minorHAnsi"/>
                    </w:rPr>
                    <m:t>f</m:t>
                  </m:r>
                </m:num>
                <m:den>
                  <m:r>
                    <w:rPr>
                      <w:rFonts w:ascii="Cambria Math" w:eastAsia="AdvPS4C9543" w:hAnsi="Cambria Math" w:cstheme="minorHAnsi"/>
                    </w:rPr>
                    <m:t>i</m:t>
                  </m:r>
                </m:den>
              </m:f>
              <m:r>
                <w:rPr>
                  <w:rFonts w:ascii="Cambria Math" w:eastAsia="AdvPS4C9543" w:hAnsi="Cambria Math" w:cstheme="minorHAnsi"/>
                </w:rPr>
                <m:t>|</m:t>
              </m:r>
            </m:num>
            <m:den>
              <m:r>
                <w:rPr>
                  <w:rFonts w:ascii="Cambria Math" w:hAnsi="Cambria Math" w:cstheme="minorHAnsi"/>
                </w:rPr>
                <m:t>∑</m:t>
              </m:r>
              <m:f>
                <m:fPr>
                  <m:type m:val="noBar"/>
                  <m:ctrlPr>
                    <w:rPr>
                      <w:rFonts w:ascii="Cambria Math" w:hAnsi="Cambria Math" w:cstheme="minorHAnsi"/>
                      <w:i/>
                      <w:iCs/>
                    </w:rPr>
                  </m:ctrlPr>
                </m:fPr>
                <m:num>
                  <m:r>
                    <w:rPr>
                      <w:rFonts w:ascii="Cambria Math" w:hAnsi="Cambria Math" w:cstheme="minorHAnsi"/>
                    </w:rPr>
                    <m:t>n</m:t>
                  </m:r>
                </m:num>
                <m:den>
                  <m:r>
                    <w:rPr>
                      <w:rFonts w:ascii="Cambria Math" w:hAnsi="Cambria Math" w:cstheme="minorHAnsi"/>
                    </w:rPr>
                    <m:t>i</m:t>
                  </m:r>
                </m:den>
              </m:f>
              <m:box>
                <m:boxPr>
                  <m:ctrlPr>
                    <w:rPr>
                      <w:rFonts w:ascii="Cambria Math" w:hAnsi="Cambria Math" w:cstheme="minorHAnsi"/>
                      <w:i/>
                      <w:iCs/>
                    </w:rPr>
                  </m:ctrlPr>
                </m:boxPr>
                <m:e>
                  <m:argPr>
                    <m:argSz m:val="-1"/>
                  </m:argPr>
                  <m:f>
                    <m:fPr>
                      <m:type m:val="noBar"/>
                      <m:ctrlPr>
                        <w:rPr>
                          <w:rFonts w:ascii="Cambria Math" w:hAnsi="Cambria Math" w:cstheme="minorHAnsi"/>
                          <w:i/>
                          <w:iCs/>
                        </w:rPr>
                      </m:ctrlPr>
                    </m:fPr>
                    <m:num>
                      <m:r>
                        <w:rPr>
                          <w:rFonts w:ascii="Cambria Math" w:hAnsi="Cambria Math" w:cstheme="minorHAnsi"/>
                        </w:rPr>
                        <m:t xml:space="preserve"> </m:t>
                      </m:r>
                    </m:num>
                    <m:den>
                      <m:r>
                        <w:rPr>
                          <w:rFonts w:ascii="Cambria Math" w:hAnsi="Cambria Math" w:cstheme="minorHAnsi"/>
                        </w:rPr>
                        <m:t>=1</m:t>
                      </m:r>
                      <m:r>
                        <m:rPr>
                          <m:nor/>
                        </m:rPr>
                        <w:rPr>
                          <w:rFonts w:cstheme="minorHAnsi"/>
                          <w:iCs/>
                        </w:rPr>
                        <m:t xml:space="preserve"> </m:t>
                      </m:r>
                    </m:den>
                  </m:f>
                </m:e>
              </m:box>
              <m:r>
                <w:rPr>
                  <w:rFonts w:ascii="Cambria Math" w:eastAsia="AdvPS4C9543" w:hAnsi="Cambria Math" w:cstheme="minorHAnsi"/>
                </w:rPr>
                <m:t>y</m:t>
              </m:r>
              <m:f>
                <m:fPr>
                  <m:type m:val="noBar"/>
                  <m:ctrlPr>
                    <w:rPr>
                      <w:rFonts w:ascii="Cambria Math" w:eastAsia="AdvPS4C9543" w:hAnsi="Cambria Math" w:cstheme="minorHAnsi"/>
                      <w:i/>
                    </w:rPr>
                  </m:ctrlPr>
                </m:fPr>
                <m:num>
                  <m:r>
                    <w:rPr>
                      <w:rFonts w:ascii="Cambria Math" w:eastAsia="AdvPS4C9543" w:hAnsi="Cambria Math" w:cstheme="minorHAnsi"/>
                    </w:rPr>
                    <m:t>f</m:t>
                  </m:r>
                </m:num>
                <m:den>
                  <m:r>
                    <w:rPr>
                      <w:rFonts w:ascii="Cambria Math" w:eastAsia="AdvPS4C9543" w:hAnsi="Cambria Math" w:cstheme="minorHAnsi"/>
                    </w:rPr>
                    <m:t>i</m:t>
                  </m:r>
                </m:den>
              </m:f>
            </m:den>
          </m:f>
          <m:r>
            <w:rPr>
              <w:rFonts w:ascii="Cambria Math" w:hAnsi="Cambria Math" w:cstheme="minorHAnsi"/>
            </w:rPr>
            <m:t xml:space="preserve">  </m:t>
          </m:r>
          <m:r>
            <m:rPr>
              <m:sty m:val="p"/>
            </m:rPr>
            <w:rPr>
              <w:rFonts w:ascii="Cambria Math" w:hAnsi="Cambria Math" w:cstheme="minorHAnsi"/>
            </w:rPr>
            <w:br/>
          </m:r>
        </m:oMath>
      </m:oMathPara>
      <w:r w:rsidR="00097D91" w:rsidRPr="0016666B">
        <w:rPr>
          <w:rFonts w:eastAsiaTheme="minorEastAsia" w:cstheme="minorHAnsi"/>
          <w:iCs/>
        </w:rPr>
        <w:t xml:space="preserve">where the </w:t>
      </w:r>
      <m:oMath>
        <m:r>
          <w:rPr>
            <w:rFonts w:ascii="Cambria Math" w:eastAsia="AdvPS4C9543" w:hAnsi="Cambria Math" w:cstheme="minorHAnsi"/>
          </w:rPr>
          <m:t>y</m:t>
        </m:r>
        <m:f>
          <m:fPr>
            <m:type m:val="noBar"/>
            <m:ctrlPr>
              <w:rPr>
                <w:rFonts w:ascii="Cambria Math" w:eastAsia="AdvPS4C9543" w:hAnsi="Cambria Math" w:cstheme="minorHAnsi"/>
              </w:rPr>
            </m:ctrlPr>
          </m:fPr>
          <m:num>
            <m:r>
              <w:rPr>
                <w:rFonts w:ascii="Cambria Math" w:eastAsia="AdvPS4C9543" w:hAnsi="Cambria Math" w:cstheme="minorHAnsi"/>
              </w:rPr>
              <m:t>o</m:t>
            </m:r>
          </m:num>
          <m:den>
            <m:r>
              <w:rPr>
                <w:rFonts w:ascii="Cambria Math" w:eastAsia="AdvPS4C9543" w:hAnsi="Cambria Math" w:cstheme="minorHAnsi"/>
              </w:rPr>
              <m:t>i</m:t>
            </m:r>
          </m:den>
        </m:f>
      </m:oMath>
      <w:r w:rsidR="00097D91" w:rsidRPr="0016666B">
        <w:rPr>
          <w:rFonts w:eastAsiaTheme="minorEastAsia" w:cstheme="minorHAnsi"/>
        </w:rPr>
        <w:t xml:space="preserve"> and </w:t>
      </w:r>
      <m:oMath>
        <m:r>
          <w:rPr>
            <w:rFonts w:ascii="Cambria Math" w:eastAsia="AdvPS4C9543" w:hAnsi="Cambria Math" w:cstheme="minorHAnsi"/>
          </w:rPr>
          <m:t>y</m:t>
        </m:r>
        <m:f>
          <m:fPr>
            <m:type m:val="noBar"/>
            <m:ctrlPr>
              <w:rPr>
                <w:rFonts w:ascii="Cambria Math" w:eastAsia="AdvPS4C9543" w:hAnsi="Cambria Math" w:cstheme="minorHAnsi"/>
                <w:i/>
              </w:rPr>
            </m:ctrlPr>
          </m:fPr>
          <m:num>
            <m:r>
              <w:rPr>
                <w:rFonts w:ascii="Cambria Math" w:eastAsia="AdvPS4C9543" w:hAnsi="Cambria Math" w:cstheme="minorHAnsi"/>
              </w:rPr>
              <m:t>f</m:t>
            </m:r>
          </m:num>
          <m:den>
            <m:r>
              <w:rPr>
                <w:rFonts w:ascii="Cambria Math" w:eastAsia="AdvPS4C9543" w:hAnsi="Cambria Math" w:cstheme="minorHAnsi"/>
              </w:rPr>
              <m:t>i</m:t>
            </m:r>
          </m:den>
        </m:f>
      </m:oMath>
      <w:r w:rsidR="00097D91" w:rsidRPr="0016666B">
        <w:rPr>
          <w:rFonts w:eastAsiaTheme="minorEastAsia" w:cstheme="minorHAnsi"/>
        </w:rPr>
        <w:t xml:space="preserve"> denote the </w:t>
      </w:r>
      <m:oMath>
        <m:sSup>
          <m:sSupPr>
            <m:ctrlPr>
              <w:rPr>
                <w:rFonts w:ascii="Cambria Math" w:eastAsia="AdvPS4C9543" w:hAnsi="Cambria Math" w:cstheme="minorHAnsi"/>
                <w:i/>
              </w:rPr>
            </m:ctrlPr>
          </m:sSupPr>
          <m:e>
            <m:r>
              <w:rPr>
                <w:rFonts w:ascii="Cambria Math" w:eastAsia="AdvPS4C9543" w:hAnsi="Cambria Math" w:cstheme="minorHAnsi"/>
              </w:rPr>
              <m:t>i</m:t>
            </m:r>
          </m:e>
          <m:sup>
            <m:r>
              <w:rPr>
                <w:rFonts w:ascii="Cambria Math" w:eastAsia="AdvPS4C9543" w:hAnsi="Cambria Math" w:cstheme="minorHAnsi"/>
              </w:rPr>
              <m:t>th</m:t>
            </m:r>
          </m:sup>
        </m:sSup>
      </m:oMath>
      <w:r w:rsidR="00097D91" w:rsidRPr="0016666B">
        <w:rPr>
          <w:rFonts w:eastAsiaTheme="minorEastAsia" w:cstheme="minorHAnsi"/>
        </w:rPr>
        <w:t xml:space="preserve"> observed and fitted values (respectively). </w:t>
      </w:r>
    </w:p>
    <w:p w14:paraId="749FA02A" w14:textId="77777777" w:rsidR="00097D91" w:rsidRPr="0016666B" w:rsidRDefault="00097D91" w:rsidP="004F5F95">
      <w:pPr>
        <w:pStyle w:val="ListParagraph"/>
        <w:numPr>
          <w:ilvl w:val="0"/>
          <w:numId w:val="1"/>
        </w:numPr>
        <w:rPr>
          <w:rFonts w:cstheme="minorHAnsi"/>
        </w:rPr>
      </w:pPr>
      <w:r w:rsidRPr="0016666B">
        <w:rPr>
          <w:rFonts w:cstheme="minorHAnsi"/>
        </w:rPr>
        <w:t>The grain D</w:t>
      </w:r>
      <w:r w:rsidRPr="0016666B">
        <w:rPr>
          <w:rFonts w:cstheme="minorHAnsi"/>
          <w:vertAlign w:val="subscript"/>
        </w:rPr>
        <w:t>e</w:t>
      </w:r>
      <w:r w:rsidRPr="0016666B">
        <w:rPr>
          <w:rFonts w:cstheme="minorHAnsi"/>
        </w:rPr>
        <w:t xml:space="preserve"> value is unable to be calculated by interpolation (‘non-intersecting’ grains) or the sensitivity-corrected natural signal does not intersect the DRC (‘saturated’ grains).</w:t>
      </w:r>
    </w:p>
    <w:p w14:paraId="2AD06BB0" w14:textId="77777777" w:rsidR="00097D91" w:rsidRPr="0016666B" w:rsidRDefault="00097D91" w:rsidP="004F5F95">
      <w:pPr>
        <w:pStyle w:val="ListParagraph"/>
        <w:numPr>
          <w:ilvl w:val="0"/>
          <w:numId w:val="1"/>
        </w:numPr>
        <w:rPr>
          <w:rFonts w:cstheme="minorHAnsi"/>
        </w:rPr>
      </w:pPr>
      <w:r w:rsidRPr="0016666B">
        <w:rPr>
          <w:rFonts w:cstheme="minorHAnsi"/>
        </w:rPr>
        <w:t>The grain has a D</w:t>
      </w:r>
      <w:r w:rsidRPr="0016666B">
        <w:rPr>
          <w:rFonts w:cstheme="minorHAnsi"/>
          <w:vertAlign w:val="subscript"/>
        </w:rPr>
        <w:t>e</w:t>
      </w:r>
      <w:r w:rsidRPr="0016666B">
        <w:rPr>
          <w:rFonts w:cstheme="minorHAnsi"/>
        </w:rPr>
        <w:t xml:space="preserve"> value consistent with zero (likely a modern contaminant).</w:t>
      </w:r>
    </w:p>
    <w:p w14:paraId="18BFFF4E" w14:textId="77777777" w:rsidR="00097D91" w:rsidRPr="0016666B" w:rsidRDefault="00097D91" w:rsidP="004F5F95">
      <w:pPr>
        <w:rPr>
          <w:rFonts w:ascii="Times New Roman" w:hAnsi="Times New Roman" w:cs="Times New Roman"/>
          <w:sz w:val="24"/>
          <w:szCs w:val="24"/>
        </w:rPr>
      </w:pPr>
      <w:r w:rsidRPr="0016666B">
        <w:rPr>
          <w:rFonts w:cstheme="minorHAnsi"/>
        </w:rPr>
        <w:t>Grains that were accepted for D</w:t>
      </w:r>
      <w:r w:rsidRPr="0016666B">
        <w:rPr>
          <w:rFonts w:cstheme="minorHAnsi"/>
          <w:vertAlign w:val="subscript"/>
        </w:rPr>
        <w:t>e</w:t>
      </w:r>
      <w:r w:rsidRPr="0016666B">
        <w:rPr>
          <w:rFonts w:cstheme="minorHAnsi"/>
        </w:rPr>
        <w:t xml:space="preserve"> determination demonstrated a wide range of single-grain OSL characteristics. There is significant variation in the DRC shapes present and diverse patterns of sensitivity change (typically increases) between the SAR measurement cycles. The OSL decay curve shapes vary but are overall fairly reproducible, and rapidly decay to instrumental background. The OSL DRC, decay curve and pattern of sensitivity change for six accepted grains from OSL6 are provided as examples of the range present (</w:t>
      </w:r>
      <w:r w:rsidRPr="0016666B">
        <w:rPr>
          <w:rFonts w:cstheme="minorHAnsi"/>
          <w:bCs/>
          <w:i/>
          <w:iCs/>
        </w:rPr>
        <w:t>Figure S1</w:t>
      </w:r>
      <w:r w:rsidRPr="0016666B">
        <w:rPr>
          <w:rFonts w:cstheme="minorHAnsi"/>
        </w:rPr>
        <w:t>).</w:t>
      </w:r>
      <w:r w:rsidRPr="0016666B">
        <w:rPr>
          <w:rFonts w:ascii="Times New Roman" w:hAnsi="Times New Roman" w:cs="Times New Roman"/>
          <w:sz w:val="24"/>
          <w:szCs w:val="24"/>
        </w:rPr>
        <w:t xml:space="preserve"> </w:t>
      </w:r>
    </w:p>
    <w:p w14:paraId="18B207F0" w14:textId="77777777" w:rsidR="00097D91" w:rsidRPr="0016666B" w:rsidRDefault="00097D91" w:rsidP="004F5F95">
      <w:pPr>
        <w:rPr>
          <w:rFonts w:cstheme="minorHAnsi"/>
        </w:rPr>
      </w:pPr>
      <w:r w:rsidRPr="0016666B">
        <w:rPr>
          <w:rFonts w:cstheme="minorHAnsi"/>
        </w:rPr>
        <w:t xml:space="preserve">The number of grains measured, rejected and accepted are summarised in </w:t>
      </w:r>
      <w:r w:rsidRPr="0016666B">
        <w:rPr>
          <w:rFonts w:cstheme="minorHAnsi"/>
          <w:bCs/>
          <w:i/>
        </w:rPr>
        <w:t>Table S2</w:t>
      </w:r>
      <w:r w:rsidRPr="0016666B">
        <w:rPr>
          <w:rFonts w:cstheme="minorHAnsi"/>
        </w:rPr>
        <w:t xml:space="preserve"> for each KFR1 sample, as well as the reasons for rejection. Between 9.6% (OSL9) and 37.6% (OSL4) of grains were accepted, with an average acceptance rate of 22.7% across the samples. The most common reason for rejection was due to failure of criteria 1 (low OSL signal sensitivity), which accounted for between 40.0% (OSL12) to 64.3% (OSL6) of grains rejected. Failure of criteria 3a (inadequate sensitivity correction) was the next most common reason for rejection, which was failed by 4.1% (OSL1) to 20.7% of grains (OSL12). Criteria 4 (non-intersecting or saturated grains) failure became prevalent in </w:t>
      </w:r>
      <w:r w:rsidRPr="0016666B">
        <w:rPr>
          <w:rFonts w:cstheme="minorHAnsi"/>
        </w:rPr>
        <w:lastRenderedPageBreak/>
        <w:t xml:space="preserve">the stratigraphically deepest units. This can be seen in </w:t>
      </w:r>
      <w:r w:rsidRPr="0016666B">
        <w:rPr>
          <w:rFonts w:cstheme="minorHAnsi"/>
          <w:bCs/>
          <w:i/>
        </w:rPr>
        <w:t>Figure S2</w:t>
      </w:r>
      <w:r w:rsidRPr="0016666B">
        <w:rPr>
          <w:rFonts w:cstheme="minorHAnsi"/>
        </w:rPr>
        <w:t>, which displays the average criteria 4 rejection rate for samples within each stratigraphic unit. Compared with the number of accepted grains in the deeper units, these rates are significant. For example, 13.1% of grains in OSL8 were rejected due to criteria 4, which is more than the 10% of grains accepted for D</w:t>
      </w:r>
      <w:r w:rsidRPr="0016666B">
        <w:rPr>
          <w:rFonts w:cstheme="minorHAnsi"/>
          <w:vertAlign w:val="subscript"/>
        </w:rPr>
        <w:t>e</w:t>
      </w:r>
      <w:r w:rsidRPr="0016666B">
        <w:rPr>
          <w:rFonts w:cstheme="minorHAnsi"/>
        </w:rPr>
        <w:t xml:space="preserve"> determination.</w:t>
      </w:r>
    </w:p>
    <w:p w14:paraId="00E7494C" w14:textId="5BA792BB" w:rsidR="00097D91" w:rsidRPr="0016666B" w:rsidRDefault="00097D91" w:rsidP="004F5F95">
      <w:pPr>
        <w:rPr>
          <w:rFonts w:cstheme="minorHAnsi"/>
        </w:rPr>
      </w:pPr>
      <w:r w:rsidRPr="0016666B">
        <w:rPr>
          <w:rFonts w:cstheme="minorHAnsi"/>
        </w:rPr>
        <w:t>Single-grain D</w:t>
      </w:r>
      <w:r w:rsidRPr="0016666B">
        <w:rPr>
          <w:rFonts w:cstheme="minorHAnsi"/>
          <w:vertAlign w:val="subscript"/>
        </w:rPr>
        <w:t>e</w:t>
      </w:r>
      <w:r w:rsidRPr="0016666B">
        <w:rPr>
          <w:rFonts w:cstheme="minorHAnsi"/>
        </w:rPr>
        <w:t xml:space="preserve"> distributions for all KFR1 samples are shown in </w:t>
      </w:r>
      <w:r w:rsidRPr="0016666B">
        <w:rPr>
          <w:rFonts w:cstheme="minorHAnsi"/>
          <w:bCs/>
          <w:i/>
        </w:rPr>
        <w:t>Figure S</w:t>
      </w:r>
      <w:r w:rsidR="005D66CB" w:rsidRPr="0016666B">
        <w:rPr>
          <w:rFonts w:cstheme="minorHAnsi"/>
          <w:bCs/>
          <w:i/>
        </w:rPr>
        <w:t>3</w:t>
      </w:r>
      <w:r w:rsidRPr="0016666B">
        <w:rPr>
          <w:rFonts w:cstheme="minorHAnsi"/>
        </w:rPr>
        <w:t xml:space="preserve"> as radial plots. The interpretation of D</w:t>
      </w:r>
      <w:r w:rsidRPr="0016666B">
        <w:rPr>
          <w:rFonts w:cstheme="minorHAnsi"/>
          <w:vertAlign w:val="subscript"/>
        </w:rPr>
        <w:t>e</w:t>
      </w:r>
      <w:r w:rsidRPr="0016666B">
        <w:rPr>
          <w:rFonts w:cstheme="minorHAnsi"/>
        </w:rPr>
        <w:t xml:space="preserve"> distributions, and rationale for using different age models and approaches for final D</w:t>
      </w:r>
      <w:r w:rsidRPr="0016666B">
        <w:rPr>
          <w:rFonts w:cstheme="minorHAnsi"/>
          <w:vertAlign w:val="subscript"/>
        </w:rPr>
        <w:t>e</w:t>
      </w:r>
      <w:r w:rsidRPr="0016666B">
        <w:rPr>
          <w:rFonts w:cstheme="minorHAnsi"/>
        </w:rPr>
        <w:t xml:space="preserve"> determination, is discussed in the main text. </w:t>
      </w:r>
    </w:p>
    <w:p w14:paraId="43F3AA8C" w14:textId="25BD3328" w:rsidR="00097D91" w:rsidRPr="0016666B" w:rsidRDefault="00097D91" w:rsidP="004F5F95">
      <w:pPr>
        <w:rPr>
          <w:rFonts w:cstheme="minorHAnsi"/>
          <w:bCs/>
          <w:i/>
          <w:iCs/>
        </w:rPr>
      </w:pPr>
      <w:r w:rsidRPr="0016666B">
        <w:rPr>
          <w:rFonts w:cstheme="minorHAnsi"/>
          <w:bCs/>
          <w:i/>
          <w:iCs/>
        </w:rPr>
        <w:t>Section S</w:t>
      </w:r>
      <w:r w:rsidR="005D66CB" w:rsidRPr="0016666B">
        <w:rPr>
          <w:rFonts w:cstheme="minorHAnsi"/>
          <w:bCs/>
          <w:i/>
          <w:iCs/>
        </w:rPr>
        <w:t>2</w:t>
      </w:r>
      <w:r w:rsidRPr="0016666B">
        <w:rPr>
          <w:rFonts w:cstheme="minorHAnsi"/>
          <w:bCs/>
          <w:i/>
          <w:iCs/>
        </w:rPr>
        <w:t xml:space="preserve">.2 Application of the </w:t>
      </w:r>
      <w:proofErr w:type="spellStart"/>
      <w:r w:rsidRPr="0016666B">
        <w:rPr>
          <w:rFonts w:cstheme="minorHAnsi"/>
          <w:bCs/>
          <w:i/>
          <w:iCs/>
        </w:rPr>
        <w:t>LnTn</w:t>
      </w:r>
      <w:proofErr w:type="spellEnd"/>
      <w:r w:rsidRPr="0016666B">
        <w:rPr>
          <w:rFonts w:cstheme="minorHAnsi"/>
          <w:bCs/>
          <w:i/>
          <w:iCs/>
        </w:rPr>
        <w:t xml:space="preserve"> method (‘Approach B’) and additional results</w:t>
      </w:r>
    </w:p>
    <w:p w14:paraId="75E290B4" w14:textId="46CBEBB6" w:rsidR="00097D91" w:rsidRPr="0016666B" w:rsidRDefault="00097D91" w:rsidP="004F5F95">
      <w:pPr>
        <w:rPr>
          <w:rFonts w:cstheme="minorHAnsi"/>
        </w:rPr>
      </w:pPr>
      <w:r w:rsidRPr="0016666B">
        <w:rPr>
          <w:rFonts w:cstheme="minorHAnsi"/>
        </w:rPr>
        <w:t>KFR1 is the second locality in southern Africa to have the ‘</w:t>
      </w:r>
      <w:proofErr w:type="spellStart"/>
      <w:r w:rsidRPr="0016666B">
        <w:rPr>
          <w:rFonts w:cstheme="minorHAnsi"/>
        </w:rPr>
        <w:t>L</w:t>
      </w:r>
      <w:r w:rsidRPr="0016666B">
        <w:rPr>
          <w:rFonts w:cstheme="minorHAnsi"/>
          <w:vertAlign w:val="subscript"/>
        </w:rPr>
        <w:t>n</w:t>
      </w:r>
      <w:r w:rsidRPr="0016666B">
        <w:rPr>
          <w:rFonts w:cstheme="minorHAnsi"/>
        </w:rPr>
        <w:t>T</w:t>
      </w:r>
      <w:r w:rsidRPr="0016666B">
        <w:rPr>
          <w:rFonts w:cstheme="minorHAnsi"/>
          <w:vertAlign w:val="subscript"/>
        </w:rPr>
        <w:t>n</w:t>
      </w:r>
      <w:proofErr w:type="spellEnd"/>
      <w:r w:rsidRPr="0016666B">
        <w:rPr>
          <w:rFonts w:cstheme="minorHAnsi"/>
        </w:rPr>
        <w:t xml:space="preserve"> method’ of Li et al. (2016) applied for OSL dating, the first being </w:t>
      </w:r>
      <w:proofErr w:type="spellStart"/>
      <w:r w:rsidRPr="0016666B">
        <w:rPr>
          <w:rFonts w:cstheme="minorHAnsi"/>
        </w:rPr>
        <w:t>Blombos</w:t>
      </w:r>
      <w:proofErr w:type="spellEnd"/>
      <w:r w:rsidRPr="0016666B">
        <w:rPr>
          <w:rFonts w:cstheme="minorHAnsi"/>
        </w:rPr>
        <w:t xml:space="preserve"> Cave (Jacobs et al. 2020) on the southern Cape coast. The procedures involved in the implementation of the </w:t>
      </w:r>
      <w:proofErr w:type="spellStart"/>
      <w:r w:rsidRPr="0016666B">
        <w:rPr>
          <w:rFonts w:cstheme="minorHAnsi"/>
        </w:rPr>
        <w:t>L</w:t>
      </w:r>
      <w:r w:rsidRPr="0016666B">
        <w:rPr>
          <w:rFonts w:cstheme="minorHAnsi"/>
          <w:vertAlign w:val="subscript"/>
        </w:rPr>
        <w:t>n</w:t>
      </w:r>
      <w:r w:rsidRPr="0016666B">
        <w:rPr>
          <w:rFonts w:cstheme="minorHAnsi"/>
        </w:rPr>
        <w:t>T</w:t>
      </w:r>
      <w:r w:rsidRPr="0016666B">
        <w:rPr>
          <w:rFonts w:cstheme="minorHAnsi"/>
          <w:vertAlign w:val="subscript"/>
        </w:rPr>
        <w:t>n</w:t>
      </w:r>
      <w:proofErr w:type="spellEnd"/>
      <w:r w:rsidRPr="0016666B">
        <w:rPr>
          <w:rFonts w:cstheme="minorHAnsi"/>
        </w:rPr>
        <w:t xml:space="preserve"> method have been thoroughly described in Li et al. (2016, 2020). </w:t>
      </w:r>
    </w:p>
    <w:p w14:paraId="0FD63883" w14:textId="77777777" w:rsidR="00097D91" w:rsidRPr="0016666B" w:rsidRDefault="00097D91" w:rsidP="004F5F95">
      <w:pPr>
        <w:rPr>
          <w:rFonts w:cstheme="minorHAnsi"/>
        </w:rPr>
      </w:pPr>
      <w:r w:rsidRPr="0016666B">
        <w:rPr>
          <w:rFonts w:cstheme="minorHAnsi"/>
        </w:rPr>
        <w:t xml:space="preserve">For the samples at KFR1 where the </w:t>
      </w:r>
      <w:proofErr w:type="spellStart"/>
      <w:r w:rsidRPr="0016666B">
        <w:rPr>
          <w:rFonts w:cstheme="minorHAnsi"/>
        </w:rPr>
        <w:t>L</w:t>
      </w:r>
      <w:r w:rsidRPr="0016666B">
        <w:rPr>
          <w:rFonts w:cstheme="minorHAnsi"/>
          <w:vertAlign w:val="subscript"/>
        </w:rPr>
        <w:t>n</w:t>
      </w:r>
      <w:r w:rsidRPr="0016666B">
        <w:rPr>
          <w:rFonts w:cstheme="minorHAnsi"/>
        </w:rPr>
        <w:t>T</w:t>
      </w:r>
      <w:r w:rsidRPr="0016666B">
        <w:rPr>
          <w:rFonts w:cstheme="minorHAnsi"/>
          <w:vertAlign w:val="subscript"/>
        </w:rPr>
        <w:t>n</w:t>
      </w:r>
      <w:proofErr w:type="spellEnd"/>
      <w:r w:rsidRPr="0016666B">
        <w:rPr>
          <w:rFonts w:cstheme="minorHAnsi"/>
        </w:rPr>
        <w:t xml:space="preserve"> method was deemed most suitable for D</w:t>
      </w:r>
      <w:r w:rsidRPr="0016666B">
        <w:rPr>
          <w:rFonts w:cstheme="minorHAnsi"/>
          <w:vertAlign w:val="subscript"/>
        </w:rPr>
        <w:t>e</w:t>
      </w:r>
      <w:r w:rsidRPr="0016666B">
        <w:rPr>
          <w:rFonts w:cstheme="minorHAnsi"/>
        </w:rPr>
        <w:t xml:space="preserve"> determination (see main text), the same rejection criteria outlined in Section S2.2 was applied (</w:t>
      </w:r>
      <w:r w:rsidRPr="0016666B">
        <w:rPr>
          <w:rFonts w:cstheme="minorHAnsi"/>
          <w:bCs/>
          <w:i/>
        </w:rPr>
        <w:t>Table S2</w:t>
      </w:r>
      <w:r w:rsidRPr="0016666B">
        <w:rPr>
          <w:rFonts w:cstheme="minorHAnsi"/>
        </w:rPr>
        <w:t>), except for criteria 4 and 5, which involve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(sensitivity-corrected natural OSL signals). For accepted grains, the ratio between two L</w:t>
      </w:r>
      <w:r w:rsidRPr="0016666B">
        <w:rPr>
          <w:rFonts w:cstheme="minorHAnsi"/>
          <w:vertAlign w:val="subscript"/>
        </w:rPr>
        <w:t>x</w:t>
      </w:r>
      <w:r w:rsidRPr="0016666B">
        <w:rPr>
          <w:rFonts w:cstheme="minorHAnsi"/>
        </w:rPr>
        <w:t>/T</w:t>
      </w:r>
      <w:r w:rsidRPr="0016666B">
        <w:rPr>
          <w:rFonts w:cstheme="minorHAnsi"/>
          <w:vertAlign w:val="subscript"/>
        </w:rPr>
        <w:t>x</w:t>
      </w:r>
      <w:r w:rsidRPr="0016666B">
        <w:rPr>
          <w:rFonts w:cstheme="minorHAnsi"/>
        </w:rPr>
        <w:t xml:space="preserve"> values (sensitivity-corrected regenerative dose signals) were calculated to reflect the saturation dose of the respective DRC. Doses of 60 Gy and 250 Gy were used for all samples, with the exception of OSL1 (40 Gy and 180 Gy), due to different regenerative dose sizes being administered during SAR procedure measurements. The finite mixture model (FMM) (Galbraith and Roberts, 2012) was used to statistically identify the number of groups containing grains with similar DRC shapes in each sample (assuming 0% OD). Standardised growth curves (SGCs) were established for each group using a least-square normalization (LS-normalization) procedure (Li et al., 2016), and a general order kinetic function (</w:t>
      </w:r>
      <w:proofErr w:type="spellStart"/>
      <w:r w:rsidRPr="0016666B">
        <w:rPr>
          <w:rFonts w:cstheme="minorHAnsi"/>
        </w:rPr>
        <w:t>Guralnik</w:t>
      </w:r>
      <w:proofErr w:type="spellEnd"/>
      <w:r w:rsidRPr="0016666B">
        <w:rPr>
          <w:rFonts w:cstheme="minorHAnsi"/>
        </w:rPr>
        <w:t xml:space="preserve"> et al., 2015) was used for fitting dose-response data for each group (Peng and Li, 2018). </w:t>
      </w:r>
    </w:p>
    <w:p w14:paraId="2842BB74" w14:textId="2747EDC8" w:rsidR="00097D91" w:rsidRPr="0016666B" w:rsidRDefault="00097D91" w:rsidP="004F5F95">
      <w:pPr>
        <w:rPr>
          <w:rFonts w:cstheme="minorHAnsi"/>
        </w:rPr>
      </w:pPr>
      <w:r w:rsidRPr="0016666B">
        <w:rPr>
          <w:rFonts w:cstheme="minorHAnsi"/>
        </w:rPr>
        <w:t>The number of SGC groups established for each sample appears to be influenced by the use of different luminescence readers, suggesting measurement uncertainties to be a source of variability in DRC shapes (Li et al., 2017). Five groups were established for samples measured on Risø3 in 2011 (OSL1, OSL6, OSL7 and OSL8), 6 groups for OSL13 measured on Risø4 in 2013 and 9 groups for OSL9 measured on Risø5 in 2020. ‘Group 1’ grains reflect those with the earliest-saturating DRCs, while the group with the highest numerical value (e.g. Group 5 in OSL8) consists of grains with the latest-saturating DRCs present in the sample. All regenerative dose L</w:t>
      </w:r>
      <w:r w:rsidRPr="0016666B">
        <w:rPr>
          <w:rFonts w:cstheme="minorHAnsi"/>
          <w:vertAlign w:val="subscript"/>
        </w:rPr>
        <w:t>x</w:t>
      </w:r>
      <w:r w:rsidRPr="0016666B">
        <w:rPr>
          <w:rFonts w:cstheme="minorHAnsi"/>
        </w:rPr>
        <w:t>/T</w:t>
      </w:r>
      <w:r w:rsidRPr="0016666B">
        <w:rPr>
          <w:rFonts w:cstheme="minorHAnsi"/>
          <w:vertAlign w:val="subscript"/>
        </w:rPr>
        <w:t>x</w:t>
      </w:r>
      <w:r w:rsidRPr="0016666B">
        <w:rPr>
          <w:rFonts w:cstheme="minorHAnsi"/>
        </w:rPr>
        <w:t xml:space="preserve"> values for grains in each SGC group are presented before and after LS-normalisation in </w:t>
      </w:r>
      <w:r w:rsidRPr="0016666B">
        <w:rPr>
          <w:rFonts w:cstheme="minorHAnsi"/>
          <w:bCs/>
          <w:i/>
        </w:rPr>
        <w:t>Figure S</w:t>
      </w:r>
      <w:r w:rsidR="005D66CB" w:rsidRPr="0016666B">
        <w:rPr>
          <w:rFonts w:cstheme="minorHAnsi"/>
          <w:bCs/>
          <w:i/>
        </w:rPr>
        <w:t>4</w:t>
      </w:r>
      <w:r w:rsidRPr="0016666B">
        <w:rPr>
          <w:rFonts w:cstheme="minorHAnsi"/>
        </w:rPr>
        <w:t>. The ratios between the measured L</w:t>
      </w:r>
      <w:r w:rsidRPr="0016666B">
        <w:rPr>
          <w:rFonts w:cstheme="minorHAnsi"/>
          <w:vertAlign w:val="subscript"/>
        </w:rPr>
        <w:t>x</w:t>
      </w:r>
      <w:r w:rsidRPr="0016666B">
        <w:rPr>
          <w:rFonts w:cstheme="minorHAnsi"/>
        </w:rPr>
        <w:t>/T</w:t>
      </w:r>
      <w:r w:rsidRPr="0016666B">
        <w:rPr>
          <w:rFonts w:cstheme="minorHAnsi"/>
          <w:vertAlign w:val="subscript"/>
        </w:rPr>
        <w:t>x</w:t>
      </w:r>
      <w:r w:rsidRPr="0016666B">
        <w:rPr>
          <w:rFonts w:cstheme="minorHAnsi"/>
        </w:rPr>
        <w:t xml:space="preserve"> values and those expected based on each SGC were calculated to test the validity of groupings and SGC establishment (</w:t>
      </w:r>
      <w:r w:rsidRPr="0016666B">
        <w:rPr>
          <w:rFonts w:cstheme="minorHAnsi"/>
          <w:bCs/>
          <w:i/>
        </w:rPr>
        <w:t>Table S3</w:t>
      </w:r>
      <w:r w:rsidRPr="0016666B">
        <w:rPr>
          <w:rFonts w:cstheme="minorHAnsi"/>
        </w:rPr>
        <w:t xml:space="preserve">). Between ~91% (OSL9) and ~99% (OSL7) are consistent with unity at 2σ, which is excellent and supports the reliability of the SGCs (Li et al. 2016). </w:t>
      </w:r>
    </w:p>
    <w:p w14:paraId="231E1E05" w14:textId="3BF62ABE" w:rsidR="00097D91" w:rsidRPr="0016666B" w:rsidRDefault="00097D91" w:rsidP="004F5F95">
      <w:pPr>
        <w:rPr>
          <w:rFonts w:cstheme="minorHAnsi"/>
        </w:rPr>
      </w:pPr>
      <w:r w:rsidRPr="0016666B">
        <w:rPr>
          <w:rFonts w:cstheme="minorHAnsi"/>
        </w:rPr>
        <w:t>The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values for each group were LS-normalised, an appropriate age model selected to combine the values (see main text), and the weighted mean value/s projected onto the corresponding SGCs for D</w:t>
      </w:r>
      <w:r w:rsidRPr="0016666B">
        <w:rPr>
          <w:rFonts w:cstheme="minorHAnsi"/>
          <w:vertAlign w:val="subscript"/>
        </w:rPr>
        <w:t>e</w:t>
      </w:r>
      <w:r w:rsidRPr="0016666B">
        <w:rPr>
          <w:rFonts w:cstheme="minorHAnsi"/>
        </w:rPr>
        <w:t xml:space="preserve"> determination, following Li et al. (2016). The radial plots for all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distributions are displayed in </w:t>
      </w:r>
      <w:r w:rsidRPr="0016666B">
        <w:rPr>
          <w:rFonts w:cstheme="minorHAnsi"/>
          <w:bCs/>
          <w:i/>
        </w:rPr>
        <w:t>Figure S4</w:t>
      </w:r>
      <w:r w:rsidRPr="0016666B">
        <w:rPr>
          <w:rFonts w:cstheme="minorHAnsi"/>
        </w:rPr>
        <w:t>. For each sample, the resulting D</w:t>
      </w:r>
      <w:r w:rsidRPr="0016666B">
        <w:rPr>
          <w:rFonts w:cstheme="minorHAnsi"/>
          <w:vertAlign w:val="subscript"/>
        </w:rPr>
        <w:t>e</w:t>
      </w:r>
      <w:r w:rsidRPr="0016666B">
        <w:rPr>
          <w:rFonts w:cstheme="minorHAnsi"/>
        </w:rPr>
        <w:t xml:space="preserve"> values calculated for each SGC group are provided in </w:t>
      </w:r>
      <w:r w:rsidRPr="0016666B">
        <w:rPr>
          <w:rFonts w:cstheme="minorHAnsi"/>
          <w:bCs/>
          <w:i/>
        </w:rPr>
        <w:t>Table S4</w:t>
      </w:r>
      <w:r w:rsidRPr="0016666B">
        <w:rPr>
          <w:rFonts w:cstheme="minorHAnsi"/>
        </w:rPr>
        <w:t>, including the number of grains in each group and the OD values. D</w:t>
      </w:r>
      <w:r w:rsidRPr="0016666B">
        <w:rPr>
          <w:rFonts w:cstheme="minorHAnsi"/>
          <w:vertAlign w:val="subscript"/>
        </w:rPr>
        <w:t>e</w:t>
      </w:r>
      <w:r w:rsidRPr="0016666B">
        <w:rPr>
          <w:rFonts w:cstheme="minorHAnsi"/>
        </w:rPr>
        <w:t xml:space="preserve"> values were unable to be calculated for groups where the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values are consistent with, or higher than, the saturation levels of the corresponding SGCs. Likewise, reliable D</w:t>
      </w:r>
      <w:r w:rsidRPr="0016666B">
        <w:rPr>
          <w:rFonts w:cstheme="minorHAnsi"/>
          <w:vertAlign w:val="subscript"/>
        </w:rPr>
        <w:t>e</w:t>
      </w:r>
      <w:r w:rsidRPr="0016666B">
        <w:rPr>
          <w:rFonts w:cstheme="minorHAnsi"/>
        </w:rPr>
        <w:t xml:space="preserve"> values for groups were not determined when an insufficient number of grains were accepted (</w:t>
      </w:r>
      <w:r w:rsidR="003D227D" w:rsidRPr="0016666B">
        <w:rPr>
          <w:rFonts w:cstheme="minorHAnsi"/>
        </w:rPr>
        <w:t xml:space="preserve">N </w:t>
      </w:r>
      <w:r w:rsidRPr="0016666B">
        <w:rPr>
          <w:rFonts w:cstheme="minorHAnsi"/>
        </w:rPr>
        <w:t>&lt;</w:t>
      </w:r>
      <w:r w:rsidR="00F76036" w:rsidRPr="0016666B">
        <w:rPr>
          <w:rFonts w:cstheme="minorHAnsi"/>
        </w:rPr>
        <w:t xml:space="preserve"> </w:t>
      </w:r>
      <w:r w:rsidRPr="0016666B">
        <w:rPr>
          <w:rFonts w:cstheme="minorHAnsi"/>
        </w:rPr>
        <w:t>10) following rejection criteria application.</w:t>
      </w:r>
    </w:p>
    <w:p w14:paraId="5572673A" w14:textId="702A238C" w:rsidR="00097D91" w:rsidRPr="0016666B" w:rsidRDefault="00097D91" w:rsidP="004F5F95">
      <w:pPr>
        <w:rPr>
          <w:rFonts w:cstheme="minorHAnsi"/>
        </w:rPr>
      </w:pPr>
      <w:r w:rsidRPr="0016666B">
        <w:rPr>
          <w:rFonts w:cstheme="minorHAnsi"/>
        </w:rPr>
        <w:lastRenderedPageBreak/>
        <w:t>When the normalised median absolute deviation (</w:t>
      </w:r>
      <w:proofErr w:type="spellStart"/>
      <w:r w:rsidRPr="0016666B">
        <w:rPr>
          <w:rFonts w:cstheme="minorHAnsi"/>
        </w:rPr>
        <w:t>nMAD</w:t>
      </w:r>
      <w:proofErr w:type="spellEnd"/>
      <w:r w:rsidRPr="0016666B">
        <w:rPr>
          <w:rFonts w:cstheme="minorHAnsi"/>
        </w:rPr>
        <w:t xml:space="preserve">) (Powell et al. 2002; </w:t>
      </w:r>
      <w:proofErr w:type="spellStart"/>
      <w:r w:rsidRPr="0016666B">
        <w:rPr>
          <w:rFonts w:cstheme="minorHAnsi"/>
        </w:rPr>
        <w:t>Rousseeuw</w:t>
      </w:r>
      <w:proofErr w:type="spellEnd"/>
      <w:r w:rsidRPr="0016666B">
        <w:rPr>
          <w:rFonts w:cstheme="minorHAnsi"/>
        </w:rPr>
        <w:t xml:space="preserve"> et al., 2006) and central age model (CAM) (Galbraith et al., 1999) were used to combine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values, the final D</w:t>
      </w:r>
      <w:r w:rsidRPr="0016666B">
        <w:rPr>
          <w:rFonts w:cstheme="minorHAnsi"/>
          <w:vertAlign w:val="subscript"/>
        </w:rPr>
        <w:t>e</w:t>
      </w:r>
      <w:r w:rsidRPr="0016666B">
        <w:rPr>
          <w:rFonts w:cstheme="minorHAnsi"/>
        </w:rPr>
        <w:t xml:space="preserve"> value for each sample was estimated by using the weighted mean results of all SGC groups with finite D</w:t>
      </w:r>
      <w:r w:rsidRPr="0016666B">
        <w:rPr>
          <w:rFonts w:cstheme="minorHAnsi"/>
          <w:vertAlign w:val="subscript"/>
        </w:rPr>
        <w:t>e</w:t>
      </w:r>
      <w:r w:rsidRPr="0016666B">
        <w:rPr>
          <w:rFonts w:cstheme="minorHAnsi"/>
        </w:rPr>
        <w:t xml:space="preserve"> values (Li et al., 2020), an approach applied to archaeological sites elsewhere (e.g. Hu et al. 2019</w:t>
      </w:r>
      <w:r w:rsidR="00384CEB" w:rsidRPr="0016666B">
        <w:rPr>
          <w:rFonts w:cstheme="minorHAnsi"/>
        </w:rPr>
        <w:t>a, 2019b</w:t>
      </w:r>
      <w:r w:rsidRPr="0016666B">
        <w:rPr>
          <w:rFonts w:cstheme="minorHAnsi"/>
        </w:rPr>
        <w:t>). The D</w:t>
      </w:r>
      <w:r w:rsidRPr="0016666B">
        <w:rPr>
          <w:rFonts w:cstheme="minorHAnsi"/>
          <w:vertAlign w:val="subscript"/>
        </w:rPr>
        <w:t>e</w:t>
      </w:r>
      <w:r w:rsidRPr="0016666B">
        <w:rPr>
          <w:rFonts w:cstheme="minorHAnsi"/>
        </w:rPr>
        <w:t xml:space="preserve"> estimates for each group in the KFR1 samples are statistically indistinguishable at 1σ or 2σ, with the later saturating Group 8 in OSL8 (</w:t>
      </w:r>
      <w:r w:rsidRPr="0016666B">
        <w:rPr>
          <w:rFonts w:cstheme="minorHAnsi"/>
          <w:bCs/>
          <w:i/>
        </w:rPr>
        <w:t>Table S4</w:t>
      </w:r>
      <w:r w:rsidRPr="0016666B">
        <w:rPr>
          <w:rFonts w:cstheme="minorHAnsi"/>
        </w:rPr>
        <w:t>) being the sole exception. With a sufficient number of grains accepted (N = 28) and an OD value (22 ± 2%) similar to the other groups, the reason for this lower D</w:t>
      </w:r>
      <w:r w:rsidRPr="0016666B">
        <w:rPr>
          <w:rFonts w:cstheme="minorHAnsi"/>
          <w:vertAlign w:val="subscript"/>
        </w:rPr>
        <w:t>e</w:t>
      </w:r>
      <w:r w:rsidRPr="0016666B">
        <w:rPr>
          <w:rFonts w:cstheme="minorHAnsi"/>
        </w:rPr>
        <w:t xml:space="preserve"> estimate is unclear. Therefore, Group 8 was included in the weighted mean final D</w:t>
      </w:r>
      <w:r w:rsidRPr="0016666B">
        <w:rPr>
          <w:rFonts w:cstheme="minorHAnsi"/>
          <w:vertAlign w:val="subscript"/>
        </w:rPr>
        <w:t>e</w:t>
      </w:r>
      <w:r w:rsidRPr="0016666B">
        <w:rPr>
          <w:rFonts w:cstheme="minorHAnsi"/>
        </w:rPr>
        <w:t xml:space="preserve"> estimate of OSL8, however we note that the final D</w:t>
      </w:r>
      <w:r w:rsidRPr="0016666B">
        <w:rPr>
          <w:rFonts w:cstheme="minorHAnsi"/>
          <w:vertAlign w:val="subscript"/>
        </w:rPr>
        <w:t>e</w:t>
      </w:r>
      <w:r w:rsidRPr="0016666B">
        <w:rPr>
          <w:rFonts w:cstheme="minorHAnsi"/>
        </w:rPr>
        <w:t xml:space="preserve"> is insensitive to the inclusion/exclusion of Group 8, with estimates remaining consistent at 1σ. For OSL1, the later saturating Group 5 was excluded from final D</w:t>
      </w:r>
      <w:r w:rsidRPr="0016666B">
        <w:rPr>
          <w:rFonts w:cstheme="minorHAnsi"/>
          <w:vertAlign w:val="subscript"/>
        </w:rPr>
        <w:t>e</w:t>
      </w:r>
      <w:r w:rsidRPr="0016666B">
        <w:rPr>
          <w:rFonts w:cstheme="minorHAnsi"/>
        </w:rPr>
        <w:t xml:space="preserve"> estimation due to the nMAD+CAM appearing inappropriate (OD </w:t>
      </w:r>
      <w:r w:rsidR="003A3951" w:rsidRPr="0016666B">
        <w:rPr>
          <w:rFonts w:cstheme="minorHAnsi"/>
        </w:rPr>
        <w:t xml:space="preserve">= </w:t>
      </w:r>
      <w:r w:rsidRPr="0016666B">
        <w:rPr>
          <w:rFonts w:cstheme="minorHAnsi"/>
        </w:rPr>
        <w:t xml:space="preserve">44 ± 4% following </w:t>
      </w:r>
      <w:proofErr w:type="spellStart"/>
      <w:r w:rsidRPr="0016666B">
        <w:rPr>
          <w:rFonts w:cstheme="minorHAnsi"/>
        </w:rPr>
        <w:t>nMAD</w:t>
      </w:r>
      <w:proofErr w:type="spellEnd"/>
      <w:r w:rsidRPr="0016666B">
        <w:rPr>
          <w:rFonts w:cstheme="minorHAnsi"/>
        </w:rPr>
        <w:t xml:space="preserve"> outlier rejection) for this group only, suggesting an undetermined additional source of OD. However, the inclusion/exclusion of Group 5 likewise does not change the final D</w:t>
      </w:r>
      <w:r w:rsidRPr="0016666B">
        <w:rPr>
          <w:rFonts w:cstheme="minorHAnsi"/>
          <w:vertAlign w:val="subscript"/>
        </w:rPr>
        <w:t>e</w:t>
      </w:r>
      <w:r w:rsidRPr="0016666B">
        <w:rPr>
          <w:rFonts w:cstheme="minorHAnsi"/>
        </w:rPr>
        <w:t xml:space="preserve"> estimate for OSL1 within 1σ. In the field of OSL dating generally, little is currently little known about what causes the wide range of DRC shapes observed in single grains of quartz. Further work on the OSL characteristics of grains associated with different SGC groups (especially those of later saturating groups) would be valuable future work in refining the age of the KFR1 samples.</w:t>
      </w:r>
    </w:p>
    <w:p w14:paraId="20EF0BDE" w14:textId="04CEF489" w:rsidR="00097D91" w:rsidRPr="0016666B" w:rsidRDefault="00097D91" w:rsidP="004F5F95">
      <w:pPr>
        <w:rPr>
          <w:rFonts w:cstheme="minorHAnsi"/>
        </w:rPr>
      </w:pPr>
      <w:r w:rsidRPr="0016666B">
        <w:rPr>
          <w:rFonts w:cstheme="minorHAnsi"/>
        </w:rPr>
        <w:t>The FMM was used to combine L</w:t>
      </w:r>
      <w:r w:rsidRPr="0016666B">
        <w:rPr>
          <w:rFonts w:cstheme="minorHAnsi"/>
          <w:vertAlign w:val="subscript"/>
        </w:rPr>
        <w:t>n</w:t>
      </w:r>
      <w:r w:rsidRPr="0016666B">
        <w:rPr>
          <w:rFonts w:cstheme="minorHAnsi"/>
        </w:rPr>
        <w:t>/T</w:t>
      </w:r>
      <w:r w:rsidRPr="0016666B">
        <w:rPr>
          <w:rFonts w:cstheme="minorHAnsi"/>
          <w:vertAlign w:val="subscript"/>
        </w:rPr>
        <w:t>n</w:t>
      </w:r>
      <w:r w:rsidRPr="0016666B">
        <w:rPr>
          <w:rFonts w:cstheme="minorHAnsi"/>
        </w:rPr>
        <w:t xml:space="preserve"> values for each group in OSL7, by taking the weighted mean D</w:t>
      </w:r>
      <w:r w:rsidRPr="0016666B">
        <w:rPr>
          <w:rFonts w:cstheme="minorHAnsi"/>
          <w:vertAlign w:val="subscript"/>
        </w:rPr>
        <w:t>e</w:t>
      </w:r>
      <w:r w:rsidRPr="0016666B">
        <w:rPr>
          <w:rFonts w:cstheme="minorHAnsi"/>
        </w:rPr>
        <w:t xml:space="preserve"> of each of the three reproducible components detected (</w:t>
      </w:r>
      <w:r w:rsidRPr="0016666B">
        <w:rPr>
          <w:rFonts w:cstheme="minorHAnsi"/>
          <w:bCs/>
          <w:i/>
        </w:rPr>
        <w:t>Table S4</w:t>
      </w:r>
      <w:r w:rsidRPr="0016666B">
        <w:rPr>
          <w:rFonts w:cstheme="minorHAnsi"/>
        </w:rPr>
        <w:t>). A minor, saturated/non-intersecting fourth component was detected in Group 5, for which D</w:t>
      </w:r>
      <w:r w:rsidRPr="0016666B">
        <w:rPr>
          <w:rFonts w:cstheme="minorHAnsi"/>
          <w:vertAlign w:val="subscript"/>
        </w:rPr>
        <w:t>e</w:t>
      </w:r>
      <w:r w:rsidRPr="0016666B">
        <w:rPr>
          <w:rFonts w:cstheme="minorHAnsi"/>
        </w:rPr>
        <w:t xml:space="preserve"> was unable to be estimated. This may represent grains which have a significantly higher L</w:t>
      </w:r>
      <w:r w:rsidRPr="0016666B">
        <w:rPr>
          <w:rFonts w:cstheme="minorHAnsi"/>
          <w:vertAlign w:val="subscript"/>
        </w:rPr>
        <w:t>n</w:t>
      </w:r>
      <w:r w:rsidRPr="0016666B">
        <w:rPr>
          <w:rFonts w:cstheme="minorHAnsi"/>
        </w:rPr>
        <w:t xml:space="preserve"> value due to beta microdosimetry (e.g. being situated in close proximity to zircon grains during burial).</w:t>
      </w:r>
    </w:p>
    <w:p w14:paraId="565267A5" w14:textId="0A38D46E" w:rsidR="003D5210" w:rsidRPr="001E560D" w:rsidRDefault="003D5210" w:rsidP="004F5F95">
      <w:pPr>
        <w:pStyle w:val="Heading1"/>
      </w:pPr>
      <w:r>
        <w:t>S3. Phytoliths</w:t>
      </w:r>
    </w:p>
    <w:p w14:paraId="325EFFFB" w14:textId="77777777" w:rsidR="003D5210" w:rsidRDefault="003D5210" w:rsidP="004F5F95">
      <w:r>
        <w:t xml:space="preserve">Phytolith extraction procedures are adapted from Cordova and Johnson (2019) and Ames et al. (2020), which in turn are modified from </w:t>
      </w:r>
      <w:proofErr w:type="spellStart"/>
      <w:r>
        <w:t>Joines</w:t>
      </w:r>
      <w:proofErr w:type="spellEnd"/>
      <w:r>
        <w:t xml:space="preserve"> (2011), </w:t>
      </w:r>
      <w:proofErr w:type="spellStart"/>
      <w:r>
        <w:t>Lentfer</w:t>
      </w:r>
      <w:proofErr w:type="spellEnd"/>
      <w:r>
        <w:t xml:space="preserve"> and Boyd (1998) and Zhao and Pearsall (1998). Phytolith classifications are based on the ICPN 2.0 (Neumann et al., 2019) and recent regional studies of grass short cells and </w:t>
      </w:r>
      <w:proofErr w:type="spellStart"/>
      <w:r>
        <w:t>restionaceae</w:t>
      </w:r>
      <w:proofErr w:type="spellEnd"/>
      <w:r>
        <w:t xml:space="preserve"> phytoliths (Cordova and Scott, 2010; Cordova, 2013; Esteban et al., 2017a, b; </w:t>
      </w:r>
      <w:proofErr w:type="spellStart"/>
      <w:r>
        <w:t>Novello</w:t>
      </w:r>
      <w:proofErr w:type="spellEnd"/>
      <w:r>
        <w:t xml:space="preserve"> et al., 2018; Scott et al., 2021). </w:t>
      </w:r>
    </w:p>
    <w:p w14:paraId="018F0E43" w14:textId="77777777" w:rsidR="003D5210" w:rsidRDefault="003D5210" w:rsidP="004F5F95">
      <w:r>
        <w:t xml:space="preserve">Graminoid phytoliths are identified as those morphotypes representative of primarily </w:t>
      </w:r>
      <w:proofErr w:type="spellStart"/>
      <w:r>
        <w:t>Poaceae</w:t>
      </w:r>
      <w:proofErr w:type="spellEnd"/>
      <w:r>
        <w:t xml:space="preserve"> (grasses) and </w:t>
      </w:r>
      <w:proofErr w:type="spellStart"/>
      <w:r>
        <w:t>Restionaceae</w:t>
      </w:r>
      <w:proofErr w:type="spellEnd"/>
      <w:r>
        <w:t xml:space="preserve"> (cape reeds) vegetation. </w:t>
      </w:r>
      <w:proofErr w:type="spellStart"/>
      <w:r>
        <w:t>Poaceae</w:t>
      </w:r>
      <w:proofErr w:type="spellEnd"/>
      <w:r>
        <w:t xml:space="preserve"> morphotypes are the short cell phytoliths, which are small distinctive phytoliths that are used to distinguish grass subfamilies and bioclimatic groups (C</w:t>
      </w:r>
      <w:r>
        <w:rPr>
          <w:vertAlign w:val="superscript"/>
        </w:rPr>
        <w:t>3</w:t>
      </w:r>
      <w:r>
        <w:t>/C</w:t>
      </w:r>
      <w:r>
        <w:rPr>
          <w:vertAlign w:val="superscript"/>
        </w:rPr>
        <w:t>4</w:t>
      </w:r>
      <w:r>
        <w:t>). Short cell morphotypes can be divided into C</w:t>
      </w:r>
      <w:r>
        <w:rPr>
          <w:vertAlign w:val="superscript"/>
        </w:rPr>
        <w:t>3</w:t>
      </w:r>
      <w:r>
        <w:t xml:space="preserve"> (cool growing season) and C</w:t>
      </w:r>
      <w:r>
        <w:rPr>
          <w:vertAlign w:val="superscript"/>
        </w:rPr>
        <w:t>4</w:t>
      </w:r>
      <w:r>
        <w:t xml:space="preserve"> (warm growing season) groups, based on previous studies examining these phytoliths (Cordova and Scott, 2010; Cordova, 2013). </w:t>
      </w:r>
      <w:proofErr w:type="spellStart"/>
      <w:r>
        <w:t>Restionaceae</w:t>
      </w:r>
      <w:proofErr w:type="spellEnd"/>
      <w:r>
        <w:t xml:space="preserve"> morphotypes have been investigated in previous studies (Cordova, 2013; Esteban et al., 2017a, b; </w:t>
      </w:r>
      <w:proofErr w:type="spellStart"/>
      <w:r>
        <w:t>Novello</w:t>
      </w:r>
      <w:proofErr w:type="spellEnd"/>
      <w:r>
        <w:t xml:space="preserve"> et al., 2018) and in this study are represented by discoidal (various irregular ovate to globular), reniform, and paddle groups. Cape reeds are native to southern Africa and are characteristic of the fynbos biomes of the southwestern Cape (Linder et al., 2003; Bergh et al., 2014). The </w:t>
      </w:r>
      <w:proofErr w:type="spellStart"/>
      <w:r>
        <w:t>Fy</w:t>
      </w:r>
      <w:proofErr w:type="spellEnd"/>
      <w:r>
        <w:t xml:space="preserve"> index, developed by Esteban et al. (2017b) uses the sum of </w:t>
      </w:r>
      <w:proofErr w:type="spellStart"/>
      <w:r>
        <w:t>Restionaceae</w:t>
      </w:r>
      <w:proofErr w:type="spellEnd"/>
      <w:r>
        <w:t xml:space="preserve"> and spheroidal (woody) phytoliths to effectively distinguish </w:t>
      </w:r>
      <w:proofErr w:type="spellStart"/>
      <w:r>
        <w:t>restoidal</w:t>
      </w:r>
      <w:proofErr w:type="spellEnd"/>
      <w:r>
        <w:t xml:space="preserve"> fynbos communities from other vegetation communities (</w:t>
      </w:r>
      <w:proofErr w:type="spellStart"/>
      <w:r>
        <w:t>Novello</w:t>
      </w:r>
      <w:proofErr w:type="spellEnd"/>
      <w:r>
        <w:t xml:space="preserve"> et al., 2018). Papillates were also included within the graminoid division, as they are most commonly deposited by grasses or by </w:t>
      </w:r>
      <w:proofErr w:type="spellStart"/>
      <w:r>
        <w:t>Cyperaceae</w:t>
      </w:r>
      <w:proofErr w:type="spellEnd"/>
      <w:r>
        <w:t xml:space="preserve"> (sedges) (Neumann et al., 2019). However, papillates have also been identified in modern phytolith assemblages extracted from Proteaceae family shrubs from southern Africa, which are often found in fynbos communities (</w:t>
      </w:r>
      <w:proofErr w:type="spellStart"/>
      <w:r>
        <w:t>Novello</w:t>
      </w:r>
      <w:proofErr w:type="spellEnd"/>
      <w:r>
        <w:t xml:space="preserve"> et al., 2018). Due to the lack of clarity about identification of this morphotype, it was not attributed to any vegetation communities in this study. </w:t>
      </w:r>
      <w:r w:rsidRPr="001B4C77">
        <w:lastRenderedPageBreak/>
        <w:t xml:space="preserve">Other non-specific graminoid morphotypes were also </w:t>
      </w:r>
      <w:r>
        <w:t>included in the graminoid group</w:t>
      </w:r>
      <w:r w:rsidRPr="001B4C77">
        <w:t xml:space="preserve">, such as blocky and elongate shapes. </w:t>
      </w:r>
      <w:r>
        <w:t xml:space="preserve">These shapes, although likely deposited by grass or other graminoid vegetation, cannot be attributed to any specific vegetation due a lack of diagnostic features. </w:t>
      </w:r>
    </w:p>
    <w:p w14:paraId="6822DE27" w14:textId="77777777" w:rsidR="003D5210" w:rsidRDefault="003D5210" w:rsidP="004F5F95">
      <w:r>
        <w:t xml:space="preserve">Non-graminoid phytoliths are identified as those representative of woody or shrubby vegetation. This includes morphotypes specific to woody vegetation, such as spheroidal psilate or echinate/regulate shapes, as well as non-specific tracheary and sheet morphotypes. Although the graminoid to non-graminoid ratio is traditionally used in phytolith analysis to represent mixed vegetation communities, the </w:t>
      </w:r>
      <w:proofErr w:type="spellStart"/>
      <w:r>
        <w:t>Fy</w:t>
      </w:r>
      <w:proofErr w:type="spellEnd"/>
      <w:r>
        <w:t xml:space="preserve"> index has been demonstrated to more effectively visualise fynbos communities over time, and therefore the graminoid to non-graminoid ratio was not used in this study (Esteban et al., 2017b; </w:t>
      </w:r>
      <w:proofErr w:type="spellStart"/>
      <w:r>
        <w:t>Novello</w:t>
      </w:r>
      <w:proofErr w:type="spellEnd"/>
      <w:r>
        <w:t xml:space="preserve"> et al., 2018).</w:t>
      </w:r>
    </w:p>
    <w:p w14:paraId="7394A9CD" w14:textId="77777777" w:rsidR="003D5210" w:rsidRPr="005D66CB" w:rsidRDefault="003D5210" w:rsidP="005D66CB">
      <w:pPr>
        <w:jc w:val="both"/>
        <w:rPr>
          <w:rFonts w:cstheme="minorHAnsi"/>
        </w:rPr>
      </w:pPr>
    </w:p>
    <w:p w14:paraId="0DA6F76D" w14:textId="77777777" w:rsidR="00097D91" w:rsidRDefault="00097D91" w:rsidP="00097D91">
      <w:pPr>
        <w:ind w:firstLine="720"/>
        <w:jc w:val="both"/>
        <w:rPr>
          <w:rFonts w:ascii="Times New Roman" w:hAnsi="Times New Roman" w:cs="Times New Roman"/>
          <w:sz w:val="24"/>
          <w:szCs w:val="24"/>
        </w:rPr>
      </w:pPr>
    </w:p>
    <w:p w14:paraId="596ED7C7" w14:textId="77777777" w:rsidR="00097D91" w:rsidRDefault="00097D91" w:rsidP="00097D91">
      <w:pPr>
        <w:ind w:firstLine="720"/>
        <w:jc w:val="both"/>
        <w:rPr>
          <w:rFonts w:ascii="Times New Roman" w:hAnsi="Times New Roman" w:cs="Times New Roman"/>
          <w:sz w:val="24"/>
          <w:szCs w:val="24"/>
        </w:rPr>
      </w:pPr>
    </w:p>
    <w:p w14:paraId="0C58DC91" w14:textId="77777777" w:rsidR="00097D91" w:rsidRDefault="00097D91" w:rsidP="00097D91">
      <w:pPr>
        <w:ind w:firstLine="720"/>
        <w:jc w:val="both"/>
        <w:rPr>
          <w:rFonts w:ascii="Times New Roman" w:hAnsi="Times New Roman" w:cs="Times New Roman"/>
          <w:sz w:val="24"/>
          <w:szCs w:val="24"/>
        </w:rPr>
      </w:pPr>
    </w:p>
    <w:p w14:paraId="48125009" w14:textId="77777777" w:rsidR="00097D91" w:rsidRDefault="00097D91" w:rsidP="00097D91">
      <w:pPr>
        <w:ind w:firstLine="720"/>
        <w:jc w:val="both"/>
        <w:rPr>
          <w:rFonts w:ascii="Times New Roman" w:hAnsi="Times New Roman" w:cs="Times New Roman"/>
          <w:sz w:val="24"/>
          <w:szCs w:val="24"/>
        </w:rPr>
      </w:pPr>
    </w:p>
    <w:p w14:paraId="01954D4E" w14:textId="77777777" w:rsidR="00097D91" w:rsidRDefault="00097D91" w:rsidP="00097D91">
      <w:pPr>
        <w:ind w:firstLine="720"/>
        <w:jc w:val="both"/>
        <w:rPr>
          <w:rFonts w:ascii="Times New Roman" w:hAnsi="Times New Roman" w:cs="Times New Roman"/>
          <w:sz w:val="24"/>
          <w:szCs w:val="24"/>
        </w:rPr>
      </w:pPr>
    </w:p>
    <w:p w14:paraId="57C34941" w14:textId="77777777" w:rsidR="00097D91" w:rsidRDefault="00097D91" w:rsidP="00097D91">
      <w:pPr>
        <w:ind w:firstLine="720"/>
        <w:jc w:val="both"/>
        <w:rPr>
          <w:rFonts w:ascii="Times New Roman" w:hAnsi="Times New Roman" w:cs="Times New Roman"/>
          <w:sz w:val="24"/>
          <w:szCs w:val="24"/>
        </w:rPr>
      </w:pPr>
    </w:p>
    <w:p w14:paraId="79DE2AFD" w14:textId="77777777" w:rsidR="00097D91" w:rsidRDefault="00097D91" w:rsidP="00097D91">
      <w:pPr>
        <w:ind w:firstLine="720"/>
        <w:jc w:val="both"/>
        <w:rPr>
          <w:rFonts w:ascii="Times New Roman" w:hAnsi="Times New Roman" w:cs="Times New Roman"/>
          <w:sz w:val="24"/>
          <w:szCs w:val="24"/>
        </w:rPr>
      </w:pPr>
    </w:p>
    <w:p w14:paraId="5B241230" w14:textId="77777777" w:rsidR="00097D91" w:rsidRDefault="00097D91" w:rsidP="00097D91">
      <w:pPr>
        <w:ind w:firstLine="720"/>
        <w:jc w:val="both"/>
        <w:rPr>
          <w:rFonts w:ascii="Times New Roman" w:hAnsi="Times New Roman" w:cs="Times New Roman"/>
          <w:sz w:val="24"/>
          <w:szCs w:val="24"/>
        </w:rPr>
      </w:pPr>
    </w:p>
    <w:p w14:paraId="11DA9308" w14:textId="77777777" w:rsidR="00097D91" w:rsidRDefault="00097D91" w:rsidP="00097D91">
      <w:pPr>
        <w:ind w:firstLine="720"/>
        <w:jc w:val="both"/>
        <w:rPr>
          <w:rFonts w:ascii="Times New Roman" w:hAnsi="Times New Roman" w:cs="Times New Roman"/>
          <w:sz w:val="24"/>
          <w:szCs w:val="24"/>
        </w:rPr>
      </w:pPr>
    </w:p>
    <w:p w14:paraId="09475A59" w14:textId="77777777" w:rsidR="00097D91" w:rsidRDefault="00097D91" w:rsidP="00097D91">
      <w:pPr>
        <w:ind w:firstLine="720"/>
        <w:jc w:val="both"/>
        <w:rPr>
          <w:rFonts w:ascii="Times New Roman" w:hAnsi="Times New Roman" w:cs="Times New Roman"/>
          <w:sz w:val="24"/>
          <w:szCs w:val="24"/>
        </w:rPr>
      </w:pPr>
    </w:p>
    <w:p w14:paraId="1161C3E7" w14:textId="77777777" w:rsidR="00097D91" w:rsidRDefault="00097D91" w:rsidP="00097D91">
      <w:pPr>
        <w:ind w:firstLine="720"/>
        <w:jc w:val="both"/>
        <w:rPr>
          <w:rFonts w:ascii="Times New Roman" w:hAnsi="Times New Roman" w:cs="Times New Roman"/>
          <w:sz w:val="24"/>
          <w:szCs w:val="24"/>
        </w:rPr>
      </w:pPr>
    </w:p>
    <w:p w14:paraId="3B09DF79" w14:textId="77777777" w:rsidR="003D5210" w:rsidRDefault="003D5210" w:rsidP="00097D91">
      <w:pPr>
        <w:ind w:firstLine="720"/>
        <w:jc w:val="both"/>
        <w:rPr>
          <w:rFonts w:ascii="Times New Roman" w:hAnsi="Times New Roman" w:cs="Times New Roman"/>
          <w:sz w:val="24"/>
          <w:szCs w:val="24"/>
        </w:rPr>
        <w:sectPr w:rsidR="003D5210">
          <w:footerReference w:type="default" r:id="rId8"/>
          <w:pgSz w:w="11906" w:h="16838"/>
          <w:pgMar w:top="1440" w:right="1440" w:bottom="1440" w:left="1440" w:header="708" w:footer="708" w:gutter="0"/>
          <w:cols w:space="708"/>
          <w:docGrid w:linePitch="360"/>
        </w:sectPr>
      </w:pPr>
    </w:p>
    <w:tbl>
      <w:tblPr>
        <w:tblW w:w="6340" w:type="dxa"/>
        <w:tblInd w:w="1348" w:type="dxa"/>
        <w:tblLook w:val="04A0" w:firstRow="1" w:lastRow="0" w:firstColumn="1" w:lastColumn="0" w:noHBand="0" w:noVBand="1"/>
      </w:tblPr>
      <w:tblGrid>
        <w:gridCol w:w="960"/>
        <w:gridCol w:w="5380"/>
      </w:tblGrid>
      <w:tr w:rsidR="00097D91" w:rsidRPr="00294642" w14:paraId="69DF7B6D" w14:textId="77777777" w:rsidTr="00BD4B3C">
        <w:trPr>
          <w:trHeight w:val="300"/>
        </w:trPr>
        <w:tc>
          <w:tcPr>
            <w:tcW w:w="960" w:type="dxa"/>
            <w:tcBorders>
              <w:top w:val="single" w:sz="4" w:space="0" w:color="auto"/>
              <w:left w:val="nil"/>
              <w:bottom w:val="single" w:sz="4" w:space="0" w:color="auto"/>
              <w:right w:val="nil"/>
            </w:tcBorders>
            <w:shd w:val="clear" w:color="000000" w:fill="FFFFFF"/>
            <w:noWrap/>
            <w:vAlign w:val="center"/>
            <w:hideMark/>
          </w:tcPr>
          <w:p w14:paraId="6B9E749D" w14:textId="77777777" w:rsidR="00097D91" w:rsidRPr="00294642" w:rsidRDefault="00097D91" w:rsidP="00BD4B3C">
            <w:pPr>
              <w:spacing w:after="0" w:line="240" w:lineRule="auto"/>
              <w:jc w:val="center"/>
              <w:rPr>
                <w:rFonts w:ascii="Times New Roman" w:eastAsia="Times New Roman" w:hAnsi="Times New Roman" w:cs="Times New Roman"/>
                <w:b/>
                <w:bCs/>
                <w:color w:val="000000"/>
                <w:lang w:eastAsia="en-AU"/>
              </w:rPr>
            </w:pPr>
            <w:r w:rsidRPr="00294642">
              <w:rPr>
                <w:rFonts w:ascii="Times New Roman" w:eastAsia="Times New Roman" w:hAnsi="Times New Roman" w:cs="Times New Roman"/>
                <w:b/>
                <w:bCs/>
                <w:color w:val="000000"/>
                <w:lang w:eastAsia="en-AU"/>
              </w:rPr>
              <w:lastRenderedPageBreak/>
              <w:t>Step</w:t>
            </w:r>
          </w:p>
        </w:tc>
        <w:tc>
          <w:tcPr>
            <w:tcW w:w="5380" w:type="dxa"/>
            <w:tcBorders>
              <w:top w:val="single" w:sz="4" w:space="0" w:color="auto"/>
              <w:left w:val="nil"/>
              <w:bottom w:val="single" w:sz="4" w:space="0" w:color="auto"/>
              <w:right w:val="nil"/>
            </w:tcBorders>
            <w:shd w:val="clear" w:color="000000" w:fill="FFFFFF"/>
            <w:noWrap/>
            <w:vAlign w:val="center"/>
            <w:hideMark/>
          </w:tcPr>
          <w:p w14:paraId="38ECA76B" w14:textId="77777777" w:rsidR="00097D91" w:rsidRPr="00294642" w:rsidRDefault="00097D91" w:rsidP="00BD4B3C">
            <w:pPr>
              <w:spacing w:after="0" w:line="240" w:lineRule="auto"/>
              <w:jc w:val="center"/>
              <w:rPr>
                <w:rFonts w:ascii="Times New Roman" w:eastAsia="Times New Roman" w:hAnsi="Times New Roman" w:cs="Times New Roman"/>
                <w:b/>
                <w:bCs/>
                <w:color w:val="000000"/>
                <w:lang w:eastAsia="en-AU"/>
              </w:rPr>
            </w:pPr>
            <w:r w:rsidRPr="00294642">
              <w:rPr>
                <w:rFonts w:ascii="Times New Roman" w:eastAsia="Times New Roman" w:hAnsi="Times New Roman" w:cs="Times New Roman"/>
                <w:b/>
                <w:bCs/>
                <w:color w:val="000000"/>
                <w:lang w:eastAsia="en-AU"/>
              </w:rPr>
              <w:t>Treatment</w:t>
            </w:r>
          </w:p>
        </w:tc>
      </w:tr>
      <w:tr w:rsidR="00097D91" w:rsidRPr="00294642" w14:paraId="3E86BEAE" w14:textId="77777777" w:rsidTr="00BD4B3C">
        <w:trPr>
          <w:trHeight w:val="392"/>
        </w:trPr>
        <w:tc>
          <w:tcPr>
            <w:tcW w:w="960" w:type="dxa"/>
            <w:tcBorders>
              <w:top w:val="nil"/>
              <w:left w:val="nil"/>
              <w:bottom w:val="nil"/>
              <w:right w:val="nil"/>
            </w:tcBorders>
            <w:shd w:val="clear" w:color="000000" w:fill="FFFFFF"/>
            <w:noWrap/>
            <w:vAlign w:val="bottom"/>
            <w:hideMark/>
          </w:tcPr>
          <w:p w14:paraId="3D8EF058"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1</w:t>
            </w:r>
          </w:p>
        </w:tc>
        <w:tc>
          <w:tcPr>
            <w:tcW w:w="5380" w:type="dxa"/>
            <w:tcBorders>
              <w:top w:val="nil"/>
              <w:left w:val="nil"/>
              <w:bottom w:val="nil"/>
              <w:right w:val="nil"/>
            </w:tcBorders>
            <w:shd w:val="clear" w:color="000000" w:fill="FFFFFF"/>
            <w:noWrap/>
            <w:vAlign w:val="bottom"/>
            <w:hideMark/>
          </w:tcPr>
          <w:p w14:paraId="2FA74174"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 xml:space="preserve">Give </w:t>
            </w:r>
            <w:r w:rsidRPr="00B93BFE">
              <w:rPr>
                <w:rFonts w:ascii="Times New Roman" w:eastAsia="Times New Roman" w:hAnsi="Times New Roman" w:cs="Times New Roman"/>
                <w:color w:val="000000"/>
                <w:lang w:eastAsia="en-AU"/>
              </w:rPr>
              <w:t>regenerative</w:t>
            </w:r>
            <w:r w:rsidRPr="00294642">
              <w:rPr>
                <w:rFonts w:ascii="Times New Roman" w:eastAsia="Times New Roman" w:hAnsi="Times New Roman" w:cs="Times New Roman"/>
                <w:color w:val="000000"/>
                <w:lang w:eastAsia="en-AU"/>
              </w:rPr>
              <w:t xml:space="preserve"> dose, D</w:t>
            </w:r>
            <w:r w:rsidRPr="00294642">
              <w:rPr>
                <w:rFonts w:ascii="Times New Roman" w:eastAsia="Times New Roman" w:hAnsi="Times New Roman" w:cs="Times New Roman"/>
                <w:color w:val="000000"/>
                <w:vertAlign w:val="subscript"/>
                <w:lang w:eastAsia="en-AU"/>
              </w:rPr>
              <w:t>i</w:t>
            </w:r>
            <w:r w:rsidRPr="00294642">
              <w:rPr>
                <w:rFonts w:ascii="Times New Roman" w:eastAsia="Times New Roman" w:hAnsi="Times New Roman" w:cs="Times New Roman"/>
                <w:color w:val="000000"/>
                <w:lang w:eastAsia="en-AU"/>
              </w:rPr>
              <w:t>*</w:t>
            </w:r>
          </w:p>
        </w:tc>
      </w:tr>
      <w:tr w:rsidR="00097D91" w:rsidRPr="00294642" w14:paraId="7D929954" w14:textId="77777777" w:rsidTr="00BD4B3C">
        <w:trPr>
          <w:trHeight w:val="285"/>
        </w:trPr>
        <w:tc>
          <w:tcPr>
            <w:tcW w:w="960" w:type="dxa"/>
            <w:tcBorders>
              <w:top w:val="nil"/>
              <w:left w:val="nil"/>
              <w:bottom w:val="nil"/>
              <w:right w:val="nil"/>
            </w:tcBorders>
            <w:shd w:val="clear" w:color="000000" w:fill="FFFFFF"/>
            <w:noWrap/>
            <w:vAlign w:val="bottom"/>
            <w:hideMark/>
          </w:tcPr>
          <w:p w14:paraId="524DF43F"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2</w:t>
            </w:r>
          </w:p>
        </w:tc>
        <w:tc>
          <w:tcPr>
            <w:tcW w:w="5380" w:type="dxa"/>
            <w:tcBorders>
              <w:top w:val="nil"/>
              <w:left w:val="nil"/>
              <w:bottom w:val="nil"/>
              <w:right w:val="nil"/>
            </w:tcBorders>
            <w:shd w:val="clear" w:color="000000" w:fill="FFFFFF"/>
            <w:noWrap/>
            <w:vAlign w:val="bottom"/>
            <w:hideMark/>
          </w:tcPr>
          <w:p w14:paraId="13A00954"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Preheat 1 (for 10 s)</w:t>
            </w:r>
          </w:p>
        </w:tc>
      </w:tr>
      <w:tr w:rsidR="00097D91" w:rsidRPr="00294642" w14:paraId="543DB29E" w14:textId="77777777" w:rsidTr="00BD4B3C">
        <w:trPr>
          <w:trHeight w:val="285"/>
        </w:trPr>
        <w:tc>
          <w:tcPr>
            <w:tcW w:w="960" w:type="dxa"/>
            <w:tcBorders>
              <w:top w:val="nil"/>
              <w:left w:val="nil"/>
              <w:bottom w:val="nil"/>
              <w:right w:val="nil"/>
            </w:tcBorders>
            <w:shd w:val="clear" w:color="000000" w:fill="FFFFFF"/>
            <w:noWrap/>
            <w:vAlign w:val="bottom"/>
            <w:hideMark/>
          </w:tcPr>
          <w:p w14:paraId="7C112618"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3</w:t>
            </w:r>
          </w:p>
        </w:tc>
        <w:tc>
          <w:tcPr>
            <w:tcW w:w="5380" w:type="dxa"/>
            <w:tcBorders>
              <w:top w:val="nil"/>
              <w:left w:val="nil"/>
              <w:bottom w:val="nil"/>
              <w:right w:val="nil"/>
            </w:tcBorders>
            <w:shd w:val="clear" w:color="000000" w:fill="FFFFFF"/>
            <w:noWrap/>
            <w:vAlign w:val="bottom"/>
            <w:hideMark/>
          </w:tcPr>
          <w:p w14:paraId="38EF6D37"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Single-grain green laser stimulation (2 s) at 125 °C</w:t>
            </w:r>
          </w:p>
        </w:tc>
      </w:tr>
      <w:tr w:rsidR="00097D91" w:rsidRPr="00294642" w14:paraId="11C34492" w14:textId="77777777" w:rsidTr="00BD4B3C">
        <w:trPr>
          <w:trHeight w:val="285"/>
        </w:trPr>
        <w:tc>
          <w:tcPr>
            <w:tcW w:w="960" w:type="dxa"/>
            <w:tcBorders>
              <w:top w:val="nil"/>
              <w:left w:val="nil"/>
              <w:bottom w:val="nil"/>
              <w:right w:val="nil"/>
            </w:tcBorders>
            <w:shd w:val="clear" w:color="000000" w:fill="FFFFFF"/>
            <w:noWrap/>
            <w:vAlign w:val="bottom"/>
            <w:hideMark/>
          </w:tcPr>
          <w:p w14:paraId="5DFA36DB"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4</w:t>
            </w:r>
          </w:p>
        </w:tc>
        <w:tc>
          <w:tcPr>
            <w:tcW w:w="5380" w:type="dxa"/>
            <w:tcBorders>
              <w:top w:val="nil"/>
              <w:left w:val="nil"/>
              <w:bottom w:val="nil"/>
              <w:right w:val="nil"/>
            </w:tcBorders>
            <w:shd w:val="clear" w:color="000000" w:fill="FFFFFF"/>
            <w:noWrap/>
            <w:vAlign w:val="bottom"/>
            <w:hideMark/>
          </w:tcPr>
          <w:p w14:paraId="63175921"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Give test dose (~11 Gy)</w:t>
            </w:r>
          </w:p>
        </w:tc>
      </w:tr>
      <w:tr w:rsidR="00097D91" w:rsidRPr="00294642" w14:paraId="448FF076" w14:textId="77777777" w:rsidTr="00BD4B3C">
        <w:trPr>
          <w:trHeight w:val="285"/>
        </w:trPr>
        <w:tc>
          <w:tcPr>
            <w:tcW w:w="960" w:type="dxa"/>
            <w:tcBorders>
              <w:top w:val="nil"/>
              <w:left w:val="nil"/>
              <w:bottom w:val="nil"/>
              <w:right w:val="nil"/>
            </w:tcBorders>
            <w:shd w:val="clear" w:color="000000" w:fill="FFFFFF"/>
            <w:noWrap/>
            <w:vAlign w:val="bottom"/>
            <w:hideMark/>
          </w:tcPr>
          <w:p w14:paraId="0B2A5901"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5</w:t>
            </w:r>
          </w:p>
        </w:tc>
        <w:tc>
          <w:tcPr>
            <w:tcW w:w="5380" w:type="dxa"/>
            <w:tcBorders>
              <w:top w:val="nil"/>
              <w:left w:val="nil"/>
              <w:bottom w:val="nil"/>
              <w:right w:val="nil"/>
            </w:tcBorders>
            <w:shd w:val="clear" w:color="000000" w:fill="FFFFFF"/>
            <w:noWrap/>
            <w:vAlign w:val="bottom"/>
            <w:hideMark/>
          </w:tcPr>
          <w:p w14:paraId="72A5252C"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Preheat 2 (for 5 s)</w:t>
            </w:r>
          </w:p>
        </w:tc>
      </w:tr>
      <w:tr w:rsidR="00097D91" w:rsidRPr="00294642" w14:paraId="34A1F084" w14:textId="77777777" w:rsidTr="00BD4B3C">
        <w:trPr>
          <w:trHeight w:val="285"/>
        </w:trPr>
        <w:tc>
          <w:tcPr>
            <w:tcW w:w="960" w:type="dxa"/>
            <w:tcBorders>
              <w:top w:val="nil"/>
              <w:left w:val="nil"/>
              <w:bottom w:val="nil"/>
              <w:right w:val="nil"/>
            </w:tcBorders>
            <w:shd w:val="clear" w:color="000000" w:fill="FFFFFF"/>
            <w:noWrap/>
            <w:vAlign w:val="bottom"/>
            <w:hideMark/>
          </w:tcPr>
          <w:p w14:paraId="6108B2DC"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6</w:t>
            </w:r>
          </w:p>
        </w:tc>
        <w:tc>
          <w:tcPr>
            <w:tcW w:w="5380" w:type="dxa"/>
            <w:tcBorders>
              <w:top w:val="nil"/>
              <w:left w:val="nil"/>
              <w:bottom w:val="nil"/>
              <w:right w:val="nil"/>
            </w:tcBorders>
            <w:shd w:val="clear" w:color="000000" w:fill="FFFFFF"/>
            <w:noWrap/>
            <w:vAlign w:val="bottom"/>
            <w:hideMark/>
          </w:tcPr>
          <w:p w14:paraId="25C29384"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Single-grain green laser stimulation (2 s) at 125 °C</w:t>
            </w:r>
          </w:p>
        </w:tc>
      </w:tr>
      <w:tr w:rsidR="00097D91" w:rsidRPr="00294642" w14:paraId="0AF17DDF" w14:textId="77777777" w:rsidTr="00BD4B3C">
        <w:trPr>
          <w:trHeight w:val="285"/>
        </w:trPr>
        <w:tc>
          <w:tcPr>
            <w:tcW w:w="960" w:type="dxa"/>
            <w:tcBorders>
              <w:top w:val="nil"/>
              <w:left w:val="nil"/>
              <w:bottom w:val="single" w:sz="4" w:space="0" w:color="auto"/>
              <w:right w:val="nil"/>
            </w:tcBorders>
            <w:shd w:val="clear" w:color="000000" w:fill="FFFFFF"/>
            <w:noWrap/>
            <w:vAlign w:val="bottom"/>
            <w:hideMark/>
          </w:tcPr>
          <w:p w14:paraId="4394CF52"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7</w:t>
            </w:r>
          </w:p>
        </w:tc>
        <w:tc>
          <w:tcPr>
            <w:tcW w:w="5380" w:type="dxa"/>
            <w:tcBorders>
              <w:top w:val="nil"/>
              <w:left w:val="nil"/>
              <w:bottom w:val="single" w:sz="4" w:space="0" w:color="auto"/>
              <w:right w:val="nil"/>
            </w:tcBorders>
            <w:shd w:val="clear" w:color="000000" w:fill="FFFFFF"/>
            <w:noWrap/>
            <w:vAlign w:val="bottom"/>
            <w:hideMark/>
          </w:tcPr>
          <w:p w14:paraId="3EE24EB0" w14:textId="77777777" w:rsidR="00097D91" w:rsidRPr="00294642" w:rsidRDefault="00097D91" w:rsidP="00BD4B3C">
            <w:pPr>
              <w:spacing w:after="0" w:line="240" w:lineRule="auto"/>
              <w:jc w:val="center"/>
              <w:rPr>
                <w:rFonts w:ascii="Times New Roman" w:eastAsia="Times New Roman" w:hAnsi="Times New Roman" w:cs="Times New Roman"/>
                <w:color w:val="000000"/>
                <w:lang w:eastAsia="en-AU"/>
              </w:rPr>
            </w:pPr>
            <w:r w:rsidRPr="00294642">
              <w:rPr>
                <w:rFonts w:ascii="Times New Roman" w:eastAsia="Times New Roman" w:hAnsi="Times New Roman" w:cs="Times New Roman"/>
                <w:color w:val="000000"/>
                <w:lang w:eastAsia="en-AU"/>
              </w:rPr>
              <w:t>Return to step 1</w:t>
            </w:r>
          </w:p>
        </w:tc>
      </w:tr>
    </w:tbl>
    <w:p w14:paraId="6D7695DF" w14:textId="77777777" w:rsidR="00097D91" w:rsidRDefault="00097D91" w:rsidP="00097D91">
      <w:pPr>
        <w:ind w:firstLine="720"/>
        <w:jc w:val="center"/>
        <w:rPr>
          <w:rFonts w:ascii="Times New Roman" w:hAnsi="Times New Roman" w:cs="Times New Roman"/>
          <w:sz w:val="24"/>
          <w:szCs w:val="24"/>
        </w:rPr>
      </w:pPr>
    </w:p>
    <w:p w14:paraId="79607F40" w14:textId="77777777" w:rsidR="00097D91" w:rsidRPr="00D60116" w:rsidRDefault="00097D91" w:rsidP="00097D91">
      <w:pPr>
        <w:rPr>
          <w:rFonts w:ascii="Times New Roman" w:hAnsi="Times New Roman" w:cs="Times New Roman"/>
          <w:szCs w:val="24"/>
        </w:rPr>
      </w:pPr>
      <w:r w:rsidRPr="00D60116">
        <w:rPr>
          <w:rFonts w:ascii="Times New Roman" w:hAnsi="Times New Roman" w:cs="Times New Roman"/>
          <w:szCs w:val="24"/>
        </w:rPr>
        <w:t>*For the natural dose measurement, D</w:t>
      </w:r>
      <w:r w:rsidRPr="00D60116">
        <w:rPr>
          <w:rFonts w:ascii="Times New Roman" w:hAnsi="Times New Roman" w:cs="Times New Roman"/>
          <w:szCs w:val="24"/>
          <w:vertAlign w:val="subscript"/>
        </w:rPr>
        <w:t>i</w:t>
      </w:r>
      <w:r w:rsidRPr="00D60116">
        <w:rPr>
          <w:rFonts w:ascii="Times New Roman" w:hAnsi="Times New Roman" w:cs="Times New Roman"/>
          <w:szCs w:val="24"/>
        </w:rPr>
        <w:t xml:space="preserve"> = 0 Gy</w:t>
      </w:r>
    </w:p>
    <w:p w14:paraId="50909D2F" w14:textId="77777777" w:rsidR="005D66CB" w:rsidRPr="003D5210" w:rsidRDefault="00097D91" w:rsidP="00097D91">
      <w:pPr>
        <w:rPr>
          <w:rFonts w:cstheme="minorHAnsi"/>
        </w:rPr>
        <w:sectPr w:rsidR="005D66CB" w:rsidRPr="003D5210">
          <w:pgSz w:w="11906" w:h="16838"/>
          <w:pgMar w:top="1440" w:right="1440" w:bottom="1440" w:left="1440" w:header="708" w:footer="708" w:gutter="0"/>
          <w:cols w:space="708"/>
          <w:docGrid w:linePitch="360"/>
        </w:sectPr>
      </w:pPr>
      <w:r w:rsidRPr="003D5210">
        <w:rPr>
          <w:rFonts w:cstheme="minorHAnsi"/>
          <w:b/>
        </w:rPr>
        <w:t>Table S1.</w:t>
      </w:r>
      <w:r w:rsidRPr="003D5210">
        <w:rPr>
          <w:rFonts w:cstheme="minorHAnsi"/>
        </w:rPr>
        <w:t xml:space="preserve"> The SAR measurement procedure used for single-grain D</w:t>
      </w:r>
      <w:r w:rsidRPr="003D5210">
        <w:rPr>
          <w:rFonts w:cstheme="minorHAnsi"/>
          <w:vertAlign w:val="subscript"/>
        </w:rPr>
        <w:t>e</w:t>
      </w:r>
      <w:r w:rsidRPr="003D5210">
        <w:rPr>
          <w:rFonts w:cstheme="minorHAnsi"/>
        </w:rPr>
        <w:t xml:space="preserve"> determination on the KFR1 quartz samples.</w:t>
      </w:r>
    </w:p>
    <w:p w14:paraId="05FEA22E" w14:textId="77777777" w:rsidR="00097D91" w:rsidRDefault="00097D91" w:rsidP="00097D91">
      <w:pPr>
        <w:rPr>
          <w:rFonts w:ascii="Times New Roman" w:hAnsi="Times New Roman" w:cs="Times New Roman"/>
          <w:sz w:val="24"/>
          <w:szCs w:val="24"/>
        </w:rPr>
      </w:pPr>
    </w:p>
    <w:tbl>
      <w:tblPr>
        <w:tblpPr w:leftFromText="180" w:rightFromText="180" w:horzAnchor="margin" w:tblpY="-322"/>
        <w:tblW w:w="11516" w:type="dxa"/>
        <w:tblLook w:val="04A0" w:firstRow="1" w:lastRow="0" w:firstColumn="1" w:lastColumn="0" w:noHBand="0" w:noVBand="1"/>
      </w:tblPr>
      <w:tblGrid>
        <w:gridCol w:w="1240"/>
        <w:gridCol w:w="1660"/>
        <w:gridCol w:w="1480"/>
        <w:gridCol w:w="582"/>
        <w:gridCol w:w="567"/>
        <w:gridCol w:w="567"/>
        <w:gridCol w:w="449"/>
        <w:gridCol w:w="543"/>
        <w:gridCol w:w="546"/>
        <w:gridCol w:w="588"/>
        <w:gridCol w:w="326"/>
        <w:gridCol w:w="1658"/>
        <w:gridCol w:w="1310"/>
      </w:tblGrid>
      <w:tr w:rsidR="005D66CB" w:rsidRPr="00E03579" w14:paraId="734AA30A" w14:textId="77777777" w:rsidTr="00BD4B3C">
        <w:trPr>
          <w:trHeight w:val="285"/>
        </w:trPr>
        <w:tc>
          <w:tcPr>
            <w:tcW w:w="1240" w:type="dxa"/>
            <w:vMerge w:val="restart"/>
            <w:tcBorders>
              <w:top w:val="single" w:sz="4" w:space="0" w:color="auto"/>
              <w:left w:val="nil"/>
              <w:bottom w:val="single" w:sz="4" w:space="0" w:color="000000"/>
              <w:right w:val="nil"/>
            </w:tcBorders>
            <w:shd w:val="clear" w:color="000000" w:fill="FFFFFF"/>
            <w:noWrap/>
            <w:vAlign w:val="center"/>
            <w:hideMark/>
          </w:tcPr>
          <w:p w14:paraId="3208451D"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Sample</w:t>
            </w:r>
          </w:p>
        </w:tc>
        <w:tc>
          <w:tcPr>
            <w:tcW w:w="1660" w:type="dxa"/>
            <w:vMerge w:val="restart"/>
            <w:tcBorders>
              <w:top w:val="single" w:sz="4" w:space="0" w:color="auto"/>
              <w:left w:val="nil"/>
              <w:bottom w:val="single" w:sz="4" w:space="0" w:color="000000"/>
              <w:right w:val="nil"/>
            </w:tcBorders>
            <w:shd w:val="clear" w:color="000000" w:fill="FFFFFF"/>
            <w:vAlign w:val="center"/>
            <w:hideMark/>
          </w:tcPr>
          <w:p w14:paraId="02503B96"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Laboratory code (UOW-)</w:t>
            </w:r>
          </w:p>
        </w:tc>
        <w:tc>
          <w:tcPr>
            <w:tcW w:w="1480" w:type="dxa"/>
            <w:vMerge w:val="restart"/>
            <w:tcBorders>
              <w:top w:val="single" w:sz="4" w:space="0" w:color="auto"/>
              <w:left w:val="nil"/>
              <w:bottom w:val="single" w:sz="4" w:space="0" w:color="000000"/>
              <w:right w:val="nil"/>
            </w:tcBorders>
            <w:shd w:val="clear" w:color="000000" w:fill="FFFFFF"/>
            <w:vAlign w:val="center"/>
            <w:hideMark/>
          </w:tcPr>
          <w:p w14:paraId="5B0A98FF"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N of grains measured</w:t>
            </w:r>
          </w:p>
        </w:tc>
        <w:tc>
          <w:tcPr>
            <w:tcW w:w="4168" w:type="dxa"/>
            <w:gridSpan w:val="8"/>
            <w:tcBorders>
              <w:top w:val="single" w:sz="4" w:space="0" w:color="auto"/>
              <w:left w:val="nil"/>
              <w:bottom w:val="single" w:sz="4" w:space="0" w:color="auto"/>
              <w:right w:val="nil"/>
            </w:tcBorders>
            <w:shd w:val="clear" w:color="000000" w:fill="FFFFFF"/>
            <w:noWrap/>
            <w:vAlign w:val="center"/>
            <w:hideMark/>
          </w:tcPr>
          <w:p w14:paraId="409C4E9F"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Pr>
                <w:rFonts w:ascii="Times New Roman" w:eastAsia="Times New Roman" w:hAnsi="Times New Roman" w:cs="Times New Roman"/>
                <w:b/>
                <w:bCs/>
                <w:color w:val="000000"/>
                <w:lang w:eastAsia="en-AU"/>
              </w:rPr>
              <w:t>Rejection criteria (see Section S1.2)</w:t>
            </w:r>
          </w:p>
        </w:tc>
        <w:tc>
          <w:tcPr>
            <w:tcW w:w="1658" w:type="dxa"/>
            <w:vMerge w:val="restart"/>
            <w:tcBorders>
              <w:top w:val="single" w:sz="4" w:space="0" w:color="auto"/>
              <w:left w:val="nil"/>
              <w:bottom w:val="single" w:sz="4" w:space="0" w:color="000000"/>
              <w:right w:val="nil"/>
            </w:tcBorders>
            <w:shd w:val="clear" w:color="000000" w:fill="FFFFFF"/>
            <w:vAlign w:val="center"/>
            <w:hideMark/>
          </w:tcPr>
          <w:p w14:paraId="47810E64"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Sum of grains rejected</w:t>
            </w:r>
          </w:p>
        </w:tc>
        <w:tc>
          <w:tcPr>
            <w:tcW w:w="1310" w:type="dxa"/>
            <w:vMerge w:val="restart"/>
            <w:tcBorders>
              <w:top w:val="single" w:sz="4" w:space="0" w:color="auto"/>
              <w:left w:val="nil"/>
              <w:bottom w:val="single" w:sz="4" w:space="0" w:color="000000"/>
              <w:right w:val="nil"/>
            </w:tcBorders>
            <w:shd w:val="clear" w:color="000000" w:fill="FFFFFF"/>
            <w:vAlign w:val="center"/>
            <w:hideMark/>
          </w:tcPr>
          <w:p w14:paraId="3D11E9FF"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N of grains accepted</w:t>
            </w:r>
          </w:p>
        </w:tc>
      </w:tr>
      <w:tr w:rsidR="005D66CB" w:rsidRPr="00E03579" w14:paraId="51EA704E" w14:textId="77777777" w:rsidTr="00BD4B3C">
        <w:trPr>
          <w:trHeight w:val="300"/>
        </w:trPr>
        <w:tc>
          <w:tcPr>
            <w:tcW w:w="1240" w:type="dxa"/>
            <w:vMerge/>
            <w:tcBorders>
              <w:top w:val="single" w:sz="4" w:space="0" w:color="auto"/>
              <w:left w:val="nil"/>
              <w:bottom w:val="single" w:sz="4" w:space="0" w:color="000000"/>
              <w:right w:val="nil"/>
            </w:tcBorders>
            <w:vAlign w:val="center"/>
            <w:hideMark/>
          </w:tcPr>
          <w:p w14:paraId="115DBACF" w14:textId="77777777" w:rsidR="005D66CB" w:rsidRPr="00E03579" w:rsidRDefault="005D66CB" w:rsidP="00BD4B3C">
            <w:pPr>
              <w:spacing w:after="0" w:line="240" w:lineRule="auto"/>
              <w:rPr>
                <w:rFonts w:ascii="Times New Roman" w:eastAsia="Times New Roman" w:hAnsi="Times New Roman" w:cs="Times New Roman"/>
                <w:b/>
                <w:bCs/>
                <w:color w:val="000000"/>
                <w:lang w:eastAsia="en-AU"/>
              </w:rPr>
            </w:pPr>
          </w:p>
        </w:tc>
        <w:tc>
          <w:tcPr>
            <w:tcW w:w="1660" w:type="dxa"/>
            <w:vMerge/>
            <w:tcBorders>
              <w:top w:val="single" w:sz="4" w:space="0" w:color="auto"/>
              <w:left w:val="nil"/>
              <w:bottom w:val="single" w:sz="4" w:space="0" w:color="000000"/>
              <w:right w:val="nil"/>
            </w:tcBorders>
            <w:vAlign w:val="center"/>
            <w:hideMark/>
          </w:tcPr>
          <w:p w14:paraId="53D45A8F" w14:textId="77777777" w:rsidR="005D66CB" w:rsidRPr="00E03579" w:rsidRDefault="005D66CB" w:rsidP="00BD4B3C">
            <w:pPr>
              <w:spacing w:after="0" w:line="240" w:lineRule="auto"/>
              <w:rPr>
                <w:rFonts w:ascii="Times New Roman" w:eastAsia="Times New Roman" w:hAnsi="Times New Roman" w:cs="Times New Roman"/>
                <w:b/>
                <w:bCs/>
                <w:color w:val="000000"/>
                <w:lang w:eastAsia="en-AU"/>
              </w:rPr>
            </w:pPr>
          </w:p>
        </w:tc>
        <w:tc>
          <w:tcPr>
            <w:tcW w:w="1480" w:type="dxa"/>
            <w:vMerge/>
            <w:tcBorders>
              <w:top w:val="single" w:sz="4" w:space="0" w:color="auto"/>
              <w:left w:val="nil"/>
              <w:bottom w:val="single" w:sz="4" w:space="0" w:color="000000"/>
              <w:right w:val="nil"/>
            </w:tcBorders>
            <w:vAlign w:val="center"/>
            <w:hideMark/>
          </w:tcPr>
          <w:p w14:paraId="14A3051B" w14:textId="77777777" w:rsidR="005D66CB" w:rsidRPr="00E03579" w:rsidRDefault="005D66CB" w:rsidP="00BD4B3C">
            <w:pPr>
              <w:spacing w:after="0" w:line="240" w:lineRule="auto"/>
              <w:rPr>
                <w:rFonts w:ascii="Times New Roman" w:eastAsia="Times New Roman" w:hAnsi="Times New Roman" w:cs="Times New Roman"/>
                <w:b/>
                <w:bCs/>
                <w:color w:val="000000"/>
                <w:lang w:eastAsia="en-AU"/>
              </w:rPr>
            </w:pPr>
          </w:p>
        </w:tc>
        <w:tc>
          <w:tcPr>
            <w:tcW w:w="582" w:type="dxa"/>
            <w:tcBorders>
              <w:top w:val="nil"/>
              <w:left w:val="nil"/>
              <w:bottom w:val="single" w:sz="4" w:space="0" w:color="auto"/>
              <w:right w:val="nil"/>
            </w:tcBorders>
            <w:shd w:val="clear" w:color="000000" w:fill="FFFFFF"/>
            <w:noWrap/>
            <w:vAlign w:val="bottom"/>
            <w:hideMark/>
          </w:tcPr>
          <w:p w14:paraId="4D079887"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w:t>
            </w:r>
          </w:p>
        </w:tc>
        <w:tc>
          <w:tcPr>
            <w:tcW w:w="567" w:type="dxa"/>
            <w:tcBorders>
              <w:top w:val="nil"/>
              <w:left w:val="nil"/>
              <w:bottom w:val="single" w:sz="4" w:space="0" w:color="auto"/>
              <w:right w:val="nil"/>
            </w:tcBorders>
            <w:shd w:val="clear" w:color="000000" w:fill="FFFFFF"/>
            <w:noWrap/>
            <w:vAlign w:val="bottom"/>
            <w:hideMark/>
          </w:tcPr>
          <w:p w14:paraId="377343F7"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w:t>
            </w:r>
          </w:p>
        </w:tc>
        <w:tc>
          <w:tcPr>
            <w:tcW w:w="567" w:type="dxa"/>
            <w:tcBorders>
              <w:top w:val="nil"/>
              <w:left w:val="nil"/>
              <w:bottom w:val="single" w:sz="4" w:space="0" w:color="auto"/>
              <w:right w:val="nil"/>
            </w:tcBorders>
            <w:shd w:val="clear" w:color="000000" w:fill="FFFFFF"/>
            <w:noWrap/>
            <w:vAlign w:val="bottom"/>
            <w:hideMark/>
          </w:tcPr>
          <w:p w14:paraId="5C033B29"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3a</w:t>
            </w:r>
          </w:p>
        </w:tc>
        <w:tc>
          <w:tcPr>
            <w:tcW w:w="449" w:type="dxa"/>
            <w:tcBorders>
              <w:top w:val="nil"/>
              <w:left w:val="nil"/>
              <w:bottom w:val="single" w:sz="4" w:space="0" w:color="auto"/>
              <w:right w:val="nil"/>
            </w:tcBorders>
            <w:shd w:val="clear" w:color="000000" w:fill="FFFFFF"/>
            <w:noWrap/>
            <w:vAlign w:val="bottom"/>
            <w:hideMark/>
          </w:tcPr>
          <w:p w14:paraId="03018B56"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3b</w:t>
            </w:r>
          </w:p>
        </w:tc>
        <w:tc>
          <w:tcPr>
            <w:tcW w:w="543" w:type="dxa"/>
            <w:tcBorders>
              <w:top w:val="nil"/>
              <w:left w:val="nil"/>
              <w:bottom w:val="single" w:sz="4" w:space="0" w:color="auto"/>
              <w:right w:val="nil"/>
            </w:tcBorders>
            <w:shd w:val="clear" w:color="000000" w:fill="FFFFFF"/>
            <w:noWrap/>
            <w:vAlign w:val="bottom"/>
            <w:hideMark/>
          </w:tcPr>
          <w:p w14:paraId="6D4B03E2"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3c</w:t>
            </w:r>
          </w:p>
        </w:tc>
        <w:tc>
          <w:tcPr>
            <w:tcW w:w="546" w:type="dxa"/>
            <w:tcBorders>
              <w:top w:val="nil"/>
              <w:left w:val="nil"/>
              <w:bottom w:val="single" w:sz="4" w:space="0" w:color="auto"/>
              <w:right w:val="nil"/>
            </w:tcBorders>
            <w:shd w:val="clear" w:color="000000" w:fill="FFFFFF"/>
            <w:noWrap/>
            <w:vAlign w:val="bottom"/>
            <w:hideMark/>
          </w:tcPr>
          <w:p w14:paraId="71E0E44B"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3d</w:t>
            </w:r>
          </w:p>
        </w:tc>
        <w:tc>
          <w:tcPr>
            <w:tcW w:w="588" w:type="dxa"/>
            <w:tcBorders>
              <w:top w:val="nil"/>
              <w:left w:val="nil"/>
              <w:bottom w:val="single" w:sz="4" w:space="0" w:color="auto"/>
              <w:right w:val="nil"/>
            </w:tcBorders>
            <w:shd w:val="clear" w:color="000000" w:fill="FFFFFF"/>
            <w:noWrap/>
            <w:vAlign w:val="bottom"/>
            <w:hideMark/>
          </w:tcPr>
          <w:p w14:paraId="5BA31771"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4</w:t>
            </w:r>
          </w:p>
        </w:tc>
        <w:tc>
          <w:tcPr>
            <w:tcW w:w="326" w:type="dxa"/>
            <w:tcBorders>
              <w:top w:val="nil"/>
              <w:left w:val="nil"/>
              <w:bottom w:val="single" w:sz="4" w:space="0" w:color="auto"/>
              <w:right w:val="nil"/>
            </w:tcBorders>
            <w:shd w:val="clear" w:color="000000" w:fill="FFFFFF"/>
            <w:noWrap/>
            <w:vAlign w:val="bottom"/>
            <w:hideMark/>
          </w:tcPr>
          <w:p w14:paraId="1AC7302E"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5</w:t>
            </w:r>
          </w:p>
        </w:tc>
        <w:tc>
          <w:tcPr>
            <w:tcW w:w="1658" w:type="dxa"/>
            <w:vMerge/>
            <w:tcBorders>
              <w:top w:val="single" w:sz="4" w:space="0" w:color="auto"/>
              <w:left w:val="nil"/>
              <w:bottom w:val="single" w:sz="4" w:space="0" w:color="000000"/>
              <w:right w:val="nil"/>
            </w:tcBorders>
            <w:vAlign w:val="center"/>
            <w:hideMark/>
          </w:tcPr>
          <w:p w14:paraId="66901E4A" w14:textId="77777777" w:rsidR="005D66CB" w:rsidRPr="00E03579" w:rsidRDefault="005D66CB" w:rsidP="00BD4B3C">
            <w:pPr>
              <w:spacing w:after="0" w:line="240" w:lineRule="auto"/>
              <w:rPr>
                <w:rFonts w:ascii="Times New Roman" w:eastAsia="Times New Roman" w:hAnsi="Times New Roman" w:cs="Times New Roman"/>
                <w:b/>
                <w:bCs/>
                <w:color w:val="000000"/>
                <w:lang w:eastAsia="en-AU"/>
              </w:rPr>
            </w:pPr>
          </w:p>
        </w:tc>
        <w:tc>
          <w:tcPr>
            <w:tcW w:w="1310" w:type="dxa"/>
            <w:vMerge/>
            <w:tcBorders>
              <w:top w:val="single" w:sz="4" w:space="0" w:color="auto"/>
              <w:left w:val="nil"/>
              <w:bottom w:val="single" w:sz="4" w:space="0" w:color="000000"/>
              <w:right w:val="nil"/>
            </w:tcBorders>
            <w:vAlign w:val="center"/>
            <w:hideMark/>
          </w:tcPr>
          <w:p w14:paraId="41E6E4F5" w14:textId="77777777" w:rsidR="005D66CB" w:rsidRPr="00E03579" w:rsidRDefault="005D66CB" w:rsidP="00BD4B3C">
            <w:pPr>
              <w:spacing w:after="0" w:line="240" w:lineRule="auto"/>
              <w:rPr>
                <w:rFonts w:ascii="Times New Roman" w:eastAsia="Times New Roman" w:hAnsi="Times New Roman" w:cs="Times New Roman"/>
                <w:b/>
                <w:bCs/>
                <w:color w:val="000000"/>
                <w:lang w:eastAsia="en-AU"/>
              </w:rPr>
            </w:pPr>
          </w:p>
        </w:tc>
      </w:tr>
      <w:tr w:rsidR="005D66CB" w:rsidRPr="00E03579" w14:paraId="513FDF4F" w14:textId="77777777" w:rsidTr="00BD4B3C">
        <w:trPr>
          <w:trHeight w:val="300"/>
        </w:trPr>
        <w:tc>
          <w:tcPr>
            <w:tcW w:w="1240" w:type="dxa"/>
            <w:tcBorders>
              <w:top w:val="nil"/>
              <w:left w:val="nil"/>
              <w:bottom w:val="nil"/>
              <w:right w:val="nil"/>
            </w:tcBorders>
            <w:shd w:val="clear" w:color="000000" w:fill="FFFFFF"/>
            <w:noWrap/>
            <w:vAlign w:val="bottom"/>
            <w:hideMark/>
          </w:tcPr>
          <w:p w14:paraId="29E3505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w:t>
            </w:r>
          </w:p>
        </w:tc>
        <w:tc>
          <w:tcPr>
            <w:tcW w:w="1660" w:type="dxa"/>
            <w:tcBorders>
              <w:top w:val="nil"/>
              <w:left w:val="nil"/>
              <w:bottom w:val="nil"/>
              <w:right w:val="nil"/>
            </w:tcBorders>
            <w:shd w:val="clear" w:color="000000" w:fill="FFFFFF"/>
            <w:noWrap/>
            <w:vAlign w:val="bottom"/>
            <w:hideMark/>
          </w:tcPr>
          <w:p w14:paraId="108E7BB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636</w:t>
            </w:r>
          </w:p>
        </w:tc>
        <w:tc>
          <w:tcPr>
            <w:tcW w:w="1480" w:type="dxa"/>
            <w:tcBorders>
              <w:top w:val="nil"/>
              <w:left w:val="nil"/>
              <w:bottom w:val="nil"/>
              <w:right w:val="nil"/>
            </w:tcBorders>
            <w:shd w:val="clear" w:color="000000" w:fill="FFFFFF"/>
            <w:noWrap/>
            <w:vAlign w:val="bottom"/>
            <w:hideMark/>
          </w:tcPr>
          <w:p w14:paraId="452DE2D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0C64428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593</w:t>
            </w:r>
          </w:p>
        </w:tc>
        <w:tc>
          <w:tcPr>
            <w:tcW w:w="567" w:type="dxa"/>
            <w:tcBorders>
              <w:top w:val="nil"/>
              <w:left w:val="nil"/>
              <w:bottom w:val="nil"/>
              <w:right w:val="nil"/>
            </w:tcBorders>
            <w:shd w:val="clear" w:color="000000" w:fill="FFFFFF"/>
            <w:noWrap/>
            <w:vAlign w:val="bottom"/>
            <w:hideMark/>
          </w:tcPr>
          <w:p w14:paraId="7D57EDA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567" w:type="dxa"/>
            <w:tcBorders>
              <w:top w:val="nil"/>
              <w:left w:val="nil"/>
              <w:bottom w:val="nil"/>
              <w:right w:val="nil"/>
            </w:tcBorders>
            <w:shd w:val="clear" w:color="000000" w:fill="FFFFFF"/>
            <w:noWrap/>
            <w:vAlign w:val="bottom"/>
            <w:hideMark/>
          </w:tcPr>
          <w:p w14:paraId="314538F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41</w:t>
            </w:r>
          </w:p>
        </w:tc>
        <w:tc>
          <w:tcPr>
            <w:tcW w:w="449" w:type="dxa"/>
            <w:tcBorders>
              <w:top w:val="nil"/>
              <w:left w:val="nil"/>
              <w:bottom w:val="nil"/>
              <w:right w:val="nil"/>
            </w:tcBorders>
            <w:shd w:val="clear" w:color="000000" w:fill="FFFFFF"/>
            <w:noWrap/>
            <w:vAlign w:val="bottom"/>
            <w:hideMark/>
          </w:tcPr>
          <w:p w14:paraId="47A7748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w:t>
            </w:r>
          </w:p>
        </w:tc>
        <w:tc>
          <w:tcPr>
            <w:tcW w:w="543" w:type="dxa"/>
            <w:tcBorders>
              <w:top w:val="nil"/>
              <w:left w:val="nil"/>
              <w:bottom w:val="nil"/>
              <w:right w:val="nil"/>
            </w:tcBorders>
            <w:shd w:val="clear" w:color="000000" w:fill="FFFFFF"/>
            <w:noWrap/>
            <w:vAlign w:val="bottom"/>
            <w:hideMark/>
          </w:tcPr>
          <w:p w14:paraId="7E2D871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24</w:t>
            </w:r>
          </w:p>
        </w:tc>
        <w:tc>
          <w:tcPr>
            <w:tcW w:w="546" w:type="dxa"/>
            <w:tcBorders>
              <w:top w:val="nil"/>
              <w:left w:val="nil"/>
              <w:bottom w:val="nil"/>
              <w:right w:val="nil"/>
            </w:tcBorders>
            <w:shd w:val="clear" w:color="000000" w:fill="FFFFFF"/>
            <w:noWrap/>
            <w:vAlign w:val="bottom"/>
            <w:hideMark/>
          </w:tcPr>
          <w:p w14:paraId="33A3DAA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30</w:t>
            </w:r>
          </w:p>
        </w:tc>
        <w:tc>
          <w:tcPr>
            <w:tcW w:w="588" w:type="dxa"/>
            <w:tcBorders>
              <w:top w:val="nil"/>
              <w:left w:val="nil"/>
              <w:bottom w:val="nil"/>
              <w:right w:val="nil"/>
            </w:tcBorders>
            <w:shd w:val="clear" w:color="000000" w:fill="FFFFFF"/>
            <w:noWrap/>
            <w:vAlign w:val="bottom"/>
            <w:hideMark/>
          </w:tcPr>
          <w:p w14:paraId="300881D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31</w:t>
            </w:r>
          </w:p>
        </w:tc>
        <w:tc>
          <w:tcPr>
            <w:tcW w:w="326" w:type="dxa"/>
            <w:tcBorders>
              <w:top w:val="nil"/>
              <w:left w:val="nil"/>
              <w:bottom w:val="nil"/>
              <w:right w:val="nil"/>
            </w:tcBorders>
            <w:shd w:val="clear" w:color="000000" w:fill="FFFFFF"/>
            <w:noWrap/>
            <w:vAlign w:val="bottom"/>
            <w:hideMark/>
          </w:tcPr>
          <w:p w14:paraId="516A56B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w:t>
            </w:r>
          </w:p>
        </w:tc>
        <w:tc>
          <w:tcPr>
            <w:tcW w:w="1658" w:type="dxa"/>
            <w:tcBorders>
              <w:top w:val="nil"/>
              <w:left w:val="nil"/>
              <w:bottom w:val="nil"/>
              <w:right w:val="nil"/>
            </w:tcBorders>
            <w:shd w:val="clear" w:color="000000" w:fill="FFFFFF"/>
            <w:noWrap/>
            <w:vAlign w:val="bottom"/>
            <w:hideMark/>
          </w:tcPr>
          <w:p w14:paraId="778DB87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737</w:t>
            </w:r>
          </w:p>
        </w:tc>
        <w:tc>
          <w:tcPr>
            <w:tcW w:w="1310" w:type="dxa"/>
            <w:tcBorders>
              <w:top w:val="nil"/>
              <w:left w:val="nil"/>
              <w:bottom w:val="nil"/>
              <w:right w:val="nil"/>
            </w:tcBorders>
            <w:shd w:val="clear" w:color="000000" w:fill="FFFFFF"/>
            <w:noWrap/>
            <w:vAlign w:val="bottom"/>
            <w:hideMark/>
          </w:tcPr>
          <w:p w14:paraId="12EAB574"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263</w:t>
            </w:r>
          </w:p>
        </w:tc>
      </w:tr>
      <w:tr w:rsidR="005D66CB" w:rsidRPr="00E03579" w14:paraId="63791BA1" w14:textId="77777777" w:rsidTr="00BD4B3C">
        <w:trPr>
          <w:trHeight w:val="300"/>
        </w:trPr>
        <w:tc>
          <w:tcPr>
            <w:tcW w:w="1240" w:type="dxa"/>
            <w:tcBorders>
              <w:top w:val="nil"/>
              <w:left w:val="nil"/>
              <w:bottom w:val="nil"/>
              <w:right w:val="nil"/>
            </w:tcBorders>
            <w:shd w:val="clear" w:color="000000" w:fill="FFFFFF"/>
            <w:noWrap/>
            <w:vAlign w:val="bottom"/>
            <w:hideMark/>
          </w:tcPr>
          <w:p w14:paraId="1A66AE1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OSL2</w:t>
            </w:r>
          </w:p>
        </w:tc>
        <w:tc>
          <w:tcPr>
            <w:tcW w:w="1660" w:type="dxa"/>
            <w:tcBorders>
              <w:top w:val="nil"/>
              <w:left w:val="nil"/>
              <w:bottom w:val="nil"/>
              <w:right w:val="nil"/>
            </w:tcBorders>
            <w:shd w:val="clear" w:color="000000" w:fill="FFFFFF"/>
            <w:noWrap/>
            <w:vAlign w:val="bottom"/>
            <w:hideMark/>
          </w:tcPr>
          <w:p w14:paraId="7030B03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637</w:t>
            </w:r>
          </w:p>
        </w:tc>
        <w:tc>
          <w:tcPr>
            <w:tcW w:w="1480" w:type="dxa"/>
            <w:tcBorders>
              <w:top w:val="nil"/>
              <w:left w:val="nil"/>
              <w:bottom w:val="nil"/>
              <w:right w:val="nil"/>
            </w:tcBorders>
            <w:shd w:val="clear" w:color="000000" w:fill="FFFFFF"/>
            <w:noWrap/>
            <w:vAlign w:val="bottom"/>
            <w:hideMark/>
          </w:tcPr>
          <w:p w14:paraId="16E6343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186DAE7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611</w:t>
            </w:r>
          </w:p>
        </w:tc>
        <w:tc>
          <w:tcPr>
            <w:tcW w:w="567" w:type="dxa"/>
            <w:tcBorders>
              <w:top w:val="nil"/>
              <w:left w:val="nil"/>
              <w:bottom w:val="nil"/>
              <w:right w:val="nil"/>
            </w:tcBorders>
            <w:shd w:val="clear" w:color="000000" w:fill="FFFFFF"/>
            <w:noWrap/>
            <w:vAlign w:val="bottom"/>
            <w:hideMark/>
          </w:tcPr>
          <w:p w14:paraId="42CBFE6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567" w:type="dxa"/>
            <w:tcBorders>
              <w:top w:val="nil"/>
              <w:left w:val="nil"/>
              <w:bottom w:val="nil"/>
              <w:right w:val="nil"/>
            </w:tcBorders>
            <w:shd w:val="clear" w:color="000000" w:fill="FFFFFF"/>
            <w:noWrap/>
            <w:vAlign w:val="bottom"/>
            <w:hideMark/>
          </w:tcPr>
          <w:p w14:paraId="26EC6F9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49</w:t>
            </w:r>
          </w:p>
        </w:tc>
        <w:tc>
          <w:tcPr>
            <w:tcW w:w="449" w:type="dxa"/>
            <w:tcBorders>
              <w:top w:val="nil"/>
              <w:left w:val="nil"/>
              <w:bottom w:val="nil"/>
              <w:right w:val="nil"/>
            </w:tcBorders>
            <w:shd w:val="clear" w:color="000000" w:fill="FFFFFF"/>
            <w:noWrap/>
            <w:vAlign w:val="bottom"/>
            <w:hideMark/>
          </w:tcPr>
          <w:p w14:paraId="5781E57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w:t>
            </w:r>
          </w:p>
        </w:tc>
        <w:tc>
          <w:tcPr>
            <w:tcW w:w="543" w:type="dxa"/>
            <w:tcBorders>
              <w:top w:val="nil"/>
              <w:left w:val="nil"/>
              <w:bottom w:val="nil"/>
              <w:right w:val="nil"/>
            </w:tcBorders>
            <w:shd w:val="clear" w:color="000000" w:fill="FFFFFF"/>
            <w:noWrap/>
            <w:vAlign w:val="bottom"/>
            <w:hideMark/>
          </w:tcPr>
          <w:p w14:paraId="2D4C2E5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20</w:t>
            </w:r>
          </w:p>
        </w:tc>
        <w:tc>
          <w:tcPr>
            <w:tcW w:w="546" w:type="dxa"/>
            <w:tcBorders>
              <w:top w:val="nil"/>
              <w:left w:val="nil"/>
              <w:bottom w:val="nil"/>
              <w:right w:val="nil"/>
            </w:tcBorders>
            <w:shd w:val="clear" w:color="000000" w:fill="FFFFFF"/>
            <w:noWrap/>
            <w:vAlign w:val="bottom"/>
            <w:hideMark/>
          </w:tcPr>
          <w:p w14:paraId="5E9A96F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32</w:t>
            </w:r>
          </w:p>
        </w:tc>
        <w:tc>
          <w:tcPr>
            <w:tcW w:w="588" w:type="dxa"/>
            <w:tcBorders>
              <w:top w:val="nil"/>
              <w:left w:val="nil"/>
              <w:bottom w:val="nil"/>
              <w:right w:val="nil"/>
            </w:tcBorders>
            <w:shd w:val="clear" w:color="000000" w:fill="FFFFFF"/>
            <w:noWrap/>
            <w:vAlign w:val="bottom"/>
            <w:hideMark/>
          </w:tcPr>
          <w:p w14:paraId="6B9EA05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w:t>
            </w:r>
          </w:p>
        </w:tc>
        <w:tc>
          <w:tcPr>
            <w:tcW w:w="326" w:type="dxa"/>
            <w:tcBorders>
              <w:top w:val="nil"/>
              <w:left w:val="nil"/>
              <w:bottom w:val="nil"/>
              <w:right w:val="nil"/>
            </w:tcBorders>
            <w:shd w:val="clear" w:color="000000" w:fill="FFFFFF"/>
            <w:noWrap/>
            <w:vAlign w:val="bottom"/>
            <w:hideMark/>
          </w:tcPr>
          <w:p w14:paraId="3F7A8AF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1658" w:type="dxa"/>
            <w:tcBorders>
              <w:top w:val="nil"/>
              <w:left w:val="nil"/>
              <w:bottom w:val="nil"/>
              <w:right w:val="nil"/>
            </w:tcBorders>
            <w:shd w:val="clear" w:color="000000" w:fill="FFFFFF"/>
            <w:noWrap/>
            <w:vAlign w:val="bottom"/>
            <w:hideMark/>
          </w:tcPr>
          <w:p w14:paraId="5B32F42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731</w:t>
            </w:r>
          </w:p>
        </w:tc>
        <w:tc>
          <w:tcPr>
            <w:tcW w:w="1310" w:type="dxa"/>
            <w:tcBorders>
              <w:top w:val="nil"/>
              <w:left w:val="nil"/>
              <w:bottom w:val="nil"/>
              <w:right w:val="nil"/>
            </w:tcBorders>
            <w:shd w:val="clear" w:color="000000" w:fill="FFFFFF"/>
            <w:noWrap/>
            <w:vAlign w:val="bottom"/>
            <w:hideMark/>
          </w:tcPr>
          <w:p w14:paraId="4CCCAF97"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269</w:t>
            </w:r>
          </w:p>
        </w:tc>
      </w:tr>
      <w:tr w:rsidR="005D66CB" w:rsidRPr="00E03579" w14:paraId="1CB883CA" w14:textId="77777777" w:rsidTr="00BD4B3C">
        <w:trPr>
          <w:trHeight w:val="300"/>
        </w:trPr>
        <w:tc>
          <w:tcPr>
            <w:tcW w:w="1240" w:type="dxa"/>
            <w:tcBorders>
              <w:top w:val="nil"/>
              <w:left w:val="nil"/>
              <w:bottom w:val="nil"/>
              <w:right w:val="nil"/>
            </w:tcBorders>
            <w:shd w:val="clear" w:color="000000" w:fill="FFFFFF"/>
            <w:noWrap/>
            <w:vAlign w:val="bottom"/>
            <w:hideMark/>
          </w:tcPr>
          <w:p w14:paraId="3825DF4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OSL3</w:t>
            </w:r>
          </w:p>
        </w:tc>
        <w:tc>
          <w:tcPr>
            <w:tcW w:w="1660" w:type="dxa"/>
            <w:tcBorders>
              <w:top w:val="nil"/>
              <w:left w:val="nil"/>
              <w:bottom w:val="nil"/>
              <w:right w:val="nil"/>
            </w:tcBorders>
            <w:shd w:val="clear" w:color="000000" w:fill="FFFFFF"/>
            <w:noWrap/>
            <w:vAlign w:val="bottom"/>
            <w:hideMark/>
          </w:tcPr>
          <w:p w14:paraId="1FF3A74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638</w:t>
            </w:r>
          </w:p>
        </w:tc>
        <w:tc>
          <w:tcPr>
            <w:tcW w:w="1480" w:type="dxa"/>
            <w:tcBorders>
              <w:top w:val="nil"/>
              <w:left w:val="nil"/>
              <w:bottom w:val="nil"/>
              <w:right w:val="nil"/>
            </w:tcBorders>
            <w:shd w:val="clear" w:color="000000" w:fill="FFFFFF"/>
            <w:noWrap/>
            <w:vAlign w:val="bottom"/>
            <w:hideMark/>
          </w:tcPr>
          <w:p w14:paraId="6165D5C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1AC795A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524</w:t>
            </w:r>
          </w:p>
        </w:tc>
        <w:tc>
          <w:tcPr>
            <w:tcW w:w="567" w:type="dxa"/>
            <w:tcBorders>
              <w:top w:val="nil"/>
              <w:left w:val="nil"/>
              <w:bottom w:val="nil"/>
              <w:right w:val="nil"/>
            </w:tcBorders>
            <w:shd w:val="clear" w:color="000000" w:fill="FFFFFF"/>
            <w:noWrap/>
            <w:vAlign w:val="bottom"/>
            <w:hideMark/>
          </w:tcPr>
          <w:p w14:paraId="75C4F76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567" w:type="dxa"/>
            <w:tcBorders>
              <w:top w:val="nil"/>
              <w:left w:val="nil"/>
              <w:bottom w:val="nil"/>
              <w:right w:val="nil"/>
            </w:tcBorders>
            <w:shd w:val="clear" w:color="000000" w:fill="FFFFFF"/>
            <w:noWrap/>
            <w:vAlign w:val="bottom"/>
            <w:hideMark/>
          </w:tcPr>
          <w:p w14:paraId="20539B5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77</w:t>
            </w:r>
          </w:p>
        </w:tc>
        <w:tc>
          <w:tcPr>
            <w:tcW w:w="449" w:type="dxa"/>
            <w:tcBorders>
              <w:top w:val="nil"/>
              <w:left w:val="nil"/>
              <w:bottom w:val="nil"/>
              <w:right w:val="nil"/>
            </w:tcBorders>
            <w:shd w:val="clear" w:color="000000" w:fill="FFFFFF"/>
            <w:noWrap/>
            <w:vAlign w:val="bottom"/>
            <w:hideMark/>
          </w:tcPr>
          <w:p w14:paraId="427BDEC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13</w:t>
            </w:r>
          </w:p>
        </w:tc>
        <w:tc>
          <w:tcPr>
            <w:tcW w:w="543" w:type="dxa"/>
            <w:tcBorders>
              <w:top w:val="nil"/>
              <w:left w:val="nil"/>
              <w:bottom w:val="nil"/>
              <w:right w:val="nil"/>
            </w:tcBorders>
            <w:shd w:val="clear" w:color="000000" w:fill="FFFFFF"/>
            <w:noWrap/>
            <w:vAlign w:val="bottom"/>
            <w:hideMark/>
          </w:tcPr>
          <w:p w14:paraId="251E67A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39</w:t>
            </w:r>
          </w:p>
        </w:tc>
        <w:tc>
          <w:tcPr>
            <w:tcW w:w="546" w:type="dxa"/>
            <w:tcBorders>
              <w:top w:val="nil"/>
              <w:left w:val="nil"/>
              <w:bottom w:val="nil"/>
              <w:right w:val="nil"/>
            </w:tcBorders>
            <w:shd w:val="clear" w:color="000000" w:fill="FFFFFF"/>
            <w:noWrap/>
            <w:vAlign w:val="bottom"/>
            <w:hideMark/>
          </w:tcPr>
          <w:p w14:paraId="1A7AAEE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46</w:t>
            </w:r>
          </w:p>
        </w:tc>
        <w:tc>
          <w:tcPr>
            <w:tcW w:w="588" w:type="dxa"/>
            <w:tcBorders>
              <w:top w:val="nil"/>
              <w:left w:val="nil"/>
              <w:bottom w:val="nil"/>
              <w:right w:val="nil"/>
            </w:tcBorders>
            <w:shd w:val="clear" w:color="000000" w:fill="FFFFFF"/>
            <w:noWrap/>
            <w:vAlign w:val="bottom"/>
            <w:hideMark/>
          </w:tcPr>
          <w:p w14:paraId="6F94DA3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w:t>
            </w:r>
          </w:p>
        </w:tc>
        <w:tc>
          <w:tcPr>
            <w:tcW w:w="326" w:type="dxa"/>
            <w:tcBorders>
              <w:top w:val="nil"/>
              <w:left w:val="nil"/>
              <w:bottom w:val="nil"/>
              <w:right w:val="nil"/>
            </w:tcBorders>
            <w:shd w:val="clear" w:color="000000" w:fill="FFFFFF"/>
            <w:noWrap/>
            <w:vAlign w:val="bottom"/>
            <w:hideMark/>
          </w:tcPr>
          <w:p w14:paraId="3C83507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w:t>
            </w:r>
          </w:p>
        </w:tc>
        <w:tc>
          <w:tcPr>
            <w:tcW w:w="1658" w:type="dxa"/>
            <w:tcBorders>
              <w:top w:val="nil"/>
              <w:left w:val="nil"/>
              <w:bottom w:val="nil"/>
              <w:right w:val="nil"/>
            </w:tcBorders>
            <w:shd w:val="clear" w:color="000000" w:fill="FFFFFF"/>
            <w:noWrap/>
            <w:vAlign w:val="bottom"/>
            <w:hideMark/>
          </w:tcPr>
          <w:p w14:paraId="14B27D6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713</w:t>
            </w:r>
          </w:p>
        </w:tc>
        <w:tc>
          <w:tcPr>
            <w:tcW w:w="1310" w:type="dxa"/>
            <w:tcBorders>
              <w:top w:val="nil"/>
              <w:left w:val="nil"/>
              <w:bottom w:val="nil"/>
              <w:right w:val="nil"/>
            </w:tcBorders>
            <w:shd w:val="clear" w:color="000000" w:fill="FFFFFF"/>
            <w:noWrap/>
            <w:vAlign w:val="bottom"/>
            <w:hideMark/>
          </w:tcPr>
          <w:p w14:paraId="1E82D881"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287</w:t>
            </w:r>
          </w:p>
        </w:tc>
      </w:tr>
      <w:tr w:rsidR="005D66CB" w:rsidRPr="00E03579" w14:paraId="087E029A" w14:textId="77777777" w:rsidTr="00BD4B3C">
        <w:trPr>
          <w:trHeight w:val="300"/>
        </w:trPr>
        <w:tc>
          <w:tcPr>
            <w:tcW w:w="1240" w:type="dxa"/>
            <w:tcBorders>
              <w:top w:val="nil"/>
              <w:left w:val="nil"/>
              <w:bottom w:val="nil"/>
              <w:right w:val="nil"/>
            </w:tcBorders>
            <w:shd w:val="clear" w:color="000000" w:fill="FFFFFF"/>
            <w:noWrap/>
            <w:vAlign w:val="bottom"/>
            <w:hideMark/>
          </w:tcPr>
          <w:p w14:paraId="6DA4955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OSL4</w:t>
            </w:r>
          </w:p>
        </w:tc>
        <w:tc>
          <w:tcPr>
            <w:tcW w:w="1660" w:type="dxa"/>
            <w:tcBorders>
              <w:top w:val="nil"/>
              <w:left w:val="nil"/>
              <w:bottom w:val="nil"/>
              <w:right w:val="nil"/>
            </w:tcBorders>
            <w:shd w:val="clear" w:color="000000" w:fill="FFFFFF"/>
            <w:noWrap/>
            <w:vAlign w:val="bottom"/>
            <w:hideMark/>
          </w:tcPr>
          <w:p w14:paraId="5E01932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639</w:t>
            </w:r>
          </w:p>
        </w:tc>
        <w:tc>
          <w:tcPr>
            <w:tcW w:w="1480" w:type="dxa"/>
            <w:tcBorders>
              <w:top w:val="nil"/>
              <w:left w:val="nil"/>
              <w:bottom w:val="nil"/>
              <w:right w:val="nil"/>
            </w:tcBorders>
            <w:shd w:val="clear" w:color="000000" w:fill="FFFFFF"/>
            <w:noWrap/>
            <w:vAlign w:val="bottom"/>
            <w:hideMark/>
          </w:tcPr>
          <w:p w14:paraId="7D771EB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5DE1A99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415</w:t>
            </w:r>
          </w:p>
        </w:tc>
        <w:tc>
          <w:tcPr>
            <w:tcW w:w="567" w:type="dxa"/>
            <w:tcBorders>
              <w:top w:val="nil"/>
              <w:left w:val="nil"/>
              <w:bottom w:val="nil"/>
              <w:right w:val="nil"/>
            </w:tcBorders>
            <w:shd w:val="clear" w:color="000000" w:fill="FFFFFF"/>
            <w:noWrap/>
            <w:vAlign w:val="bottom"/>
            <w:hideMark/>
          </w:tcPr>
          <w:p w14:paraId="3533194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w:t>
            </w:r>
          </w:p>
        </w:tc>
        <w:tc>
          <w:tcPr>
            <w:tcW w:w="567" w:type="dxa"/>
            <w:tcBorders>
              <w:top w:val="nil"/>
              <w:left w:val="nil"/>
              <w:bottom w:val="nil"/>
              <w:right w:val="nil"/>
            </w:tcBorders>
            <w:shd w:val="clear" w:color="000000" w:fill="FFFFFF"/>
            <w:noWrap/>
            <w:vAlign w:val="bottom"/>
            <w:hideMark/>
          </w:tcPr>
          <w:p w14:paraId="045DD7C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89</w:t>
            </w:r>
          </w:p>
        </w:tc>
        <w:tc>
          <w:tcPr>
            <w:tcW w:w="449" w:type="dxa"/>
            <w:tcBorders>
              <w:top w:val="nil"/>
              <w:left w:val="nil"/>
              <w:bottom w:val="nil"/>
              <w:right w:val="nil"/>
            </w:tcBorders>
            <w:shd w:val="clear" w:color="000000" w:fill="FFFFFF"/>
            <w:noWrap/>
            <w:vAlign w:val="bottom"/>
            <w:hideMark/>
          </w:tcPr>
          <w:p w14:paraId="1F2C4B2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12</w:t>
            </w:r>
          </w:p>
        </w:tc>
        <w:tc>
          <w:tcPr>
            <w:tcW w:w="543" w:type="dxa"/>
            <w:tcBorders>
              <w:top w:val="nil"/>
              <w:left w:val="nil"/>
              <w:bottom w:val="nil"/>
              <w:right w:val="nil"/>
            </w:tcBorders>
            <w:shd w:val="clear" w:color="000000" w:fill="FFFFFF"/>
            <w:noWrap/>
            <w:vAlign w:val="bottom"/>
            <w:hideMark/>
          </w:tcPr>
          <w:p w14:paraId="014C112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31</w:t>
            </w:r>
          </w:p>
        </w:tc>
        <w:tc>
          <w:tcPr>
            <w:tcW w:w="546" w:type="dxa"/>
            <w:tcBorders>
              <w:top w:val="nil"/>
              <w:left w:val="nil"/>
              <w:bottom w:val="nil"/>
              <w:right w:val="nil"/>
            </w:tcBorders>
            <w:shd w:val="clear" w:color="000000" w:fill="FFFFFF"/>
            <w:noWrap/>
            <w:vAlign w:val="bottom"/>
            <w:hideMark/>
          </w:tcPr>
          <w:p w14:paraId="5E3AD3E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33</w:t>
            </w:r>
          </w:p>
        </w:tc>
        <w:tc>
          <w:tcPr>
            <w:tcW w:w="588" w:type="dxa"/>
            <w:tcBorders>
              <w:top w:val="nil"/>
              <w:left w:val="nil"/>
              <w:bottom w:val="nil"/>
              <w:right w:val="nil"/>
            </w:tcBorders>
            <w:shd w:val="clear" w:color="000000" w:fill="FFFFFF"/>
            <w:noWrap/>
            <w:vAlign w:val="bottom"/>
            <w:hideMark/>
          </w:tcPr>
          <w:p w14:paraId="11E0B48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40</w:t>
            </w:r>
          </w:p>
        </w:tc>
        <w:tc>
          <w:tcPr>
            <w:tcW w:w="326" w:type="dxa"/>
            <w:tcBorders>
              <w:top w:val="nil"/>
              <w:left w:val="nil"/>
              <w:bottom w:val="nil"/>
              <w:right w:val="nil"/>
            </w:tcBorders>
            <w:shd w:val="clear" w:color="000000" w:fill="FFFFFF"/>
            <w:noWrap/>
            <w:vAlign w:val="bottom"/>
            <w:hideMark/>
          </w:tcPr>
          <w:p w14:paraId="747AF31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1658" w:type="dxa"/>
            <w:tcBorders>
              <w:top w:val="nil"/>
              <w:left w:val="nil"/>
              <w:bottom w:val="nil"/>
              <w:right w:val="nil"/>
            </w:tcBorders>
            <w:shd w:val="clear" w:color="000000" w:fill="FFFFFF"/>
            <w:noWrap/>
            <w:vAlign w:val="bottom"/>
            <w:hideMark/>
          </w:tcPr>
          <w:p w14:paraId="2BCC94D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624</w:t>
            </w:r>
          </w:p>
        </w:tc>
        <w:tc>
          <w:tcPr>
            <w:tcW w:w="1310" w:type="dxa"/>
            <w:tcBorders>
              <w:top w:val="nil"/>
              <w:left w:val="nil"/>
              <w:bottom w:val="nil"/>
              <w:right w:val="nil"/>
            </w:tcBorders>
            <w:shd w:val="clear" w:color="000000" w:fill="FFFFFF"/>
            <w:noWrap/>
            <w:vAlign w:val="bottom"/>
            <w:hideMark/>
          </w:tcPr>
          <w:p w14:paraId="6276F410"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376</w:t>
            </w:r>
          </w:p>
        </w:tc>
      </w:tr>
      <w:tr w:rsidR="005D66CB" w:rsidRPr="00E03579" w14:paraId="386E0E8D" w14:textId="77777777" w:rsidTr="00BD4B3C">
        <w:trPr>
          <w:trHeight w:val="300"/>
        </w:trPr>
        <w:tc>
          <w:tcPr>
            <w:tcW w:w="1240" w:type="dxa"/>
            <w:tcBorders>
              <w:top w:val="nil"/>
              <w:left w:val="nil"/>
              <w:bottom w:val="nil"/>
              <w:right w:val="nil"/>
            </w:tcBorders>
            <w:shd w:val="clear" w:color="000000" w:fill="FFFFFF"/>
            <w:noWrap/>
            <w:vAlign w:val="bottom"/>
            <w:hideMark/>
          </w:tcPr>
          <w:p w14:paraId="653679E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OSL5</w:t>
            </w:r>
          </w:p>
        </w:tc>
        <w:tc>
          <w:tcPr>
            <w:tcW w:w="1660" w:type="dxa"/>
            <w:tcBorders>
              <w:top w:val="nil"/>
              <w:left w:val="nil"/>
              <w:bottom w:val="nil"/>
              <w:right w:val="nil"/>
            </w:tcBorders>
            <w:shd w:val="clear" w:color="000000" w:fill="FFFFFF"/>
            <w:noWrap/>
            <w:vAlign w:val="bottom"/>
            <w:hideMark/>
          </w:tcPr>
          <w:p w14:paraId="75F06AD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640</w:t>
            </w:r>
          </w:p>
        </w:tc>
        <w:tc>
          <w:tcPr>
            <w:tcW w:w="1480" w:type="dxa"/>
            <w:tcBorders>
              <w:top w:val="nil"/>
              <w:left w:val="nil"/>
              <w:bottom w:val="nil"/>
              <w:right w:val="nil"/>
            </w:tcBorders>
            <w:shd w:val="clear" w:color="000000" w:fill="FFFFFF"/>
            <w:noWrap/>
            <w:vAlign w:val="bottom"/>
            <w:hideMark/>
          </w:tcPr>
          <w:p w14:paraId="233F899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578ECE8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439</w:t>
            </w:r>
          </w:p>
        </w:tc>
        <w:tc>
          <w:tcPr>
            <w:tcW w:w="567" w:type="dxa"/>
            <w:tcBorders>
              <w:top w:val="nil"/>
              <w:left w:val="nil"/>
              <w:bottom w:val="nil"/>
              <w:right w:val="nil"/>
            </w:tcBorders>
            <w:shd w:val="clear" w:color="000000" w:fill="FFFFFF"/>
            <w:noWrap/>
            <w:vAlign w:val="bottom"/>
            <w:hideMark/>
          </w:tcPr>
          <w:p w14:paraId="1C952AD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567" w:type="dxa"/>
            <w:tcBorders>
              <w:top w:val="nil"/>
              <w:left w:val="nil"/>
              <w:bottom w:val="nil"/>
              <w:right w:val="nil"/>
            </w:tcBorders>
            <w:shd w:val="clear" w:color="000000" w:fill="FFFFFF"/>
            <w:noWrap/>
            <w:vAlign w:val="bottom"/>
            <w:hideMark/>
          </w:tcPr>
          <w:p w14:paraId="21995D3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120</w:t>
            </w:r>
          </w:p>
        </w:tc>
        <w:tc>
          <w:tcPr>
            <w:tcW w:w="449" w:type="dxa"/>
            <w:tcBorders>
              <w:top w:val="nil"/>
              <w:left w:val="nil"/>
              <w:bottom w:val="nil"/>
              <w:right w:val="nil"/>
            </w:tcBorders>
            <w:shd w:val="clear" w:color="000000" w:fill="FFFFFF"/>
            <w:noWrap/>
            <w:vAlign w:val="bottom"/>
            <w:hideMark/>
          </w:tcPr>
          <w:p w14:paraId="139AAC8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w:t>
            </w:r>
          </w:p>
        </w:tc>
        <w:tc>
          <w:tcPr>
            <w:tcW w:w="543" w:type="dxa"/>
            <w:tcBorders>
              <w:top w:val="nil"/>
              <w:left w:val="nil"/>
              <w:bottom w:val="nil"/>
              <w:right w:val="nil"/>
            </w:tcBorders>
            <w:shd w:val="clear" w:color="000000" w:fill="FFFFFF"/>
            <w:noWrap/>
            <w:vAlign w:val="bottom"/>
            <w:hideMark/>
          </w:tcPr>
          <w:p w14:paraId="2FDA6A5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40</w:t>
            </w:r>
          </w:p>
        </w:tc>
        <w:tc>
          <w:tcPr>
            <w:tcW w:w="546" w:type="dxa"/>
            <w:tcBorders>
              <w:top w:val="nil"/>
              <w:left w:val="nil"/>
              <w:bottom w:val="nil"/>
              <w:right w:val="nil"/>
            </w:tcBorders>
            <w:shd w:val="clear" w:color="000000" w:fill="FFFFFF"/>
            <w:noWrap/>
            <w:vAlign w:val="bottom"/>
            <w:hideMark/>
          </w:tcPr>
          <w:p w14:paraId="692DC87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35</w:t>
            </w:r>
          </w:p>
        </w:tc>
        <w:tc>
          <w:tcPr>
            <w:tcW w:w="588" w:type="dxa"/>
            <w:tcBorders>
              <w:top w:val="nil"/>
              <w:left w:val="nil"/>
              <w:bottom w:val="nil"/>
              <w:right w:val="nil"/>
            </w:tcBorders>
            <w:shd w:val="clear" w:color="000000" w:fill="FFFFFF"/>
            <w:noWrap/>
            <w:vAlign w:val="bottom"/>
            <w:hideMark/>
          </w:tcPr>
          <w:p w14:paraId="1C70870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61</w:t>
            </w:r>
          </w:p>
        </w:tc>
        <w:tc>
          <w:tcPr>
            <w:tcW w:w="326" w:type="dxa"/>
            <w:tcBorders>
              <w:top w:val="nil"/>
              <w:left w:val="nil"/>
              <w:bottom w:val="nil"/>
              <w:right w:val="nil"/>
            </w:tcBorders>
            <w:shd w:val="clear" w:color="000000" w:fill="FFFFFF"/>
            <w:noWrap/>
            <w:vAlign w:val="bottom"/>
            <w:hideMark/>
          </w:tcPr>
          <w:p w14:paraId="23F8CC7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1AC7EE0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706</w:t>
            </w:r>
          </w:p>
        </w:tc>
        <w:tc>
          <w:tcPr>
            <w:tcW w:w="1310" w:type="dxa"/>
            <w:tcBorders>
              <w:top w:val="nil"/>
              <w:left w:val="nil"/>
              <w:bottom w:val="nil"/>
              <w:right w:val="nil"/>
            </w:tcBorders>
            <w:shd w:val="clear" w:color="000000" w:fill="FFFFFF"/>
            <w:noWrap/>
            <w:vAlign w:val="bottom"/>
            <w:hideMark/>
          </w:tcPr>
          <w:p w14:paraId="030380BA"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294</w:t>
            </w:r>
          </w:p>
        </w:tc>
      </w:tr>
      <w:tr w:rsidR="005D66CB" w:rsidRPr="00E03579" w14:paraId="29829DA8" w14:textId="77777777" w:rsidTr="00BD4B3C">
        <w:trPr>
          <w:trHeight w:val="300"/>
        </w:trPr>
        <w:tc>
          <w:tcPr>
            <w:tcW w:w="1240" w:type="dxa"/>
            <w:tcBorders>
              <w:top w:val="nil"/>
              <w:left w:val="nil"/>
              <w:bottom w:val="nil"/>
              <w:right w:val="nil"/>
            </w:tcBorders>
            <w:shd w:val="clear" w:color="000000" w:fill="FFFFFF"/>
            <w:noWrap/>
            <w:vAlign w:val="bottom"/>
            <w:hideMark/>
          </w:tcPr>
          <w:p w14:paraId="71310CC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OSL6</w:t>
            </w:r>
          </w:p>
        </w:tc>
        <w:tc>
          <w:tcPr>
            <w:tcW w:w="1660" w:type="dxa"/>
            <w:tcBorders>
              <w:top w:val="nil"/>
              <w:left w:val="nil"/>
              <w:bottom w:val="nil"/>
              <w:right w:val="nil"/>
            </w:tcBorders>
            <w:shd w:val="clear" w:color="000000" w:fill="FFFFFF"/>
            <w:noWrap/>
            <w:vAlign w:val="bottom"/>
            <w:hideMark/>
          </w:tcPr>
          <w:p w14:paraId="01C4A2D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641</w:t>
            </w:r>
          </w:p>
        </w:tc>
        <w:tc>
          <w:tcPr>
            <w:tcW w:w="1480" w:type="dxa"/>
            <w:tcBorders>
              <w:top w:val="nil"/>
              <w:left w:val="nil"/>
              <w:bottom w:val="nil"/>
              <w:right w:val="nil"/>
            </w:tcBorders>
            <w:shd w:val="clear" w:color="000000" w:fill="FFFFFF"/>
            <w:noWrap/>
            <w:vAlign w:val="bottom"/>
            <w:hideMark/>
          </w:tcPr>
          <w:p w14:paraId="6FA8A6F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900</w:t>
            </w:r>
          </w:p>
        </w:tc>
        <w:tc>
          <w:tcPr>
            <w:tcW w:w="582" w:type="dxa"/>
            <w:tcBorders>
              <w:top w:val="nil"/>
              <w:left w:val="nil"/>
              <w:bottom w:val="nil"/>
              <w:right w:val="nil"/>
            </w:tcBorders>
            <w:shd w:val="clear" w:color="000000" w:fill="FFFFFF"/>
            <w:noWrap/>
            <w:vAlign w:val="bottom"/>
            <w:hideMark/>
          </w:tcPr>
          <w:p w14:paraId="341A31C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579</w:t>
            </w:r>
          </w:p>
        </w:tc>
        <w:tc>
          <w:tcPr>
            <w:tcW w:w="567" w:type="dxa"/>
            <w:tcBorders>
              <w:top w:val="nil"/>
              <w:left w:val="nil"/>
              <w:bottom w:val="nil"/>
              <w:right w:val="nil"/>
            </w:tcBorders>
            <w:shd w:val="clear" w:color="000000" w:fill="FFFFFF"/>
            <w:noWrap/>
            <w:vAlign w:val="bottom"/>
            <w:hideMark/>
          </w:tcPr>
          <w:p w14:paraId="6BF4FE0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567" w:type="dxa"/>
            <w:tcBorders>
              <w:top w:val="nil"/>
              <w:left w:val="nil"/>
              <w:bottom w:val="nil"/>
              <w:right w:val="nil"/>
            </w:tcBorders>
            <w:shd w:val="clear" w:color="000000" w:fill="FFFFFF"/>
            <w:noWrap/>
            <w:vAlign w:val="bottom"/>
            <w:hideMark/>
          </w:tcPr>
          <w:p w14:paraId="30C3399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75</w:t>
            </w:r>
          </w:p>
        </w:tc>
        <w:tc>
          <w:tcPr>
            <w:tcW w:w="449" w:type="dxa"/>
            <w:tcBorders>
              <w:top w:val="nil"/>
              <w:left w:val="nil"/>
              <w:bottom w:val="nil"/>
              <w:right w:val="nil"/>
            </w:tcBorders>
            <w:shd w:val="clear" w:color="000000" w:fill="FFFFFF"/>
            <w:noWrap/>
            <w:vAlign w:val="bottom"/>
            <w:hideMark/>
          </w:tcPr>
          <w:p w14:paraId="4C858C9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543" w:type="dxa"/>
            <w:tcBorders>
              <w:top w:val="nil"/>
              <w:left w:val="nil"/>
              <w:bottom w:val="nil"/>
              <w:right w:val="nil"/>
            </w:tcBorders>
            <w:shd w:val="clear" w:color="000000" w:fill="FFFFFF"/>
            <w:noWrap/>
            <w:vAlign w:val="bottom"/>
            <w:hideMark/>
          </w:tcPr>
          <w:p w14:paraId="3A6FF0F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31</w:t>
            </w:r>
          </w:p>
        </w:tc>
        <w:tc>
          <w:tcPr>
            <w:tcW w:w="546" w:type="dxa"/>
            <w:tcBorders>
              <w:top w:val="nil"/>
              <w:left w:val="nil"/>
              <w:bottom w:val="nil"/>
              <w:right w:val="nil"/>
            </w:tcBorders>
            <w:shd w:val="clear" w:color="000000" w:fill="FFFFFF"/>
            <w:noWrap/>
            <w:vAlign w:val="bottom"/>
            <w:hideMark/>
          </w:tcPr>
          <w:p w14:paraId="737C520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29</w:t>
            </w:r>
          </w:p>
        </w:tc>
        <w:tc>
          <w:tcPr>
            <w:tcW w:w="588" w:type="dxa"/>
            <w:tcBorders>
              <w:top w:val="nil"/>
              <w:left w:val="nil"/>
              <w:bottom w:val="nil"/>
              <w:right w:val="nil"/>
            </w:tcBorders>
            <w:shd w:val="clear" w:color="000000" w:fill="FFFFFF"/>
            <w:noWrap/>
            <w:vAlign w:val="bottom"/>
            <w:hideMark/>
          </w:tcPr>
          <w:p w14:paraId="0364B58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26</w:t>
            </w:r>
          </w:p>
        </w:tc>
        <w:tc>
          <w:tcPr>
            <w:tcW w:w="326" w:type="dxa"/>
            <w:tcBorders>
              <w:top w:val="nil"/>
              <w:left w:val="nil"/>
              <w:bottom w:val="nil"/>
              <w:right w:val="nil"/>
            </w:tcBorders>
            <w:shd w:val="clear" w:color="000000" w:fill="FFFFFF"/>
            <w:noWrap/>
            <w:vAlign w:val="bottom"/>
            <w:hideMark/>
          </w:tcPr>
          <w:p w14:paraId="49940E9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w:t>
            </w:r>
          </w:p>
        </w:tc>
        <w:tc>
          <w:tcPr>
            <w:tcW w:w="1658" w:type="dxa"/>
            <w:tcBorders>
              <w:top w:val="nil"/>
              <w:left w:val="nil"/>
              <w:bottom w:val="nil"/>
              <w:right w:val="nil"/>
            </w:tcBorders>
            <w:shd w:val="clear" w:color="000000" w:fill="FFFFFF"/>
            <w:noWrap/>
            <w:vAlign w:val="bottom"/>
            <w:hideMark/>
          </w:tcPr>
          <w:p w14:paraId="4FFFE8C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748</w:t>
            </w:r>
          </w:p>
        </w:tc>
        <w:tc>
          <w:tcPr>
            <w:tcW w:w="1310" w:type="dxa"/>
            <w:tcBorders>
              <w:top w:val="nil"/>
              <w:left w:val="nil"/>
              <w:bottom w:val="nil"/>
              <w:right w:val="nil"/>
            </w:tcBorders>
            <w:shd w:val="clear" w:color="000000" w:fill="FFFFFF"/>
            <w:noWrap/>
            <w:vAlign w:val="bottom"/>
            <w:hideMark/>
          </w:tcPr>
          <w:p w14:paraId="27921028"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152</w:t>
            </w:r>
          </w:p>
        </w:tc>
      </w:tr>
      <w:tr w:rsidR="005D66CB" w:rsidRPr="00E03579" w14:paraId="6D5C1851" w14:textId="77777777" w:rsidTr="00BD4B3C">
        <w:trPr>
          <w:trHeight w:val="300"/>
        </w:trPr>
        <w:tc>
          <w:tcPr>
            <w:tcW w:w="1240" w:type="dxa"/>
            <w:tcBorders>
              <w:top w:val="nil"/>
              <w:left w:val="nil"/>
              <w:bottom w:val="nil"/>
              <w:right w:val="nil"/>
            </w:tcBorders>
            <w:shd w:val="clear" w:color="000000" w:fill="FFFFFF"/>
            <w:noWrap/>
            <w:vAlign w:val="bottom"/>
            <w:hideMark/>
          </w:tcPr>
          <w:p w14:paraId="12E708A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OSL7</w:t>
            </w:r>
          </w:p>
        </w:tc>
        <w:tc>
          <w:tcPr>
            <w:tcW w:w="1660" w:type="dxa"/>
            <w:tcBorders>
              <w:top w:val="nil"/>
              <w:left w:val="nil"/>
              <w:bottom w:val="nil"/>
              <w:right w:val="nil"/>
            </w:tcBorders>
            <w:shd w:val="clear" w:color="000000" w:fill="FFFFFF"/>
            <w:noWrap/>
            <w:vAlign w:val="bottom"/>
            <w:hideMark/>
          </w:tcPr>
          <w:p w14:paraId="4444BC1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642</w:t>
            </w:r>
          </w:p>
        </w:tc>
        <w:tc>
          <w:tcPr>
            <w:tcW w:w="1480" w:type="dxa"/>
            <w:tcBorders>
              <w:top w:val="nil"/>
              <w:left w:val="nil"/>
              <w:bottom w:val="nil"/>
              <w:right w:val="nil"/>
            </w:tcBorders>
            <w:shd w:val="clear" w:color="000000" w:fill="FFFFFF"/>
            <w:noWrap/>
            <w:vAlign w:val="bottom"/>
            <w:hideMark/>
          </w:tcPr>
          <w:p w14:paraId="1BF0F07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0545AF7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492</w:t>
            </w:r>
          </w:p>
        </w:tc>
        <w:tc>
          <w:tcPr>
            <w:tcW w:w="567" w:type="dxa"/>
            <w:tcBorders>
              <w:top w:val="nil"/>
              <w:left w:val="nil"/>
              <w:bottom w:val="nil"/>
              <w:right w:val="nil"/>
            </w:tcBorders>
            <w:shd w:val="clear" w:color="000000" w:fill="FFFFFF"/>
            <w:noWrap/>
            <w:vAlign w:val="bottom"/>
            <w:hideMark/>
          </w:tcPr>
          <w:p w14:paraId="5D6A395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567" w:type="dxa"/>
            <w:tcBorders>
              <w:top w:val="nil"/>
              <w:left w:val="nil"/>
              <w:bottom w:val="nil"/>
              <w:right w:val="nil"/>
            </w:tcBorders>
            <w:shd w:val="clear" w:color="000000" w:fill="FFFFFF"/>
            <w:noWrap/>
            <w:vAlign w:val="bottom"/>
            <w:hideMark/>
          </w:tcPr>
          <w:p w14:paraId="4F26536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91</w:t>
            </w:r>
          </w:p>
        </w:tc>
        <w:tc>
          <w:tcPr>
            <w:tcW w:w="449" w:type="dxa"/>
            <w:tcBorders>
              <w:top w:val="nil"/>
              <w:left w:val="nil"/>
              <w:bottom w:val="nil"/>
              <w:right w:val="nil"/>
            </w:tcBorders>
            <w:shd w:val="clear" w:color="000000" w:fill="FFFFFF"/>
            <w:noWrap/>
            <w:vAlign w:val="bottom"/>
            <w:hideMark/>
          </w:tcPr>
          <w:p w14:paraId="0C5BB63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w:t>
            </w:r>
          </w:p>
        </w:tc>
        <w:tc>
          <w:tcPr>
            <w:tcW w:w="543" w:type="dxa"/>
            <w:tcBorders>
              <w:top w:val="nil"/>
              <w:left w:val="nil"/>
              <w:bottom w:val="nil"/>
              <w:right w:val="nil"/>
            </w:tcBorders>
            <w:shd w:val="clear" w:color="000000" w:fill="FFFFFF"/>
            <w:noWrap/>
            <w:vAlign w:val="bottom"/>
            <w:hideMark/>
          </w:tcPr>
          <w:p w14:paraId="3569731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28</w:t>
            </w:r>
          </w:p>
        </w:tc>
        <w:tc>
          <w:tcPr>
            <w:tcW w:w="546" w:type="dxa"/>
            <w:tcBorders>
              <w:top w:val="nil"/>
              <w:left w:val="nil"/>
              <w:bottom w:val="nil"/>
              <w:right w:val="nil"/>
            </w:tcBorders>
            <w:shd w:val="clear" w:color="000000" w:fill="FFFFFF"/>
            <w:noWrap/>
            <w:vAlign w:val="bottom"/>
            <w:hideMark/>
          </w:tcPr>
          <w:p w14:paraId="2970BB1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47</w:t>
            </w:r>
          </w:p>
        </w:tc>
        <w:tc>
          <w:tcPr>
            <w:tcW w:w="588" w:type="dxa"/>
            <w:tcBorders>
              <w:top w:val="nil"/>
              <w:left w:val="nil"/>
              <w:bottom w:val="nil"/>
              <w:right w:val="nil"/>
            </w:tcBorders>
            <w:shd w:val="clear" w:color="000000" w:fill="FFFFFF"/>
            <w:noWrap/>
            <w:vAlign w:val="bottom"/>
            <w:hideMark/>
          </w:tcPr>
          <w:p w14:paraId="64C5CEE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78</w:t>
            </w:r>
          </w:p>
        </w:tc>
        <w:tc>
          <w:tcPr>
            <w:tcW w:w="326" w:type="dxa"/>
            <w:tcBorders>
              <w:top w:val="nil"/>
              <w:left w:val="nil"/>
              <w:bottom w:val="nil"/>
              <w:right w:val="nil"/>
            </w:tcBorders>
            <w:shd w:val="clear" w:color="000000" w:fill="FFFFFF"/>
            <w:noWrap/>
            <w:vAlign w:val="bottom"/>
            <w:hideMark/>
          </w:tcPr>
          <w:p w14:paraId="13A019B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w:t>
            </w:r>
          </w:p>
        </w:tc>
        <w:tc>
          <w:tcPr>
            <w:tcW w:w="1658" w:type="dxa"/>
            <w:tcBorders>
              <w:top w:val="nil"/>
              <w:left w:val="nil"/>
              <w:bottom w:val="nil"/>
              <w:right w:val="nil"/>
            </w:tcBorders>
            <w:shd w:val="clear" w:color="000000" w:fill="FFFFFF"/>
            <w:noWrap/>
            <w:vAlign w:val="bottom"/>
            <w:hideMark/>
          </w:tcPr>
          <w:p w14:paraId="00073D2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748</w:t>
            </w:r>
          </w:p>
        </w:tc>
        <w:tc>
          <w:tcPr>
            <w:tcW w:w="1310" w:type="dxa"/>
            <w:tcBorders>
              <w:top w:val="nil"/>
              <w:left w:val="nil"/>
              <w:bottom w:val="nil"/>
              <w:right w:val="nil"/>
            </w:tcBorders>
            <w:shd w:val="clear" w:color="000000" w:fill="FFFFFF"/>
            <w:noWrap/>
            <w:vAlign w:val="bottom"/>
            <w:hideMark/>
          </w:tcPr>
          <w:p w14:paraId="30C0BE95"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252</w:t>
            </w:r>
          </w:p>
        </w:tc>
      </w:tr>
      <w:tr w:rsidR="005D66CB" w:rsidRPr="00E03579" w14:paraId="14822102" w14:textId="77777777" w:rsidTr="00BD4B3C">
        <w:trPr>
          <w:trHeight w:val="300"/>
        </w:trPr>
        <w:tc>
          <w:tcPr>
            <w:tcW w:w="1240" w:type="dxa"/>
            <w:tcBorders>
              <w:top w:val="nil"/>
              <w:left w:val="nil"/>
              <w:bottom w:val="nil"/>
              <w:right w:val="nil"/>
            </w:tcBorders>
            <w:shd w:val="clear" w:color="000000" w:fill="FFFFFF"/>
            <w:noWrap/>
            <w:vAlign w:val="bottom"/>
            <w:hideMark/>
          </w:tcPr>
          <w:p w14:paraId="011DE02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OSL8</w:t>
            </w:r>
          </w:p>
        </w:tc>
        <w:tc>
          <w:tcPr>
            <w:tcW w:w="1660" w:type="dxa"/>
            <w:tcBorders>
              <w:top w:val="nil"/>
              <w:left w:val="nil"/>
              <w:bottom w:val="nil"/>
              <w:right w:val="nil"/>
            </w:tcBorders>
            <w:shd w:val="clear" w:color="000000" w:fill="FFFFFF"/>
            <w:noWrap/>
            <w:vAlign w:val="bottom"/>
            <w:hideMark/>
          </w:tcPr>
          <w:p w14:paraId="722BF97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643</w:t>
            </w:r>
          </w:p>
        </w:tc>
        <w:tc>
          <w:tcPr>
            <w:tcW w:w="1480" w:type="dxa"/>
            <w:tcBorders>
              <w:top w:val="nil"/>
              <w:left w:val="nil"/>
              <w:bottom w:val="nil"/>
              <w:right w:val="nil"/>
            </w:tcBorders>
            <w:shd w:val="clear" w:color="000000" w:fill="FFFFFF"/>
            <w:noWrap/>
            <w:vAlign w:val="bottom"/>
            <w:hideMark/>
          </w:tcPr>
          <w:p w14:paraId="1C0E8C9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75348F5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622</w:t>
            </w:r>
          </w:p>
        </w:tc>
        <w:tc>
          <w:tcPr>
            <w:tcW w:w="567" w:type="dxa"/>
            <w:tcBorders>
              <w:top w:val="nil"/>
              <w:left w:val="nil"/>
              <w:bottom w:val="nil"/>
              <w:right w:val="nil"/>
            </w:tcBorders>
            <w:shd w:val="clear" w:color="000000" w:fill="FFFFFF"/>
            <w:noWrap/>
            <w:vAlign w:val="bottom"/>
            <w:hideMark/>
          </w:tcPr>
          <w:p w14:paraId="7C6BDA9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w:t>
            </w:r>
          </w:p>
        </w:tc>
        <w:tc>
          <w:tcPr>
            <w:tcW w:w="567" w:type="dxa"/>
            <w:tcBorders>
              <w:top w:val="nil"/>
              <w:left w:val="nil"/>
              <w:bottom w:val="nil"/>
              <w:right w:val="nil"/>
            </w:tcBorders>
            <w:shd w:val="clear" w:color="000000" w:fill="FFFFFF"/>
            <w:noWrap/>
            <w:vAlign w:val="bottom"/>
            <w:hideMark/>
          </w:tcPr>
          <w:p w14:paraId="50ACBE1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60</w:t>
            </w:r>
          </w:p>
        </w:tc>
        <w:tc>
          <w:tcPr>
            <w:tcW w:w="449" w:type="dxa"/>
            <w:tcBorders>
              <w:top w:val="nil"/>
              <w:left w:val="nil"/>
              <w:bottom w:val="nil"/>
              <w:right w:val="nil"/>
            </w:tcBorders>
            <w:shd w:val="clear" w:color="000000" w:fill="FFFFFF"/>
            <w:noWrap/>
            <w:vAlign w:val="bottom"/>
            <w:hideMark/>
          </w:tcPr>
          <w:p w14:paraId="0E06963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w:t>
            </w:r>
          </w:p>
        </w:tc>
        <w:tc>
          <w:tcPr>
            <w:tcW w:w="543" w:type="dxa"/>
            <w:tcBorders>
              <w:top w:val="nil"/>
              <w:left w:val="nil"/>
              <w:bottom w:val="nil"/>
              <w:right w:val="nil"/>
            </w:tcBorders>
            <w:shd w:val="clear" w:color="000000" w:fill="FFFFFF"/>
            <w:noWrap/>
            <w:vAlign w:val="bottom"/>
            <w:hideMark/>
          </w:tcPr>
          <w:p w14:paraId="2DBC6AA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28</w:t>
            </w:r>
          </w:p>
        </w:tc>
        <w:tc>
          <w:tcPr>
            <w:tcW w:w="546" w:type="dxa"/>
            <w:tcBorders>
              <w:top w:val="nil"/>
              <w:left w:val="nil"/>
              <w:bottom w:val="nil"/>
              <w:right w:val="nil"/>
            </w:tcBorders>
            <w:shd w:val="clear" w:color="000000" w:fill="FFFFFF"/>
            <w:noWrap/>
            <w:vAlign w:val="bottom"/>
            <w:hideMark/>
          </w:tcPr>
          <w:p w14:paraId="30538F5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52</w:t>
            </w:r>
          </w:p>
        </w:tc>
        <w:tc>
          <w:tcPr>
            <w:tcW w:w="588" w:type="dxa"/>
            <w:tcBorders>
              <w:top w:val="nil"/>
              <w:left w:val="nil"/>
              <w:bottom w:val="nil"/>
              <w:right w:val="nil"/>
            </w:tcBorders>
            <w:shd w:val="clear" w:color="000000" w:fill="FFFFFF"/>
            <w:noWrap/>
            <w:vAlign w:val="bottom"/>
            <w:hideMark/>
          </w:tcPr>
          <w:p w14:paraId="10AF935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131</w:t>
            </w:r>
          </w:p>
        </w:tc>
        <w:tc>
          <w:tcPr>
            <w:tcW w:w="326" w:type="dxa"/>
            <w:tcBorders>
              <w:top w:val="nil"/>
              <w:left w:val="nil"/>
              <w:bottom w:val="nil"/>
              <w:right w:val="nil"/>
            </w:tcBorders>
            <w:shd w:val="clear" w:color="000000" w:fill="FFFFFF"/>
            <w:noWrap/>
            <w:vAlign w:val="bottom"/>
            <w:hideMark/>
          </w:tcPr>
          <w:p w14:paraId="3AB43F0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2FE3DCB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900</w:t>
            </w:r>
          </w:p>
        </w:tc>
        <w:tc>
          <w:tcPr>
            <w:tcW w:w="1310" w:type="dxa"/>
            <w:tcBorders>
              <w:top w:val="nil"/>
              <w:left w:val="nil"/>
              <w:bottom w:val="nil"/>
              <w:right w:val="nil"/>
            </w:tcBorders>
            <w:shd w:val="clear" w:color="000000" w:fill="FFFFFF"/>
            <w:noWrap/>
            <w:vAlign w:val="bottom"/>
            <w:hideMark/>
          </w:tcPr>
          <w:p w14:paraId="53984B00"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100</w:t>
            </w:r>
          </w:p>
        </w:tc>
      </w:tr>
      <w:tr w:rsidR="005D66CB" w:rsidRPr="00E03579" w14:paraId="70A0F03B" w14:textId="77777777" w:rsidTr="00BD4B3C">
        <w:trPr>
          <w:trHeight w:val="300"/>
        </w:trPr>
        <w:tc>
          <w:tcPr>
            <w:tcW w:w="1240" w:type="dxa"/>
            <w:tcBorders>
              <w:top w:val="nil"/>
              <w:left w:val="nil"/>
              <w:bottom w:val="nil"/>
              <w:right w:val="nil"/>
            </w:tcBorders>
            <w:shd w:val="clear" w:color="000000" w:fill="FFFFFF"/>
            <w:noWrap/>
            <w:vAlign w:val="bottom"/>
            <w:hideMark/>
          </w:tcPr>
          <w:p w14:paraId="5F3913A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OSL9</w:t>
            </w:r>
          </w:p>
        </w:tc>
        <w:tc>
          <w:tcPr>
            <w:tcW w:w="1660" w:type="dxa"/>
            <w:tcBorders>
              <w:top w:val="nil"/>
              <w:left w:val="nil"/>
              <w:bottom w:val="nil"/>
              <w:right w:val="nil"/>
            </w:tcBorders>
            <w:shd w:val="clear" w:color="000000" w:fill="FFFFFF"/>
            <w:noWrap/>
            <w:vAlign w:val="bottom"/>
            <w:hideMark/>
          </w:tcPr>
          <w:p w14:paraId="2BB4DEC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644</w:t>
            </w:r>
          </w:p>
        </w:tc>
        <w:tc>
          <w:tcPr>
            <w:tcW w:w="1480" w:type="dxa"/>
            <w:tcBorders>
              <w:top w:val="nil"/>
              <w:left w:val="nil"/>
              <w:bottom w:val="nil"/>
              <w:right w:val="nil"/>
            </w:tcBorders>
            <w:shd w:val="clear" w:color="000000" w:fill="FFFFFF"/>
            <w:noWrap/>
            <w:vAlign w:val="bottom"/>
            <w:hideMark/>
          </w:tcPr>
          <w:p w14:paraId="54D2D5E6"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1300</w:t>
            </w:r>
          </w:p>
        </w:tc>
        <w:tc>
          <w:tcPr>
            <w:tcW w:w="582" w:type="dxa"/>
            <w:tcBorders>
              <w:top w:val="nil"/>
              <w:left w:val="nil"/>
              <w:bottom w:val="nil"/>
              <w:right w:val="nil"/>
            </w:tcBorders>
            <w:shd w:val="clear" w:color="000000" w:fill="FFFFFF"/>
            <w:noWrap/>
            <w:vAlign w:val="bottom"/>
            <w:hideMark/>
          </w:tcPr>
          <w:p w14:paraId="3764CA7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707</w:t>
            </w:r>
          </w:p>
        </w:tc>
        <w:tc>
          <w:tcPr>
            <w:tcW w:w="567" w:type="dxa"/>
            <w:tcBorders>
              <w:top w:val="nil"/>
              <w:left w:val="nil"/>
              <w:bottom w:val="nil"/>
              <w:right w:val="nil"/>
            </w:tcBorders>
            <w:shd w:val="clear" w:color="000000" w:fill="FFFFFF"/>
            <w:noWrap/>
            <w:vAlign w:val="bottom"/>
            <w:hideMark/>
          </w:tcPr>
          <w:p w14:paraId="30B754D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w:t>
            </w:r>
          </w:p>
        </w:tc>
        <w:tc>
          <w:tcPr>
            <w:tcW w:w="567" w:type="dxa"/>
            <w:tcBorders>
              <w:top w:val="nil"/>
              <w:left w:val="nil"/>
              <w:bottom w:val="nil"/>
              <w:right w:val="nil"/>
            </w:tcBorders>
            <w:shd w:val="clear" w:color="000000" w:fill="FFFFFF"/>
            <w:noWrap/>
            <w:vAlign w:val="bottom"/>
            <w:hideMark/>
          </w:tcPr>
          <w:p w14:paraId="043EF61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222</w:t>
            </w:r>
          </w:p>
        </w:tc>
        <w:tc>
          <w:tcPr>
            <w:tcW w:w="449" w:type="dxa"/>
            <w:tcBorders>
              <w:top w:val="nil"/>
              <w:left w:val="nil"/>
              <w:bottom w:val="nil"/>
              <w:right w:val="nil"/>
            </w:tcBorders>
            <w:shd w:val="clear" w:color="000000" w:fill="FFFFFF"/>
            <w:noWrap/>
            <w:vAlign w:val="bottom"/>
            <w:hideMark/>
          </w:tcPr>
          <w:p w14:paraId="7E7330A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33</w:t>
            </w:r>
          </w:p>
        </w:tc>
        <w:tc>
          <w:tcPr>
            <w:tcW w:w="543" w:type="dxa"/>
            <w:tcBorders>
              <w:top w:val="nil"/>
              <w:left w:val="nil"/>
              <w:bottom w:val="nil"/>
              <w:right w:val="nil"/>
            </w:tcBorders>
            <w:shd w:val="clear" w:color="000000" w:fill="FFFFFF"/>
            <w:noWrap/>
            <w:vAlign w:val="bottom"/>
            <w:hideMark/>
          </w:tcPr>
          <w:p w14:paraId="241EA39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77</w:t>
            </w:r>
          </w:p>
        </w:tc>
        <w:tc>
          <w:tcPr>
            <w:tcW w:w="546" w:type="dxa"/>
            <w:tcBorders>
              <w:top w:val="nil"/>
              <w:left w:val="nil"/>
              <w:bottom w:val="nil"/>
              <w:right w:val="nil"/>
            </w:tcBorders>
            <w:shd w:val="clear" w:color="000000" w:fill="FFFFFF"/>
            <w:noWrap/>
            <w:vAlign w:val="bottom"/>
            <w:hideMark/>
          </w:tcPr>
          <w:p w14:paraId="46772D7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w:t>
            </w:r>
          </w:p>
        </w:tc>
        <w:tc>
          <w:tcPr>
            <w:tcW w:w="588" w:type="dxa"/>
            <w:tcBorders>
              <w:top w:val="nil"/>
              <w:left w:val="nil"/>
              <w:bottom w:val="nil"/>
              <w:right w:val="nil"/>
            </w:tcBorders>
            <w:shd w:val="clear" w:color="000000" w:fill="FFFFFF"/>
            <w:noWrap/>
            <w:vAlign w:val="bottom"/>
            <w:hideMark/>
          </w:tcPr>
          <w:p w14:paraId="651875B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68</w:t>
            </w:r>
          </w:p>
        </w:tc>
        <w:tc>
          <w:tcPr>
            <w:tcW w:w="326" w:type="dxa"/>
            <w:tcBorders>
              <w:top w:val="nil"/>
              <w:left w:val="nil"/>
              <w:bottom w:val="nil"/>
              <w:right w:val="nil"/>
            </w:tcBorders>
            <w:shd w:val="clear" w:color="000000" w:fill="FFFFFF"/>
            <w:noWrap/>
            <w:vAlign w:val="bottom"/>
            <w:hideMark/>
          </w:tcPr>
          <w:p w14:paraId="7667CF0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077D530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1175</w:t>
            </w:r>
          </w:p>
        </w:tc>
        <w:tc>
          <w:tcPr>
            <w:tcW w:w="1310" w:type="dxa"/>
            <w:tcBorders>
              <w:top w:val="nil"/>
              <w:left w:val="nil"/>
              <w:bottom w:val="nil"/>
              <w:right w:val="nil"/>
            </w:tcBorders>
            <w:shd w:val="clear" w:color="000000" w:fill="FFFFFF"/>
            <w:noWrap/>
            <w:vAlign w:val="bottom"/>
            <w:hideMark/>
          </w:tcPr>
          <w:p w14:paraId="6DE7CC99"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125</w:t>
            </w:r>
          </w:p>
        </w:tc>
      </w:tr>
      <w:tr w:rsidR="005D66CB" w:rsidRPr="00E03579" w14:paraId="67341352" w14:textId="77777777" w:rsidTr="00BD4B3C">
        <w:trPr>
          <w:trHeight w:val="300"/>
        </w:trPr>
        <w:tc>
          <w:tcPr>
            <w:tcW w:w="1240" w:type="dxa"/>
            <w:tcBorders>
              <w:top w:val="nil"/>
              <w:left w:val="nil"/>
              <w:bottom w:val="nil"/>
              <w:right w:val="nil"/>
            </w:tcBorders>
            <w:shd w:val="clear" w:color="000000" w:fill="FFFFFF"/>
            <w:noWrap/>
            <w:vAlign w:val="bottom"/>
            <w:hideMark/>
          </w:tcPr>
          <w:p w14:paraId="692D01F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OSL10</w:t>
            </w:r>
          </w:p>
        </w:tc>
        <w:tc>
          <w:tcPr>
            <w:tcW w:w="1660" w:type="dxa"/>
            <w:tcBorders>
              <w:top w:val="nil"/>
              <w:left w:val="nil"/>
              <w:bottom w:val="nil"/>
              <w:right w:val="nil"/>
            </w:tcBorders>
            <w:shd w:val="clear" w:color="000000" w:fill="FFFFFF"/>
            <w:noWrap/>
            <w:vAlign w:val="bottom"/>
            <w:hideMark/>
          </w:tcPr>
          <w:p w14:paraId="7EB053C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994</w:t>
            </w:r>
          </w:p>
        </w:tc>
        <w:tc>
          <w:tcPr>
            <w:tcW w:w="1480" w:type="dxa"/>
            <w:tcBorders>
              <w:top w:val="nil"/>
              <w:left w:val="nil"/>
              <w:bottom w:val="nil"/>
              <w:right w:val="nil"/>
            </w:tcBorders>
            <w:shd w:val="clear" w:color="000000" w:fill="FFFFFF"/>
            <w:noWrap/>
            <w:vAlign w:val="bottom"/>
            <w:hideMark/>
          </w:tcPr>
          <w:p w14:paraId="4D8B530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500</w:t>
            </w:r>
          </w:p>
        </w:tc>
        <w:tc>
          <w:tcPr>
            <w:tcW w:w="582" w:type="dxa"/>
            <w:tcBorders>
              <w:top w:val="nil"/>
              <w:left w:val="nil"/>
              <w:bottom w:val="nil"/>
              <w:right w:val="nil"/>
            </w:tcBorders>
            <w:shd w:val="clear" w:color="000000" w:fill="FFFFFF"/>
            <w:noWrap/>
            <w:vAlign w:val="bottom"/>
            <w:hideMark/>
          </w:tcPr>
          <w:p w14:paraId="74FD546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235</w:t>
            </w:r>
          </w:p>
        </w:tc>
        <w:tc>
          <w:tcPr>
            <w:tcW w:w="567" w:type="dxa"/>
            <w:tcBorders>
              <w:top w:val="nil"/>
              <w:left w:val="nil"/>
              <w:bottom w:val="nil"/>
              <w:right w:val="nil"/>
            </w:tcBorders>
            <w:shd w:val="clear" w:color="000000" w:fill="FFFFFF"/>
            <w:noWrap/>
            <w:vAlign w:val="bottom"/>
            <w:hideMark/>
          </w:tcPr>
          <w:p w14:paraId="359C3FA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567" w:type="dxa"/>
            <w:tcBorders>
              <w:top w:val="nil"/>
              <w:left w:val="nil"/>
              <w:bottom w:val="nil"/>
              <w:right w:val="nil"/>
            </w:tcBorders>
            <w:shd w:val="clear" w:color="000000" w:fill="FFFFFF"/>
            <w:noWrap/>
            <w:vAlign w:val="bottom"/>
            <w:hideMark/>
          </w:tcPr>
          <w:p w14:paraId="4643895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42</w:t>
            </w:r>
          </w:p>
        </w:tc>
        <w:tc>
          <w:tcPr>
            <w:tcW w:w="449" w:type="dxa"/>
            <w:tcBorders>
              <w:top w:val="nil"/>
              <w:left w:val="nil"/>
              <w:bottom w:val="nil"/>
              <w:right w:val="nil"/>
            </w:tcBorders>
            <w:shd w:val="clear" w:color="000000" w:fill="FFFFFF"/>
            <w:noWrap/>
            <w:vAlign w:val="bottom"/>
            <w:hideMark/>
          </w:tcPr>
          <w:p w14:paraId="27F7CE7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18</w:t>
            </w:r>
          </w:p>
        </w:tc>
        <w:tc>
          <w:tcPr>
            <w:tcW w:w="543" w:type="dxa"/>
            <w:tcBorders>
              <w:top w:val="nil"/>
              <w:left w:val="nil"/>
              <w:bottom w:val="nil"/>
              <w:right w:val="nil"/>
            </w:tcBorders>
            <w:shd w:val="clear" w:color="000000" w:fill="FFFFFF"/>
            <w:noWrap/>
            <w:vAlign w:val="bottom"/>
            <w:hideMark/>
          </w:tcPr>
          <w:p w14:paraId="68B9074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32</w:t>
            </w:r>
          </w:p>
        </w:tc>
        <w:tc>
          <w:tcPr>
            <w:tcW w:w="546" w:type="dxa"/>
            <w:tcBorders>
              <w:top w:val="nil"/>
              <w:left w:val="nil"/>
              <w:bottom w:val="nil"/>
              <w:right w:val="nil"/>
            </w:tcBorders>
            <w:shd w:val="clear" w:color="000000" w:fill="FFFFFF"/>
            <w:noWrap/>
            <w:vAlign w:val="bottom"/>
            <w:hideMark/>
          </w:tcPr>
          <w:p w14:paraId="1D59B47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68</w:t>
            </w:r>
          </w:p>
        </w:tc>
        <w:tc>
          <w:tcPr>
            <w:tcW w:w="588" w:type="dxa"/>
            <w:tcBorders>
              <w:top w:val="nil"/>
              <w:left w:val="nil"/>
              <w:bottom w:val="nil"/>
              <w:right w:val="nil"/>
            </w:tcBorders>
            <w:shd w:val="clear" w:color="000000" w:fill="FFFFFF"/>
            <w:noWrap/>
            <w:vAlign w:val="bottom"/>
            <w:hideMark/>
          </w:tcPr>
          <w:p w14:paraId="156C37F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w:t>
            </w:r>
          </w:p>
        </w:tc>
        <w:tc>
          <w:tcPr>
            <w:tcW w:w="326" w:type="dxa"/>
            <w:tcBorders>
              <w:top w:val="nil"/>
              <w:left w:val="nil"/>
              <w:bottom w:val="nil"/>
              <w:right w:val="nil"/>
            </w:tcBorders>
            <w:shd w:val="clear" w:color="000000" w:fill="FFFFFF"/>
            <w:noWrap/>
            <w:vAlign w:val="bottom"/>
            <w:hideMark/>
          </w:tcPr>
          <w:p w14:paraId="73AC655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w:t>
            </w:r>
          </w:p>
        </w:tc>
        <w:tc>
          <w:tcPr>
            <w:tcW w:w="1658" w:type="dxa"/>
            <w:tcBorders>
              <w:top w:val="nil"/>
              <w:left w:val="nil"/>
              <w:bottom w:val="nil"/>
              <w:right w:val="nil"/>
            </w:tcBorders>
            <w:shd w:val="clear" w:color="000000" w:fill="FFFFFF"/>
            <w:noWrap/>
            <w:vAlign w:val="bottom"/>
            <w:hideMark/>
          </w:tcPr>
          <w:p w14:paraId="37B957B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399</w:t>
            </w:r>
          </w:p>
        </w:tc>
        <w:tc>
          <w:tcPr>
            <w:tcW w:w="1310" w:type="dxa"/>
            <w:tcBorders>
              <w:top w:val="nil"/>
              <w:left w:val="nil"/>
              <w:bottom w:val="nil"/>
              <w:right w:val="nil"/>
            </w:tcBorders>
            <w:shd w:val="clear" w:color="000000" w:fill="FFFFFF"/>
            <w:noWrap/>
            <w:vAlign w:val="bottom"/>
            <w:hideMark/>
          </w:tcPr>
          <w:p w14:paraId="5C669A23"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101</w:t>
            </w:r>
          </w:p>
        </w:tc>
      </w:tr>
      <w:tr w:rsidR="005D66CB" w:rsidRPr="00E03579" w14:paraId="46290A2B" w14:textId="77777777" w:rsidTr="00BD4B3C">
        <w:trPr>
          <w:trHeight w:val="300"/>
        </w:trPr>
        <w:tc>
          <w:tcPr>
            <w:tcW w:w="1240" w:type="dxa"/>
            <w:tcBorders>
              <w:top w:val="nil"/>
              <w:left w:val="nil"/>
              <w:bottom w:val="nil"/>
              <w:right w:val="nil"/>
            </w:tcBorders>
            <w:shd w:val="clear" w:color="000000" w:fill="FFFFFF"/>
            <w:noWrap/>
            <w:vAlign w:val="bottom"/>
            <w:hideMark/>
          </w:tcPr>
          <w:p w14:paraId="53D60C2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OSL11</w:t>
            </w:r>
          </w:p>
        </w:tc>
        <w:tc>
          <w:tcPr>
            <w:tcW w:w="1660" w:type="dxa"/>
            <w:tcBorders>
              <w:top w:val="nil"/>
              <w:left w:val="nil"/>
              <w:bottom w:val="nil"/>
              <w:right w:val="nil"/>
            </w:tcBorders>
            <w:shd w:val="clear" w:color="000000" w:fill="FFFFFF"/>
            <w:noWrap/>
            <w:vAlign w:val="bottom"/>
            <w:hideMark/>
          </w:tcPr>
          <w:p w14:paraId="559C119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995</w:t>
            </w:r>
          </w:p>
        </w:tc>
        <w:tc>
          <w:tcPr>
            <w:tcW w:w="1480" w:type="dxa"/>
            <w:tcBorders>
              <w:top w:val="nil"/>
              <w:left w:val="nil"/>
              <w:bottom w:val="nil"/>
              <w:right w:val="nil"/>
            </w:tcBorders>
            <w:shd w:val="clear" w:color="000000" w:fill="FFFFFF"/>
            <w:noWrap/>
            <w:vAlign w:val="bottom"/>
            <w:hideMark/>
          </w:tcPr>
          <w:p w14:paraId="5F5B081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42527CC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496</w:t>
            </w:r>
          </w:p>
        </w:tc>
        <w:tc>
          <w:tcPr>
            <w:tcW w:w="567" w:type="dxa"/>
            <w:tcBorders>
              <w:top w:val="nil"/>
              <w:left w:val="nil"/>
              <w:bottom w:val="nil"/>
              <w:right w:val="nil"/>
            </w:tcBorders>
            <w:shd w:val="clear" w:color="000000" w:fill="FFFFFF"/>
            <w:noWrap/>
            <w:vAlign w:val="bottom"/>
            <w:hideMark/>
          </w:tcPr>
          <w:p w14:paraId="718A968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567" w:type="dxa"/>
            <w:tcBorders>
              <w:top w:val="nil"/>
              <w:left w:val="nil"/>
              <w:bottom w:val="nil"/>
              <w:right w:val="nil"/>
            </w:tcBorders>
            <w:shd w:val="clear" w:color="000000" w:fill="FFFFFF"/>
            <w:noWrap/>
            <w:vAlign w:val="bottom"/>
            <w:hideMark/>
          </w:tcPr>
          <w:p w14:paraId="6CBD422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90</w:t>
            </w:r>
          </w:p>
        </w:tc>
        <w:tc>
          <w:tcPr>
            <w:tcW w:w="449" w:type="dxa"/>
            <w:tcBorders>
              <w:top w:val="nil"/>
              <w:left w:val="nil"/>
              <w:bottom w:val="nil"/>
              <w:right w:val="nil"/>
            </w:tcBorders>
            <w:shd w:val="clear" w:color="000000" w:fill="FFFFFF"/>
            <w:noWrap/>
            <w:vAlign w:val="bottom"/>
            <w:hideMark/>
          </w:tcPr>
          <w:p w14:paraId="33A0E53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19</w:t>
            </w:r>
          </w:p>
        </w:tc>
        <w:tc>
          <w:tcPr>
            <w:tcW w:w="543" w:type="dxa"/>
            <w:tcBorders>
              <w:top w:val="nil"/>
              <w:left w:val="nil"/>
              <w:bottom w:val="nil"/>
              <w:right w:val="nil"/>
            </w:tcBorders>
            <w:shd w:val="clear" w:color="000000" w:fill="FFFFFF"/>
            <w:noWrap/>
            <w:vAlign w:val="bottom"/>
            <w:hideMark/>
          </w:tcPr>
          <w:p w14:paraId="3E85FDE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56</w:t>
            </w:r>
          </w:p>
        </w:tc>
        <w:tc>
          <w:tcPr>
            <w:tcW w:w="546" w:type="dxa"/>
            <w:tcBorders>
              <w:top w:val="nil"/>
              <w:left w:val="nil"/>
              <w:bottom w:val="nil"/>
              <w:right w:val="nil"/>
            </w:tcBorders>
            <w:shd w:val="clear" w:color="000000" w:fill="FFFFFF"/>
            <w:noWrap/>
            <w:vAlign w:val="bottom"/>
            <w:hideMark/>
          </w:tcPr>
          <w:p w14:paraId="3569F34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107</w:t>
            </w:r>
          </w:p>
        </w:tc>
        <w:tc>
          <w:tcPr>
            <w:tcW w:w="588" w:type="dxa"/>
            <w:tcBorders>
              <w:top w:val="nil"/>
              <w:left w:val="nil"/>
              <w:bottom w:val="nil"/>
              <w:right w:val="nil"/>
            </w:tcBorders>
            <w:shd w:val="clear" w:color="000000" w:fill="FFFFFF"/>
            <w:noWrap/>
            <w:vAlign w:val="bottom"/>
            <w:hideMark/>
          </w:tcPr>
          <w:p w14:paraId="3CA7211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w:t>
            </w:r>
          </w:p>
        </w:tc>
        <w:tc>
          <w:tcPr>
            <w:tcW w:w="326" w:type="dxa"/>
            <w:tcBorders>
              <w:top w:val="nil"/>
              <w:left w:val="nil"/>
              <w:bottom w:val="nil"/>
              <w:right w:val="nil"/>
            </w:tcBorders>
            <w:shd w:val="clear" w:color="000000" w:fill="FFFFFF"/>
            <w:noWrap/>
            <w:vAlign w:val="bottom"/>
            <w:hideMark/>
          </w:tcPr>
          <w:p w14:paraId="72AD6CE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0238F72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780</w:t>
            </w:r>
          </w:p>
        </w:tc>
        <w:tc>
          <w:tcPr>
            <w:tcW w:w="1310" w:type="dxa"/>
            <w:tcBorders>
              <w:top w:val="nil"/>
              <w:left w:val="nil"/>
              <w:bottom w:val="nil"/>
              <w:right w:val="nil"/>
            </w:tcBorders>
            <w:shd w:val="clear" w:color="000000" w:fill="FFFFFF"/>
            <w:noWrap/>
            <w:vAlign w:val="bottom"/>
            <w:hideMark/>
          </w:tcPr>
          <w:p w14:paraId="5E6E3D0D"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220</w:t>
            </w:r>
          </w:p>
        </w:tc>
      </w:tr>
      <w:tr w:rsidR="005D66CB" w:rsidRPr="00E03579" w14:paraId="10313A25" w14:textId="77777777" w:rsidTr="00BD4B3C">
        <w:trPr>
          <w:trHeight w:val="300"/>
        </w:trPr>
        <w:tc>
          <w:tcPr>
            <w:tcW w:w="1240" w:type="dxa"/>
            <w:tcBorders>
              <w:top w:val="nil"/>
              <w:left w:val="nil"/>
              <w:bottom w:val="nil"/>
              <w:right w:val="nil"/>
            </w:tcBorders>
            <w:shd w:val="clear" w:color="000000" w:fill="FFFFFF"/>
            <w:noWrap/>
            <w:vAlign w:val="bottom"/>
            <w:hideMark/>
          </w:tcPr>
          <w:p w14:paraId="2F77FA6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OSL12</w:t>
            </w:r>
          </w:p>
        </w:tc>
        <w:tc>
          <w:tcPr>
            <w:tcW w:w="1660" w:type="dxa"/>
            <w:tcBorders>
              <w:top w:val="nil"/>
              <w:left w:val="nil"/>
              <w:bottom w:val="nil"/>
              <w:right w:val="nil"/>
            </w:tcBorders>
            <w:shd w:val="clear" w:color="000000" w:fill="FFFFFF"/>
            <w:noWrap/>
            <w:vAlign w:val="bottom"/>
            <w:hideMark/>
          </w:tcPr>
          <w:p w14:paraId="28CEE32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996</w:t>
            </w:r>
          </w:p>
        </w:tc>
        <w:tc>
          <w:tcPr>
            <w:tcW w:w="1480" w:type="dxa"/>
            <w:tcBorders>
              <w:top w:val="nil"/>
              <w:left w:val="nil"/>
              <w:bottom w:val="nil"/>
              <w:right w:val="nil"/>
            </w:tcBorders>
            <w:shd w:val="clear" w:color="000000" w:fill="FFFFFF"/>
            <w:noWrap/>
            <w:vAlign w:val="bottom"/>
            <w:hideMark/>
          </w:tcPr>
          <w:p w14:paraId="23EDAB9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900</w:t>
            </w:r>
          </w:p>
        </w:tc>
        <w:tc>
          <w:tcPr>
            <w:tcW w:w="582" w:type="dxa"/>
            <w:tcBorders>
              <w:top w:val="nil"/>
              <w:left w:val="nil"/>
              <w:bottom w:val="nil"/>
              <w:right w:val="nil"/>
            </w:tcBorders>
            <w:shd w:val="clear" w:color="000000" w:fill="FFFFFF"/>
            <w:noWrap/>
            <w:vAlign w:val="bottom"/>
            <w:hideMark/>
          </w:tcPr>
          <w:p w14:paraId="6FDD41F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360</w:t>
            </w:r>
          </w:p>
        </w:tc>
        <w:tc>
          <w:tcPr>
            <w:tcW w:w="567" w:type="dxa"/>
            <w:tcBorders>
              <w:top w:val="nil"/>
              <w:left w:val="nil"/>
              <w:bottom w:val="nil"/>
              <w:right w:val="nil"/>
            </w:tcBorders>
            <w:shd w:val="clear" w:color="000000" w:fill="FFFFFF"/>
            <w:noWrap/>
            <w:vAlign w:val="bottom"/>
            <w:hideMark/>
          </w:tcPr>
          <w:p w14:paraId="163930D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w:t>
            </w:r>
          </w:p>
        </w:tc>
        <w:tc>
          <w:tcPr>
            <w:tcW w:w="567" w:type="dxa"/>
            <w:tcBorders>
              <w:top w:val="nil"/>
              <w:left w:val="nil"/>
              <w:bottom w:val="nil"/>
              <w:right w:val="nil"/>
            </w:tcBorders>
            <w:shd w:val="clear" w:color="000000" w:fill="FFFFFF"/>
            <w:noWrap/>
            <w:vAlign w:val="bottom"/>
            <w:hideMark/>
          </w:tcPr>
          <w:p w14:paraId="2B14AA1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186</w:t>
            </w:r>
          </w:p>
        </w:tc>
        <w:tc>
          <w:tcPr>
            <w:tcW w:w="449" w:type="dxa"/>
            <w:tcBorders>
              <w:top w:val="nil"/>
              <w:left w:val="nil"/>
              <w:bottom w:val="nil"/>
              <w:right w:val="nil"/>
            </w:tcBorders>
            <w:shd w:val="clear" w:color="000000" w:fill="FFFFFF"/>
            <w:noWrap/>
            <w:vAlign w:val="bottom"/>
            <w:hideMark/>
          </w:tcPr>
          <w:p w14:paraId="52CCF37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25</w:t>
            </w:r>
          </w:p>
        </w:tc>
        <w:tc>
          <w:tcPr>
            <w:tcW w:w="543" w:type="dxa"/>
            <w:tcBorders>
              <w:top w:val="nil"/>
              <w:left w:val="nil"/>
              <w:bottom w:val="nil"/>
              <w:right w:val="nil"/>
            </w:tcBorders>
            <w:shd w:val="clear" w:color="000000" w:fill="FFFFFF"/>
            <w:noWrap/>
            <w:vAlign w:val="bottom"/>
            <w:hideMark/>
          </w:tcPr>
          <w:p w14:paraId="1BA5EDC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61</w:t>
            </w:r>
          </w:p>
        </w:tc>
        <w:tc>
          <w:tcPr>
            <w:tcW w:w="546" w:type="dxa"/>
            <w:tcBorders>
              <w:top w:val="nil"/>
              <w:left w:val="nil"/>
              <w:bottom w:val="nil"/>
              <w:right w:val="nil"/>
            </w:tcBorders>
            <w:shd w:val="clear" w:color="000000" w:fill="FFFFFF"/>
            <w:noWrap/>
            <w:vAlign w:val="bottom"/>
            <w:hideMark/>
          </w:tcPr>
          <w:p w14:paraId="479FF6A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33</w:t>
            </w:r>
          </w:p>
        </w:tc>
        <w:tc>
          <w:tcPr>
            <w:tcW w:w="588" w:type="dxa"/>
            <w:tcBorders>
              <w:top w:val="nil"/>
              <w:left w:val="nil"/>
              <w:bottom w:val="nil"/>
              <w:right w:val="nil"/>
            </w:tcBorders>
            <w:shd w:val="clear" w:color="000000" w:fill="FFFFFF"/>
            <w:noWrap/>
            <w:vAlign w:val="bottom"/>
            <w:hideMark/>
          </w:tcPr>
          <w:p w14:paraId="5EC6858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30</w:t>
            </w:r>
          </w:p>
        </w:tc>
        <w:tc>
          <w:tcPr>
            <w:tcW w:w="326" w:type="dxa"/>
            <w:tcBorders>
              <w:top w:val="nil"/>
              <w:left w:val="nil"/>
              <w:bottom w:val="nil"/>
              <w:right w:val="nil"/>
            </w:tcBorders>
            <w:shd w:val="clear" w:color="000000" w:fill="FFFFFF"/>
            <w:noWrap/>
            <w:vAlign w:val="bottom"/>
            <w:hideMark/>
          </w:tcPr>
          <w:p w14:paraId="00FDD84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255FBB4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700</w:t>
            </w:r>
          </w:p>
        </w:tc>
        <w:tc>
          <w:tcPr>
            <w:tcW w:w="1310" w:type="dxa"/>
            <w:tcBorders>
              <w:top w:val="nil"/>
              <w:left w:val="nil"/>
              <w:bottom w:val="nil"/>
              <w:right w:val="nil"/>
            </w:tcBorders>
            <w:shd w:val="clear" w:color="000000" w:fill="FFFFFF"/>
            <w:noWrap/>
            <w:vAlign w:val="bottom"/>
            <w:hideMark/>
          </w:tcPr>
          <w:p w14:paraId="64A1045C"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200</w:t>
            </w:r>
          </w:p>
        </w:tc>
      </w:tr>
      <w:tr w:rsidR="005D66CB" w:rsidRPr="00E03579" w14:paraId="2BDF195F" w14:textId="77777777" w:rsidTr="00BD4B3C">
        <w:trPr>
          <w:trHeight w:val="300"/>
        </w:trPr>
        <w:tc>
          <w:tcPr>
            <w:tcW w:w="1240" w:type="dxa"/>
            <w:tcBorders>
              <w:top w:val="nil"/>
              <w:left w:val="nil"/>
              <w:bottom w:val="nil"/>
              <w:right w:val="nil"/>
            </w:tcBorders>
            <w:shd w:val="clear" w:color="000000" w:fill="FFFFFF"/>
            <w:noWrap/>
            <w:vAlign w:val="bottom"/>
            <w:hideMark/>
          </w:tcPr>
          <w:p w14:paraId="4B904AD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OSL13</w:t>
            </w:r>
          </w:p>
        </w:tc>
        <w:tc>
          <w:tcPr>
            <w:tcW w:w="1660" w:type="dxa"/>
            <w:tcBorders>
              <w:top w:val="nil"/>
              <w:left w:val="nil"/>
              <w:bottom w:val="nil"/>
              <w:right w:val="nil"/>
            </w:tcBorders>
            <w:shd w:val="clear" w:color="000000" w:fill="FFFFFF"/>
            <w:noWrap/>
            <w:vAlign w:val="bottom"/>
            <w:hideMark/>
          </w:tcPr>
          <w:p w14:paraId="7994438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997</w:t>
            </w:r>
          </w:p>
        </w:tc>
        <w:tc>
          <w:tcPr>
            <w:tcW w:w="1480" w:type="dxa"/>
            <w:tcBorders>
              <w:top w:val="nil"/>
              <w:left w:val="nil"/>
              <w:bottom w:val="nil"/>
              <w:right w:val="nil"/>
            </w:tcBorders>
            <w:shd w:val="clear" w:color="000000" w:fill="FFFFFF"/>
            <w:noWrap/>
            <w:vAlign w:val="bottom"/>
            <w:hideMark/>
          </w:tcPr>
          <w:p w14:paraId="47EF133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1000</w:t>
            </w:r>
          </w:p>
        </w:tc>
        <w:tc>
          <w:tcPr>
            <w:tcW w:w="582" w:type="dxa"/>
            <w:tcBorders>
              <w:top w:val="nil"/>
              <w:left w:val="nil"/>
              <w:bottom w:val="nil"/>
              <w:right w:val="nil"/>
            </w:tcBorders>
            <w:shd w:val="clear" w:color="000000" w:fill="FFFFFF"/>
            <w:noWrap/>
            <w:vAlign w:val="bottom"/>
            <w:hideMark/>
          </w:tcPr>
          <w:p w14:paraId="39C207C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418</w:t>
            </w:r>
          </w:p>
        </w:tc>
        <w:tc>
          <w:tcPr>
            <w:tcW w:w="567" w:type="dxa"/>
            <w:tcBorders>
              <w:top w:val="nil"/>
              <w:left w:val="nil"/>
              <w:bottom w:val="nil"/>
              <w:right w:val="nil"/>
            </w:tcBorders>
            <w:shd w:val="clear" w:color="000000" w:fill="FFFFFF"/>
            <w:noWrap/>
            <w:vAlign w:val="bottom"/>
            <w:hideMark/>
          </w:tcPr>
          <w:p w14:paraId="63B0C6A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567" w:type="dxa"/>
            <w:tcBorders>
              <w:top w:val="nil"/>
              <w:left w:val="nil"/>
              <w:bottom w:val="nil"/>
              <w:right w:val="nil"/>
            </w:tcBorders>
            <w:shd w:val="clear" w:color="000000" w:fill="FFFFFF"/>
            <w:noWrap/>
            <w:vAlign w:val="bottom"/>
            <w:hideMark/>
          </w:tcPr>
          <w:p w14:paraId="0FC2472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153</w:t>
            </w:r>
          </w:p>
        </w:tc>
        <w:tc>
          <w:tcPr>
            <w:tcW w:w="449" w:type="dxa"/>
            <w:tcBorders>
              <w:top w:val="nil"/>
              <w:left w:val="nil"/>
              <w:bottom w:val="nil"/>
              <w:right w:val="nil"/>
            </w:tcBorders>
            <w:shd w:val="clear" w:color="000000" w:fill="FFFFFF"/>
            <w:noWrap/>
            <w:vAlign w:val="bottom"/>
            <w:hideMark/>
          </w:tcPr>
          <w:p w14:paraId="2B3012A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20</w:t>
            </w:r>
          </w:p>
        </w:tc>
        <w:tc>
          <w:tcPr>
            <w:tcW w:w="543" w:type="dxa"/>
            <w:tcBorders>
              <w:top w:val="nil"/>
              <w:left w:val="nil"/>
              <w:bottom w:val="nil"/>
              <w:right w:val="nil"/>
            </w:tcBorders>
            <w:shd w:val="clear" w:color="000000" w:fill="FFFFFF"/>
            <w:noWrap/>
            <w:vAlign w:val="bottom"/>
            <w:hideMark/>
          </w:tcPr>
          <w:p w14:paraId="6E499EE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87</w:t>
            </w:r>
          </w:p>
        </w:tc>
        <w:tc>
          <w:tcPr>
            <w:tcW w:w="546" w:type="dxa"/>
            <w:tcBorders>
              <w:top w:val="nil"/>
              <w:left w:val="nil"/>
              <w:bottom w:val="nil"/>
              <w:right w:val="nil"/>
            </w:tcBorders>
            <w:shd w:val="clear" w:color="000000" w:fill="FFFFFF"/>
            <w:noWrap/>
            <w:vAlign w:val="bottom"/>
            <w:hideMark/>
          </w:tcPr>
          <w:p w14:paraId="19623A9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56</w:t>
            </w:r>
          </w:p>
        </w:tc>
        <w:tc>
          <w:tcPr>
            <w:tcW w:w="588" w:type="dxa"/>
            <w:tcBorders>
              <w:top w:val="nil"/>
              <w:left w:val="nil"/>
              <w:bottom w:val="nil"/>
              <w:right w:val="nil"/>
            </w:tcBorders>
            <w:shd w:val="clear" w:color="000000" w:fill="FFFFFF"/>
            <w:noWrap/>
            <w:vAlign w:val="bottom"/>
            <w:hideMark/>
          </w:tcPr>
          <w:p w14:paraId="686EAD1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34</w:t>
            </w:r>
          </w:p>
        </w:tc>
        <w:tc>
          <w:tcPr>
            <w:tcW w:w="326" w:type="dxa"/>
            <w:tcBorders>
              <w:top w:val="nil"/>
              <w:left w:val="nil"/>
              <w:bottom w:val="nil"/>
              <w:right w:val="nil"/>
            </w:tcBorders>
            <w:shd w:val="clear" w:color="000000" w:fill="FFFFFF"/>
            <w:noWrap/>
            <w:vAlign w:val="bottom"/>
            <w:hideMark/>
          </w:tcPr>
          <w:p w14:paraId="78F2227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7C211F65"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770</w:t>
            </w:r>
          </w:p>
        </w:tc>
        <w:tc>
          <w:tcPr>
            <w:tcW w:w="1310" w:type="dxa"/>
            <w:tcBorders>
              <w:top w:val="nil"/>
              <w:left w:val="nil"/>
              <w:bottom w:val="nil"/>
              <w:right w:val="nil"/>
            </w:tcBorders>
            <w:shd w:val="clear" w:color="000000" w:fill="FFFFFF"/>
            <w:noWrap/>
            <w:vAlign w:val="bottom"/>
            <w:hideMark/>
          </w:tcPr>
          <w:p w14:paraId="1DBE62C0"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230</w:t>
            </w:r>
          </w:p>
        </w:tc>
      </w:tr>
      <w:tr w:rsidR="005D66CB" w:rsidRPr="00E03579" w14:paraId="2EB12CA6" w14:textId="77777777" w:rsidTr="00BD4B3C">
        <w:trPr>
          <w:trHeight w:val="300"/>
        </w:trPr>
        <w:tc>
          <w:tcPr>
            <w:tcW w:w="1240" w:type="dxa"/>
            <w:tcBorders>
              <w:top w:val="nil"/>
              <w:left w:val="nil"/>
              <w:bottom w:val="nil"/>
              <w:right w:val="nil"/>
            </w:tcBorders>
            <w:shd w:val="clear" w:color="000000" w:fill="FFFFFF"/>
            <w:noWrap/>
            <w:vAlign w:val="bottom"/>
            <w:hideMark/>
          </w:tcPr>
          <w:p w14:paraId="28DD1F2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OSL14</w:t>
            </w:r>
          </w:p>
        </w:tc>
        <w:tc>
          <w:tcPr>
            <w:tcW w:w="1660" w:type="dxa"/>
            <w:tcBorders>
              <w:top w:val="nil"/>
              <w:left w:val="nil"/>
              <w:bottom w:val="nil"/>
              <w:right w:val="nil"/>
            </w:tcBorders>
            <w:shd w:val="clear" w:color="000000" w:fill="FFFFFF"/>
            <w:noWrap/>
            <w:vAlign w:val="bottom"/>
            <w:hideMark/>
          </w:tcPr>
          <w:p w14:paraId="4600627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998</w:t>
            </w:r>
          </w:p>
        </w:tc>
        <w:tc>
          <w:tcPr>
            <w:tcW w:w="1480" w:type="dxa"/>
            <w:tcBorders>
              <w:top w:val="nil"/>
              <w:left w:val="nil"/>
              <w:bottom w:val="nil"/>
              <w:right w:val="nil"/>
            </w:tcBorders>
            <w:shd w:val="clear" w:color="000000" w:fill="FFFFFF"/>
            <w:noWrap/>
            <w:vAlign w:val="bottom"/>
            <w:hideMark/>
          </w:tcPr>
          <w:p w14:paraId="17CD9C5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900</w:t>
            </w:r>
          </w:p>
        </w:tc>
        <w:tc>
          <w:tcPr>
            <w:tcW w:w="582" w:type="dxa"/>
            <w:tcBorders>
              <w:top w:val="nil"/>
              <w:left w:val="nil"/>
              <w:bottom w:val="nil"/>
              <w:right w:val="nil"/>
            </w:tcBorders>
            <w:shd w:val="clear" w:color="000000" w:fill="FFFFFF"/>
            <w:noWrap/>
            <w:vAlign w:val="bottom"/>
            <w:hideMark/>
          </w:tcPr>
          <w:p w14:paraId="45F4534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409</w:t>
            </w:r>
          </w:p>
        </w:tc>
        <w:tc>
          <w:tcPr>
            <w:tcW w:w="567" w:type="dxa"/>
            <w:tcBorders>
              <w:top w:val="nil"/>
              <w:left w:val="nil"/>
              <w:bottom w:val="nil"/>
              <w:right w:val="nil"/>
            </w:tcBorders>
            <w:shd w:val="clear" w:color="000000" w:fill="FFFFFF"/>
            <w:noWrap/>
            <w:vAlign w:val="bottom"/>
            <w:hideMark/>
          </w:tcPr>
          <w:p w14:paraId="492CC807"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567" w:type="dxa"/>
            <w:tcBorders>
              <w:top w:val="nil"/>
              <w:left w:val="nil"/>
              <w:bottom w:val="nil"/>
              <w:right w:val="nil"/>
            </w:tcBorders>
            <w:shd w:val="clear" w:color="000000" w:fill="FFFFFF"/>
            <w:noWrap/>
            <w:vAlign w:val="bottom"/>
            <w:hideMark/>
          </w:tcPr>
          <w:p w14:paraId="5602959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171</w:t>
            </w:r>
          </w:p>
        </w:tc>
        <w:tc>
          <w:tcPr>
            <w:tcW w:w="449" w:type="dxa"/>
            <w:tcBorders>
              <w:top w:val="nil"/>
              <w:left w:val="nil"/>
              <w:bottom w:val="nil"/>
              <w:right w:val="nil"/>
            </w:tcBorders>
            <w:shd w:val="clear" w:color="000000" w:fill="FFFFFF"/>
            <w:noWrap/>
            <w:vAlign w:val="bottom"/>
            <w:hideMark/>
          </w:tcPr>
          <w:p w14:paraId="3C310AD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37</w:t>
            </w:r>
          </w:p>
        </w:tc>
        <w:tc>
          <w:tcPr>
            <w:tcW w:w="543" w:type="dxa"/>
            <w:tcBorders>
              <w:top w:val="nil"/>
              <w:left w:val="nil"/>
              <w:bottom w:val="nil"/>
              <w:right w:val="nil"/>
            </w:tcBorders>
            <w:shd w:val="clear" w:color="000000" w:fill="FFFFFF"/>
            <w:noWrap/>
            <w:vAlign w:val="bottom"/>
            <w:hideMark/>
          </w:tcPr>
          <w:p w14:paraId="407A675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64</w:t>
            </w:r>
          </w:p>
        </w:tc>
        <w:tc>
          <w:tcPr>
            <w:tcW w:w="546" w:type="dxa"/>
            <w:tcBorders>
              <w:top w:val="nil"/>
              <w:left w:val="nil"/>
              <w:bottom w:val="nil"/>
              <w:right w:val="nil"/>
            </w:tcBorders>
            <w:shd w:val="clear" w:color="000000" w:fill="FFFFFF"/>
            <w:noWrap/>
            <w:vAlign w:val="bottom"/>
            <w:hideMark/>
          </w:tcPr>
          <w:p w14:paraId="32DAA6F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31</w:t>
            </w:r>
          </w:p>
        </w:tc>
        <w:tc>
          <w:tcPr>
            <w:tcW w:w="588" w:type="dxa"/>
            <w:tcBorders>
              <w:top w:val="nil"/>
              <w:left w:val="nil"/>
              <w:bottom w:val="nil"/>
              <w:right w:val="nil"/>
            </w:tcBorders>
            <w:shd w:val="clear" w:color="000000" w:fill="FFFFFF"/>
            <w:noWrap/>
            <w:vAlign w:val="bottom"/>
            <w:hideMark/>
          </w:tcPr>
          <w:p w14:paraId="0944BE2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21</w:t>
            </w:r>
          </w:p>
        </w:tc>
        <w:tc>
          <w:tcPr>
            <w:tcW w:w="326" w:type="dxa"/>
            <w:tcBorders>
              <w:top w:val="nil"/>
              <w:left w:val="nil"/>
              <w:bottom w:val="nil"/>
              <w:right w:val="nil"/>
            </w:tcBorders>
            <w:shd w:val="clear" w:color="000000" w:fill="FFFFFF"/>
            <w:noWrap/>
            <w:vAlign w:val="bottom"/>
            <w:hideMark/>
          </w:tcPr>
          <w:p w14:paraId="2D3ED4C0"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0</w:t>
            </w:r>
          </w:p>
        </w:tc>
        <w:tc>
          <w:tcPr>
            <w:tcW w:w="1658" w:type="dxa"/>
            <w:tcBorders>
              <w:top w:val="nil"/>
              <w:left w:val="nil"/>
              <w:bottom w:val="nil"/>
              <w:right w:val="nil"/>
            </w:tcBorders>
            <w:shd w:val="clear" w:color="000000" w:fill="FFFFFF"/>
            <w:noWrap/>
            <w:vAlign w:val="bottom"/>
            <w:hideMark/>
          </w:tcPr>
          <w:p w14:paraId="5E749EA4"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733</w:t>
            </w:r>
          </w:p>
        </w:tc>
        <w:tc>
          <w:tcPr>
            <w:tcW w:w="1310" w:type="dxa"/>
            <w:tcBorders>
              <w:top w:val="nil"/>
              <w:left w:val="nil"/>
              <w:bottom w:val="nil"/>
              <w:right w:val="nil"/>
            </w:tcBorders>
            <w:shd w:val="clear" w:color="000000" w:fill="FFFFFF"/>
            <w:noWrap/>
            <w:vAlign w:val="bottom"/>
            <w:hideMark/>
          </w:tcPr>
          <w:p w14:paraId="3AF6F210"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167</w:t>
            </w:r>
          </w:p>
        </w:tc>
      </w:tr>
      <w:tr w:rsidR="005D66CB" w:rsidRPr="00E03579" w14:paraId="2983BB17" w14:textId="77777777" w:rsidTr="00BD4B3C">
        <w:trPr>
          <w:trHeight w:val="300"/>
        </w:trPr>
        <w:tc>
          <w:tcPr>
            <w:tcW w:w="1240" w:type="dxa"/>
            <w:tcBorders>
              <w:top w:val="nil"/>
              <w:left w:val="nil"/>
              <w:bottom w:val="single" w:sz="4" w:space="0" w:color="auto"/>
              <w:right w:val="nil"/>
            </w:tcBorders>
            <w:shd w:val="clear" w:color="000000" w:fill="FFFFFF"/>
            <w:noWrap/>
            <w:vAlign w:val="bottom"/>
            <w:hideMark/>
          </w:tcPr>
          <w:p w14:paraId="5E0AB82A"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OSL15</w:t>
            </w:r>
          </w:p>
        </w:tc>
        <w:tc>
          <w:tcPr>
            <w:tcW w:w="1660" w:type="dxa"/>
            <w:tcBorders>
              <w:top w:val="nil"/>
              <w:left w:val="nil"/>
              <w:bottom w:val="single" w:sz="4" w:space="0" w:color="auto"/>
              <w:right w:val="nil"/>
            </w:tcBorders>
            <w:shd w:val="clear" w:color="000000" w:fill="FFFFFF"/>
            <w:noWrap/>
            <w:vAlign w:val="bottom"/>
            <w:hideMark/>
          </w:tcPr>
          <w:p w14:paraId="5C48179F"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999</w:t>
            </w:r>
          </w:p>
        </w:tc>
        <w:tc>
          <w:tcPr>
            <w:tcW w:w="1480" w:type="dxa"/>
            <w:tcBorders>
              <w:top w:val="nil"/>
              <w:left w:val="nil"/>
              <w:bottom w:val="single" w:sz="4" w:space="0" w:color="auto"/>
              <w:right w:val="nil"/>
            </w:tcBorders>
            <w:shd w:val="clear" w:color="000000" w:fill="FFFFFF"/>
            <w:noWrap/>
            <w:vAlign w:val="bottom"/>
            <w:hideMark/>
          </w:tcPr>
          <w:p w14:paraId="54BF0BF9"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800</w:t>
            </w:r>
          </w:p>
        </w:tc>
        <w:tc>
          <w:tcPr>
            <w:tcW w:w="582" w:type="dxa"/>
            <w:tcBorders>
              <w:top w:val="nil"/>
              <w:left w:val="nil"/>
              <w:bottom w:val="single" w:sz="4" w:space="0" w:color="auto"/>
              <w:right w:val="nil"/>
            </w:tcBorders>
            <w:shd w:val="clear" w:color="000000" w:fill="FFFFFF"/>
            <w:noWrap/>
            <w:vAlign w:val="bottom"/>
            <w:hideMark/>
          </w:tcPr>
          <w:p w14:paraId="403B27C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340</w:t>
            </w:r>
          </w:p>
        </w:tc>
        <w:tc>
          <w:tcPr>
            <w:tcW w:w="567" w:type="dxa"/>
            <w:tcBorders>
              <w:top w:val="nil"/>
              <w:left w:val="nil"/>
              <w:bottom w:val="single" w:sz="4" w:space="0" w:color="auto"/>
              <w:right w:val="nil"/>
            </w:tcBorders>
            <w:shd w:val="clear" w:color="000000" w:fill="FFFFFF"/>
            <w:noWrap/>
            <w:vAlign w:val="bottom"/>
            <w:hideMark/>
          </w:tcPr>
          <w:p w14:paraId="38729CDE"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w:t>
            </w:r>
          </w:p>
        </w:tc>
        <w:tc>
          <w:tcPr>
            <w:tcW w:w="567" w:type="dxa"/>
            <w:tcBorders>
              <w:top w:val="nil"/>
              <w:left w:val="nil"/>
              <w:bottom w:val="single" w:sz="4" w:space="0" w:color="auto"/>
              <w:right w:val="nil"/>
            </w:tcBorders>
            <w:shd w:val="clear" w:color="000000" w:fill="FFFFFF"/>
            <w:noWrap/>
            <w:vAlign w:val="bottom"/>
            <w:hideMark/>
          </w:tcPr>
          <w:p w14:paraId="1FF8CFBC"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157</w:t>
            </w:r>
          </w:p>
        </w:tc>
        <w:tc>
          <w:tcPr>
            <w:tcW w:w="449" w:type="dxa"/>
            <w:tcBorders>
              <w:top w:val="nil"/>
              <w:left w:val="nil"/>
              <w:bottom w:val="single" w:sz="4" w:space="0" w:color="auto"/>
              <w:right w:val="nil"/>
            </w:tcBorders>
            <w:shd w:val="clear" w:color="000000" w:fill="FFFFFF"/>
            <w:noWrap/>
            <w:vAlign w:val="bottom"/>
            <w:hideMark/>
          </w:tcPr>
          <w:p w14:paraId="27462608"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16</w:t>
            </w:r>
          </w:p>
        </w:tc>
        <w:tc>
          <w:tcPr>
            <w:tcW w:w="543" w:type="dxa"/>
            <w:tcBorders>
              <w:top w:val="nil"/>
              <w:left w:val="nil"/>
              <w:bottom w:val="single" w:sz="4" w:space="0" w:color="auto"/>
              <w:right w:val="nil"/>
            </w:tcBorders>
            <w:shd w:val="clear" w:color="000000" w:fill="FFFFFF"/>
            <w:noWrap/>
            <w:vAlign w:val="bottom"/>
            <w:hideMark/>
          </w:tcPr>
          <w:p w14:paraId="492DC65D"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57</w:t>
            </w:r>
          </w:p>
        </w:tc>
        <w:tc>
          <w:tcPr>
            <w:tcW w:w="546" w:type="dxa"/>
            <w:tcBorders>
              <w:top w:val="nil"/>
              <w:left w:val="nil"/>
              <w:bottom w:val="single" w:sz="4" w:space="0" w:color="auto"/>
              <w:right w:val="nil"/>
            </w:tcBorders>
            <w:shd w:val="clear" w:color="000000" w:fill="FFFFFF"/>
            <w:noWrap/>
            <w:vAlign w:val="bottom"/>
            <w:hideMark/>
          </w:tcPr>
          <w:p w14:paraId="7C1FC63B"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31</w:t>
            </w:r>
          </w:p>
        </w:tc>
        <w:tc>
          <w:tcPr>
            <w:tcW w:w="588" w:type="dxa"/>
            <w:tcBorders>
              <w:top w:val="nil"/>
              <w:left w:val="nil"/>
              <w:bottom w:val="single" w:sz="4" w:space="0" w:color="auto"/>
              <w:right w:val="nil"/>
            </w:tcBorders>
            <w:shd w:val="clear" w:color="000000" w:fill="FFFFFF"/>
            <w:noWrap/>
            <w:vAlign w:val="bottom"/>
            <w:hideMark/>
          </w:tcPr>
          <w:p w14:paraId="6A04CD93"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8</w:t>
            </w:r>
          </w:p>
        </w:tc>
        <w:tc>
          <w:tcPr>
            <w:tcW w:w="326" w:type="dxa"/>
            <w:tcBorders>
              <w:top w:val="nil"/>
              <w:left w:val="nil"/>
              <w:bottom w:val="single" w:sz="4" w:space="0" w:color="auto"/>
              <w:right w:val="nil"/>
            </w:tcBorders>
            <w:shd w:val="clear" w:color="000000" w:fill="FFFFFF"/>
            <w:noWrap/>
            <w:vAlign w:val="bottom"/>
            <w:hideMark/>
          </w:tcPr>
          <w:p w14:paraId="554F8241"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2</w:t>
            </w:r>
          </w:p>
        </w:tc>
        <w:tc>
          <w:tcPr>
            <w:tcW w:w="1658" w:type="dxa"/>
            <w:tcBorders>
              <w:top w:val="nil"/>
              <w:left w:val="nil"/>
              <w:bottom w:val="single" w:sz="4" w:space="0" w:color="auto"/>
              <w:right w:val="nil"/>
            </w:tcBorders>
            <w:shd w:val="clear" w:color="000000" w:fill="FFFFFF"/>
            <w:noWrap/>
            <w:vAlign w:val="bottom"/>
            <w:hideMark/>
          </w:tcPr>
          <w:p w14:paraId="6644C922" w14:textId="77777777" w:rsidR="005D66CB" w:rsidRPr="00E03579" w:rsidRDefault="005D66CB" w:rsidP="00BD4B3C">
            <w:pPr>
              <w:spacing w:after="0" w:line="240" w:lineRule="auto"/>
              <w:jc w:val="center"/>
              <w:rPr>
                <w:rFonts w:ascii="Times New Roman" w:eastAsia="Times New Roman" w:hAnsi="Times New Roman" w:cs="Times New Roman"/>
                <w:color w:val="000000"/>
                <w:lang w:eastAsia="en-AU"/>
              </w:rPr>
            </w:pPr>
            <w:r w:rsidRPr="00E03579">
              <w:rPr>
                <w:rFonts w:ascii="Times New Roman" w:eastAsia="Times New Roman" w:hAnsi="Times New Roman" w:cs="Times New Roman"/>
                <w:color w:val="000000"/>
                <w:lang w:eastAsia="en-AU"/>
              </w:rPr>
              <w:t>614</w:t>
            </w:r>
          </w:p>
        </w:tc>
        <w:tc>
          <w:tcPr>
            <w:tcW w:w="1310" w:type="dxa"/>
            <w:tcBorders>
              <w:top w:val="nil"/>
              <w:left w:val="nil"/>
              <w:bottom w:val="single" w:sz="4" w:space="0" w:color="auto"/>
              <w:right w:val="nil"/>
            </w:tcBorders>
            <w:shd w:val="clear" w:color="000000" w:fill="FFFFFF"/>
            <w:noWrap/>
            <w:vAlign w:val="bottom"/>
            <w:hideMark/>
          </w:tcPr>
          <w:p w14:paraId="77E50F2A" w14:textId="77777777" w:rsidR="005D66CB" w:rsidRPr="00E03579" w:rsidRDefault="005D66CB" w:rsidP="00BD4B3C">
            <w:pPr>
              <w:spacing w:after="0" w:line="240" w:lineRule="auto"/>
              <w:jc w:val="center"/>
              <w:rPr>
                <w:rFonts w:ascii="Times New Roman" w:eastAsia="Times New Roman" w:hAnsi="Times New Roman" w:cs="Times New Roman"/>
                <w:b/>
                <w:bCs/>
                <w:color w:val="000000"/>
                <w:lang w:eastAsia="en-AU"/>
              </w:rPr>
            </w:pPr>
            <w:r w:rsidRPr="00E03579">
              <w:rPr>
                <w:rFonts w:ascii="Times New Roman" w:eastAsia="Times New Roman" w:hAnsi="Times New Roman" w:cs="Times New Roman"/>
                <w:b/>
                <w:bCs/>
                <w:color w:val="000000"/>
                <w:lang w:eastAsia="en-AU"/>
              </w:rPr>
              <w:t>186</w:t>
            </w:r>
          </w:p>
        </w:tc>
      </w:tr>
    </w:tbl>
    <w:p w14:paraId="3DAD2C82" w14:textId="77777777" w:rsidR="005D66CB" w:rsidRPr="00E03579" w:rsidRDefault="005D66CB" w:rsidP="005D66CB">
      <w:pPr>
        <w:jc w:val="both"/>
        <w:rPr>
          <w:rFonts w:ascii="Times New Roman" w:hAnsi="Times New Roman" w:cs="Times New Roman"/>
          <w:sz w:val="24"/>
          <w:szCs w:val="24"/>
        </w:rPr>
      </w:pPr>
    </w:p>
    <w:p w14:paraId="3791582F" w14:textId="77777777" w:rsidR="005D66CB" w:rsidRPr="00E03579" w:rsidRDefault="005D66CB" w:rsidP="005D66CB">
      <w:pPr>
        <w:jc w:val="both"/>
        <w:rPr>
          <w:rFonts w:ascii="Times New Roman" w:hAnsi="Times New Roman" w:cs="Times New Roman"/>
          <w:sz w:val="24"/>
          <w:szCs w:val="24"/>
        </w:rPr>
      </w:pPr>
    </w:p>
    <w:p w14:paraId="5DF0DE8F" w14:textId="77777777" w:rsidR="005D66CB" w:rsidRDefault="005D66CB" w:rsidP="005D66CB">
      <w:pPr>
        <w:jc w:val="both"/>
        <w:rPr>
          <w:rFonts w:ascii="Times New Roman" w:hAnsi="Times New Roman" w:cs="Times New Roman"/>
          <w:b/>
          <w:sz w:val="24"/>
          <w:szCs w:val="24"/>
        </w:rPr>
      </w:pPr>
    </w:p>
    <w:p w14:paraId="7C970BD5" w14:textId="77777777" w:rsidR="005D66CB" w:rsidRDefault="005D66CB" w:rsidP="005D66CB">
      <w:pPr>
        <w:jc w:val="both"/>
        <w:rPr>
          <w:rFonts w:ascii="Times New Roman" w:hAnsi="Times New Roman" w:cs="Times New Roman"/>
          <w:b/>
          <w:sz w:val="24"/>
          <w:szCs w:val="24"/>
        </w:rPr>
      </w:pPr>
    </w:p>
    <w:p w14:paraId="49ADDC32" w14:textId="77777777" w:rsidR="005D66CB" w:rsidRDefault="005D66CB" w:rsidP="005D66CB">
      <w:pPr>
        <w:jc w:val="both"/>
        <w:rPr>
          <w:rFonts w:ascii="Times New Roman" w:hAnsi="Times New Roman" w:cs="Times New Roman"/>
          <w:b/>
          <w:sz w:val="24"/>
          <w:szCs w:val="24"/>
        </w:rPr>
      </w:pPr>
    </w:p>
    <w:p w14:paraId="2DE540B5" w14:textId="77777777" w:rsidR="005D66CB" w:rsidRDefault="005D66CB" w:rsidP="005D66CB">
      <w:pPr>
        <w:jc w:val="both"/>
        <w:rPr>
          <w:rFonts w:ascii="Times New Roman" w:hAnsi="Times New Roman" w:cs="Times New Roman"/>
          <w:b/>
          <w:sz w:val="24"/>
          <w:szCs w:val="24"/>
        </w:rPr>
      </w:pPr>
    </w:p>
    <w:p w14:paraId="4EF031BA" w14:textId="77777777" w:rsidR="005D66CB" w:rsidRDefault="005D66CB" w:rsidP="005D66CB">
      <w:pPr>
        <w:jc w:val="both"/>
        <w:rPr>
          <w:rFonts w:ascii="Times New Roman" w:hAnsi="Times New Roman" w:cs="Times New Roman"/>
          <w:b/>
          <w:sz w:val="24"/>
          <w:szCs w:val="24"/>
        </w:rPr>
      </w:pPr>
    </w:p>
    <w:p w14:paraId="6FB07B78" w14:textId="77777777" w:rsidR="005D66CB" w:rsidRDefault="005D66CB" w:rsidP="005D66CB">
      <w:pPr>
        <w:jc w:val="both"/>
        <w:rPr>
          <w:rFonts w:ascii="Times New Roman" w:hAnsi="Times New Roman" w:cs="Times New Roman"/>
          <w:b/>
          <w:sz w:val="24"/>
          <w:szCs w:val="24"/>
        </w:rPr>
      </w:pPr>
    </w:p>
    <w:p w14:paraId="607D8EB2" w14:textId="77777777" w:rsidR="005D66CB" w:rsidRDefault="005D66CB" w:rsidP="005D66CB">
      <w:pPr>
        <w:jc w:val="both"/>
        <w:rPr>
          <w:rFonts w:ascii="Times New Roman" w:hAnsi="Times New Roman" w:cs="Times New Roman"/>
          <w:b/>
          <w:sz w:val="24"/>
          <w:szCs w:val="24"/>
        </w:rPr>
      </w:pPr>
    </w:p>
    <w:p w14:paraId="4BD83647" w14:textId="77777777" w:rsidR="005D66CB" w:rsidRDefault="005D66CB" w:rsidP="005D66CB">
      <w:pPr>
        <w:jc w:val="both"/>
        <w:rPr>
          <w:rFonts w:ascii="Times New Roman" w:hAnsi="Times New Roman" w:cs="Times New Roman"/>
          <w:b/>
          <w:sz w:val="24"/>
          <w:szCs w:val="24"/>
        </w:rPr>
      </w:pPr>
    </w:p>
    <w:p w14:paraId="56EAE5F8" w14:textId="77777777" w:rsidR="005D66CB" w:rsidRPr="003D5210" w:rsidRDefault="005D66CB" w:rsidP="005D66CB">
      <w:pPr>
        <w:jc w:val="both"/>
        <w:rPr>
          <w:rFonts w:cstheme="minorHAnsi"/>
        </w:rPr>
        <w:sectPr w:rsidR="005D66CB" w:rsidRPr="003D5210" w:rsidSect="005D66CB">
          <w:pgSz w:w="16838" w:h="11906" w:orient="landscape"/>
          <w:pgMar w:top="1440" w:right="1440" w:bottom="1440" w:left="1440" w:header="708" w:footer="708" w:gutter="0"/>
          <w:cols w:space="708"/>
          <w:docGrid w:linePitch="360"/>
        </w:sectPr>
      </w:pPr>
      <w:r w:rsidRPr="003D5210">
        <w:rPr>
          <w:rFonts w:cstheme="minorHAnsi"/>
          <w:b/>
        </w:rPr>
        <w:t>Table S2.</w:t>
      </w:r>
      <w:r w:rsidRPr="003D5210">
        <w:rPr>
          <w:rFonts w:cstheme="minorHAnsi"/>
        </w:rPr>
        <w:t xml:space="preserve"> The number of individual quartz grains measured from each KFR1 sample using the SAR procedure, with the number of grains rejected for each applied criteria and number accepted for D</w:t>
      </w:r>
      <w:r w:rsidRPr="003D5210">
        <w:rPr>
          <w:rFonts w:cstheme="minorHAnsi"/>
          <w:vertAlign w:val="subscript"/>
        </w:rPr>
        <w:t>e</w:t>
      </w:r>
      <w:r w:rsidRPr="003D5210">
        <w:rPr>
          <w:rFonts w:cstheme="minorHAnsi"/>
        </w:rPr>
        <w:t xml:space="preserve"> determination.</w:t>
      </w:r>
    </w:p>
    <w:tbl>
      <w:tblPr>
        <w:tblW w:w="6400" w:type="dxa"/>
        <w:tblLook w:val="04A0" w:firstRow="1" w:lastRow="0" w:firstColumn="1" w:lastColumn="0" w:noHBand="0" w:noVBand="1"/>
      </w:tblPr>
      <w:tblGrid>
        <w:gridCol w:w="960"/>
        <w:gridCol w:w="1300"/>
        <w:gridCol w:w="4140"/>
      </w:tblGrid>
      <w:tr w:rsidR="005D66CB" w:rsidRPr="00DE5DFC" w14:paraId="65A842CF" w14:textId="77777777" w:rsidTr="00BD4B3C">
        <w:trPr>
          <w:trHeight w:val="300"/>
        </w:trPr>
        <w:tc>
          <w:tcPr>
            <w:tcW w:w="960" w:type="dxa"/>
            <w:tcBorders>
              <w:top w:val="single" w:sz="4" w:space="0" w:color="auto"/>
              <w:left w:val="nil"/>
              <w:bottom w:val="single" w:sz="4" w:space="0" w:color="auto"/>
              <w:right w:val="nil"/>
            </w:tcBorders>
            <w:shd w:val="clear" w:color="000000" w:fill="FFFFFF"/>
            <w:noWrap/>
            <w:vAlign w:val="center"/>
            <w:hideMark/>
          </w:tcPr>
          <w:p w14:paraId="524005CF" w14:textId="77777777" w:rsidR="005D66CB" w:rsidRPr="00DE5DFC" w:rsidRDefault="005D66CB" w:rsidP="00BD4B3C">
            <w:pPr>
              <w:spacing w:after="0" w:line="240" w:lineRule="auto"/>
              <w:jc w:val="center"/>
              <w:rPr>
                <w:rFonts w:ascii="Times New Roman" w:eastAsia="Times New Roman" w:hAnsi="Times New Roman" w:cs="Times New Roman"/>
                <w:b/>
                <w:bCs/>
                <w:color w:val="000000"/>
                <w:lang w:eastAsia="en-AU"/>
              </w:rPr>
            </w:pPr>
            <w:r w:rsidRPr="00DE5DFC">
              <w:rPr>
                <w:rFonts w:ascii="Times New Roman" w:eastAsia="Times New Roman" w:hAnsi="Times New Roman" w:cs="Times New Roman"/>
                <w:b/>
                <w:bCs/>
                <w:color w:val="000000"/>
                <w:lang w:eastAsia="en-AU"/>
              </w:rPr>
              <w:lastRenderedPageBreak/>
              <w:t>Sample</w:t>
            </w:r>
          </w:p>
        </w:tc>
        <w:tc>
          <w:tcPr>
            <w:tcW w:w="1300" w:type="dxa"/>
            <w:tcBorders>
              <w:top w:val="single" w:sz="4" w:space="0" w:color="auto"/>
              <w:left w:val="nil"/>
              <w:bottom w:val="single" w:sz="4" w:space="0" w:color="auto"/>
              <w:right w:val="nil"/>
            </w:tcBorders>
            <w:shd w:val="clear" w:color="000000" w:fill="FFFFFF"/>
            <w:noWrap/>
            <w:vAlign w:val="center"/>
            <w:hideMark/>
          </w:tcPr>
          <w:p w14:paraId="7D2BAD56" w14:textId="77777777" w:rsidR="005D66CB" w:rsidRPr="00DE5DFC" w:rsidRDefault="005D66CB" w:rsidP="00BD4B3C">
            <w:pPr>
              <w:spacing w:after="0" w:line="240" w:lineRule="auto"/>
              <w:jc w:val="center"/>
              <w:rPr>
                <w:rFonts w:ascii="Times New Roman" w:eastAsia="Times New Roman" w:hAnsi="Times New Roman" w:cs="Times New Roman"/>
                <w:b/>
                <w:bCs/>
                <w:color w:val="000000"/>
                <w:lang w:eastAsia="en-AU"/>
              </w:rPr>
            </w:pPr>
            <w:r w:rsidRPr="00DE5DFC">
              <w:rPr>
                <w:rFonts w:ascii="Times New Roman" w:eastAsia="Times New Roman" w:hAnsi="Times New Roman" w:cs="Times New Roman"/>
                <w:b/>
                <w:bCs/>
                <w:color w:val="000000"/>
                <w:lang w:eastAsia="en-AU"/>
              </w:rPr>
              <w:t>SGC group</w:t>
            </w:r>
          </w:p>
        </w:tc>
        <w:tc>
          <w:tcPr>
            <w:tcW w:w="4140" w:type="dxa"/>
            <w:tcBorders>
              <w:top w:val="single" w:sz="4" w:space="0" w:color="auto"/>
              <w:left w:val="nil"/>
              <w:bottom w:val="single" w:sz="4" w:space="0" w:color="auto"/>
              <w:right w:val="nil"/>
            </w:tcBorders>
            <w:shd w:val="clear" w:color="000000" w:fill="FFFFFF"/>
            <w:noWrap/>
            <w:vAlign w:val="center"/>
            <w:hideMark/>
          </w:tcPr>
          <w:p w14:paraId="0FA5C5F7" w14:textId="77777777" w:rsidR="005D66CB" w:rsidRPr="00DE5DFC" w:rsidRDefault="005D66CB" w:rsidP="00BD4B3C">
            <w:pPr>
              <w:spacing w:after="0" w:line="240" w:lineRule="auto"/>
              <w:jc w:val="center"/>
              <w:rPr>
                <w:rFonts w:ascii="Times New Roman" w:eastAsia="Times New Roman" w:hAnsi="Times New Roman" w:cs="Times New Roman"/>
                <w:b/>
                <w:bCs/>
                <w:color w:val="000000"/>
                <w:lang w:eastAsia="en-AU"/>
              </w:rPr>
            </w:pPr>
            <w:r w:rsidRPr="00DE5DFC">
              <w:rPr>
                <w:rFonts w:ascii="Times New Roman" w:eastAsia="Times New Roman" w:hAnsi="Times New Roman" w:cs="Times New Roman"/>
                <w:b/>
                <w:bCs/>
                <w:color w:val="000000"/>
                <w:lang w:eastAsia="en-AU"/>
              </w:rPr>
              <w:t>Measured to SGC Ratio within 2σ (%)</w:t>
            </w:r>
          </w:p>
        </w:tc>
      </w:tr>
      <w:tr w:rsidR="005D66CB" w:rsidRPr="00DE5DFC" w14:paraId="0FA81968" w14:textId="77777777" w:rsidTr="00BD4B3C">
        <w:trPr>
          <w:trHeight w:val="300"/>
        </w:trPr>
        <w:tc>
          <w:tcPr>
            <w:tcW w:w="960" w:type="dxa"/>
            <w:tcBorders>
              <w:top w:val="nil"/>
              <w:left w:val="nil"/>
              <w:bottom w:val="nil"/>
              <w:right w:val="nil"/>
            </w:tcBorders>
            <w:shd w:val="clear" w:color="000000" w:fill="FFFFFF"/>
            <w:noWrap/>
            <w:vAlign w:val="bottom"/>
            <w:hideMark/>
          </w:tcPr>
          <w:p w14:paraId="0317F43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OSL1</w:t>
            </w:r>
          </w:p>
        </w:tc>
        <w:tc>
          <w:tcPr>
            <w:tcW w:w="1300" w:type="dxa"/>
            <w:tcBorders>
              <w:top w:val="nil"/>
              <w:left w:val="nil"/>
              <w:bottom w:val="nil"/>
              <w:right w:val="nil"/>
            </w:tcBorders>
            <w:shd w:val="clear" w:color="000000" w:fill="FFFFFF"/>
            <w:noWrap/>
            <w:vAlign w:val="bottom"/>
            <w:hideMark/>
          </w:tcPr>
          <w:p w14:paraId="4901975C"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5D187E09"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97.6</w:t>
            </w:r>
          </w:p>
        </w:tc>
      </w:tr>
      <w:tr w:rsidR="005D66CB" w:rsidRPr="00DE5DFC" w14:paraId="77FB8A97" w14:textId="77777777" w:rsidTr="00BD4B3C">
        <w:trPr>
          <w:trHeight w:val="300"/>
        </w:trPr>
        <w:tc>
          <w:tcPr>
            <w:tcW w:w="960" w:type="dxa"/>
            <w:tcBorders>
              <w:top w:val="nil"/>
              <w:left w:val="nil"/>
              <w:bottom w:val="nil"/>
              <w:right w:val="nil"/>
            </w:tcBorders>
            <w:shd w:val="clear" w:color="000000" w:fill="FFFFFF"/>
            <w:noWrap/>
            <w:vAlign w:val="bottom"/>
            <w:hideMark/>
          </w:tcPr>
          <w:p w14:paraId="3EE3611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341116BC"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0EA2008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99.5</w:t>
            </w:r>
          </w:p>
        </w:tc>
      </w:tr>
      <w:tr w:rsidR="005D66CB" w:rsidRPr="00DE5DFC" w14:paraId="72475BC9" w14:textId="77777777" w:rsidTr="00BD4B3C">
        <w:trPr>
          <w:trHeight w:val="300"/>
        </w:trPr>
        <w:tc>
          <w:tcPr>
            <w:tcW w:w="960" w:type="dxa"/>
            <w:tcBorders>
              <w:top w:val="nil"/>
              <w:left w:val="nil"/>
              <w:bottom w:val="nil"/>
              <w:right w:val="nil"/>
            </w:tcBorders>
            <w:shd w:val="clear" w:color="000000" w:fill="FFFFFF"/>
            <w:noWrap/>
            <w:vAlign w:val="bottom"/>
            <w:hideMark/>
          </w:tcPr>
          <w:p w14:paraId="0800C89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211C9EA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61FE426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98.7</w:t>
            </w:r>
          </w:p>
        </w:tc>
      </w:tr>
      <w:tr w:rsidR="005D66CB" w:rsidRPr="00DE5DFC" w14:paraId="36DB5EE2" w14:textId="77777777" w:rsidTr="00BD4B3C">
        <w:trPr>
          <w:trHeight w:val="300"/>
        </w:trPr>
        <w:tc>
          <w:tcPr>
            <w:tcW w:w="960" w:type="dxa"/>
            <w:tcBorders>
              <w:top w:val="nil"/>
              <w:left w:val="nil"/>
              <w:bottom w:val="nil"/>
              <w:right w:val="nil"/>
            </w:tcBorders>
            <w:shd w:val="clear" w:color="000000" w:fill="FFFFFF"/>
            <w:noWrap/>
            <w:vAlign w:val="bottom"/>
            <w:hideMark/>
          </w:tcPr>
          <w:p w14:paraId="36992874"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2CB1BC7D"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3998D2C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98.3</w:t>
            </w:r>
          </w:p>
        </w:tc>
      </w:tr>
      <w:tr w:rsidR="005D66CB" w:rsidRPr="00DE5DFC" w14:paraId="39B70C50" w14:textId="77777777" w:rsidTr="00BD4B3C">
        <w:trPr>
          <w:trHeight w:val="300"/>
        </w:trPr>
        <w:tc>
          <w:tcPr>
            <w:tcW w:w="960" w:type="dxa"/>
            <w:tcBorders>
              <w:top w:val="nil"/>
              <w:left w:val="nil"/>
              <w:bottom w:val="nil"/>
              <w:right w:val="nil"/>
            </w:tcBorders>
            <w:shd w:val="clear" w:color="000000" w:fill="FFFFFF"/>
            <w:noWrap/>
            <w:vAlign w:val="bottom"/>
            <w:hideMark/>
          </w:tcPr>
          <w:p w14:paraId="18D3D33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115B2AB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718295B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96.2</w:t>
            </w:r>
          </w:p>
        </w:tc>
      </w:tr>
      <w:tr w:rsidR="005D66CB" w:rsidRPr="00DE5DFC" w14:paraId="6BD9795F" w14:textId="77777777" w:rsidTr="00BD4B3C">
        <w:trPr>
          <w:trHeight w:val="300"/>
        </w:trPr>
        <w:tc>
          <w:tcPr>
            <w:tcW w:w="960" w:type="dxa"/>
            <w:tcBorders>
              <w:top w:val="nil"/>
              <w:left w:val="nil"/>
              <w:bottom w:val="dotted" w:sz="4" w:space="0" w:color="auto"/>
              <w:right w:val="nil"/>
            </w:tcBorders>
            <w:shd w:val="clear" w:color="000000" w:fill="F2F2F2"/>
            <w:noWrap/>
            <w:vAlign w:val="bottom"/>
            <w:hideMark/>
          </w:tcPr>
          <w:p w14:paraId="3E6029C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dotted" w:sz="4" w:space="0" w:color="auto"/>
              <w:right w:val="nil"/>
            </w:tcBorders>
            <w:shd w:val="clear" w:color="000000" w:fill="F2F2F2"/>
            <w:noWrap/>
            <w:vAlign w:val="bottom"/>
            <w:hideMark/>
          </w:tcPr>
          <w:p w14:paraId="0A2EE95F"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dotted" w:sz="4" w:space="0" w:color="auto"/>
              <w:right w:val="nil"/>
            </w:tcBorders>
            <w:shd w:val="clear" w:color="000000" w:fill="F2F2F2"/>
            <w:noWrap/>
            <w:vAlign w:val="bottom"/>
            <w:hideMark/>
          </w:tcPr>
          <w:p w14:paraId="44BB9896"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98.1</w:t>
            </w:r>
          </w:p>
        </w:tc>
      </w:tr>
      <w:tr w:rsidR="005D66CB" w:rsidRPr="00DE5DFC" w14:paraId="42D7A4A1" w14:textId="77777777" w:rsidTr="00BD4B3C">
        <w:trPr>
          <w:trHeight w:val="300"/>
        </w:trPr>
        <w:tc>
          <w:tcPr>
            <w:tcW w:w="960" w:type="dxa"/>
            <w:tcBorders>
              <w:top w:val="nil"/>
              <w:left w:val="nil"/>
              <w:bottom w:val="nil"/>
              <w:right w:val="nil"/>
            </w:tcBorders>
            <w:shd w:val="clear" w:color="000000" w:fill="FFFFFF"/>
            <w:noWrap/>
            <w:vAlign w:val="bottom"/>
            <w:hideMark/>
          </w:tcPr>
          <w:p w14:paraId="11122B4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OSL6</w:t>
            </w:r>
          </w:p>
        </w:tc>
        <w:tc>
          <w:tcPr>
            <w:tcW w:w="1300" w:type="dxa"/>
            <w:tcBorders>
              <w:top w:val="nil"/>
              <w:left w:val="nil"/>
              <w:bottom w:val="nil"/>
              <w:right w:val="nil"/>
            </w:tcBorders>
            <w:shd w:val="clear" w:color="000000" w:fill="FFFFFF"/>
            <w:noWrap/>
            <w:vAlign w:val="bottom"/>
            <w:hideMark/>
          </w:tcPr>
          <w:p w14:paraId="0112D65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4AB5FDD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97.4</w:t>
            </w:r>
          </w:p>
        </w:tc>
      </w:tr>
      <w:tr w:rsidR="005D66CB" w:rsidRPr="00DE5DFC" w14:paraId="44B25249" w14:textId="77777777" w:rsidTr="00BD4B3C">
        <w:trPr>
          <w:trHeight w:val="300"/>
        </w:trPr>
        <w:tc>
          <w:tcPr>
            <w:tcW w:w="960" w:type="dxa"/>
            <w:tcBorders>
              <w:top w:val="nil"/>
              <w:left w:val="nil"/>
              <w:bottom w:val="nil"/>
              <w:right w:val="nil"/>
            </w:tcBorders>
            <w:shd w:val="clear" w:color="000000" w:fill="FFFFFF"/>
            <w:noWrap/>
            <w:vAlign w:val="bottom"/>
            <w:hideMark/>
          </w:tcPr>
          <w:p w14:paraId="65D3880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7F16890C"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1E94920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99.7</w:t>
            </w:r>
          </w:p>
        </w:tc>
      </w:tr>
      <w:tr w:rsidR="005D66CB" w:rsidRPr="00DE5DFC" w14:paraId="00B2E021" w14:textId="77777777" w:rsidTr="00BD4B3C">
        <w:trPr>
          <w:trHeight w:val="300"/>
        </w:trPr>
        <w:tc>
          <w:tcPr>
            <w:tcW w:w="960" w:type="dxa"/>
            <w:tcBorders>
              <w:top w:val="nil"/>
              <w:left w:val="nil"/>
              <w:bottom w:val="nil"/>
              <w:right w:val="nil"/>
            </w:tcBorders>
            <w:shd w:val="clear" w:color="000000" w:fill="FFFFFF"/>
            <w:noWrap/>
            <w:vAlign w:val="bottom"/>
            <w:hideMark/>
          </w:tcPr>
          <w:p w14:paraId="080B822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3C8CDE8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034171A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97.3</w:t>
            </w:r>
          </w:p>
        </w:tc>
      </w:tr>
      <w:tr w:rsidR="005D66CB" w:rsidRPr="00DE5DFC" w14:paraId="759ED843" w14:textId="77777777" w:rsidTr="00BD4B3C">
        <w:trPr>
          <w:trHeight w:val="300"/>
        </w:trPr>
        <w:tc>
          <w:tcPr>
            <w:tcW w:w="960" w:type="dxa"/>
            <w:tcBorders>
              <w:top w:val="nil"/>
              <w:left w:val="nil"/>
              <w:bottom w:val="nil"/>
              <w:right w:val="nil"/>
            </w:tcBorders>
            <w:shd w:val="clear" w:color="000000" w:fill="FFFFFF"/>
            <w:noWrap/>
            <w:vAlign w:val="bottom"/>
            <w:hideMark/>
          </w:tcPr>
          <w:p w14:paraId="694D0324"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4A7E72E9"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700B1E8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99.3</w:t>
            </w:r>
          </w:p>
        </w:tc>
      </w:tr>
      <w:tr w:rsidR="005D66CB" w:rsidRPr="00DE5DFC" w14:paraId="169E1CD3" w14:textId="77777777" w:rsidTr="00BD4B3C">
        <w:trPr>
          <w:trHeight w:val="300"/>
        </w:trPr>
        <w:tc>
          <w:tcPr>
            <w:tcW w:w="960" w:type="dxa"/>
            <w:tcBorders>
              <w:top w:val="nil"/>
              <w:left w:val="nil"/>
              <w:bottom w:val="nil"/>
              <w:right w:val="nil"/>
            </w:tcBorders>
            <w:shd w:val="clear" w:color="000000" w:fill="FFFFFF"/>
            <w:noWrap/>
            <w:vAlign w:val="bottom"/>
            <w:hideMark/>
          </w:tcPr>
          <w:p w14:paraId="69DB7D9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246E28C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311F3E19"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100.0</w:t>
            </w:r>
          </w:p>
        </w:tc>
      </w:tr>
      <w:tr w:rsidR="005D66CB" w:rsidRPr="00DE5DFC" w14:paraId="6FC4F309" w14:textId="77777777" w:rsidTr="00BD4B3C">
        <w:trPr>
          <w:trHeight w:val="300"/>
        </w:trPr>
        <w:tc>
          <w:tcPr>
            <w:tcW w:w="960" w:type="dxa"/>
            <w:tcBorders>
              <w:top w:val="nil"/>
              <w:left w:val="nil"/>
              <w:bottom w:val="dotted" w:sz="4" w:space="0" w:color="auto"/>
              <w:right w:val="nil"/>
            </w:tcBorders>
            <w:shd w:val="clear" w:color="000000" w:fill="F2F2F2"/>
            <w:noWrap/>
            <w:vAlign w:val="bottom"/>
            <w:hideMark/>
          </w:tcPr>
          <w:p w14:paraId="4AC4990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dotted" w:sz="4" w:space="0" w:color="auto"/>
              <w:right w:val="nil"/>
            </w:tcBorders>
            <w:shd w:val="clear" w:color="000000" w:fill="F2F2F2"/>
            <w:noWrap/>
            <w:vAlign w:val="bottom"/>
            <w:hideMark/>
          </w:tcPr>
          <w:p w14:paraId="732F7B3B"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dotted" w:sz="4" w:space="0" w:color="auto"/>
              <w:right w:val="nil"/>
            </w:tcBorders>
            <w:shd w:val="clear" w:color="000000" w:fill="F2F2F2"/>
            <w:noWrap/>
            <w:vAlign w:val="bottom"/>
            <w:hideMark/>
          </w:tcPr>
          <w:p w14:paraId="7F977087"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98.7</w:t>
            </w:r>
          </w:p>
        </w:tc>
      </w:tr>
      <w:tr w:rsidR="005D66CB" w:rsidRPr="00DE5DFC" w14:paraId="2D0BCE79" w14:textId="77777777" w:rsidTr="00BD4B3C">
        <w:trPr>
          <w:trHeight w:val="300"/>
        </w:trPr>
        <w:tc>
          <w:tcPr>
            <w:tcW w:w="960" w:type="dxa"/>
            <w:tcBorders>
              <w:top w:val="nil"/>
              <w:left w:val="nil"/>
              <w:bottom w:val="nil"/>
              <w:right w:val="nil"/>
            </w:tcBorders>
            <w:shd w:val="clear" w:color="000000" w:fill="FFFFFF"/>
            <w:noWrap/>
            <w:vAlign w:val="bottom"/>
            <w:hideMark/>
          </w:tcPr>
          <w:p w14:paraId="71AC942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OSL7</w:t>
            </w:r>
          </w:p>
        </w:tc>
        <w:tc>
          <w:tcPr>
            <w:tcW w:w="1300" w:type="dxa"/>
            <w:tcBorders>
              <w:top w:val="nil"/>
              <w:left w:val="nil"/>
              <w:bottom w:val="nil"/>
              <w:right w:val="nil"/>
            </w:tcBorders>
            <w:shd w:val="clear" w:color="000000" w:fill="FFFFFF"/>
            <w:noWrap/>
            <w:vAlign w:val="bottom"/>
            <w:hideMark/>
          </w:tcPr>
          <w:p w14:paraId="04BDA8E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7B05EAC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98.8</w:t>
            </w:r>
          </w:p>
        </w:tc>
      </w:tr>
      <w:tr w:rsidR="005D66CB" w:rsidRPr="00DE5DFC" w14:paraId="44278A69" w14:textId="77777777" w:rsidTr="00BD4B3C">
        <w:trPr>
          <w:trHeight w:val="300"/>
        </w:trPr>
        <w:tc>
          <w:tcPr>
            <w:tcW w:w="960" w:type="dxa"/>
            <w:tcBorders>
              <w:top w:val="nil"/>
              <w:left w:val="nil"/>
              <w:bottom w:val="nil"/>
              <w:right w:val="nil"/>
            </w:tcBorders>
            <w:shd w:val="clear" w:color="000000" w:fill="FFFFFF"/>
            <w:noWrap/>
            <w:vAlign w:val="bottom"/>
            <w:hideMark/>
          </w:tcPr>
          <w:p w14:paraId="38FCC23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3B36BA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2536D8C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99.2</w:t>
            </w:r>
          </w:p>
        </w:tc>
      </w:tr>
      <w:tr w:rsidR="005D66CB" w:rsidRPr="00DE5DFC" w14:paraId="20AED723" w14:textId="77777777" w:rsidTr="00BD4B3C">
        <w:trPr>
          <w:trHeight w:val="300"/>
        </w:trPr>
        <w:tc>
          <w:tcPr>
            <w:tcW w:w="960" w:type="dxa"/>
            <w:tcBorders>
              <w:top w:val="nil"/>
              <w:left w:val="nil"/>
              <w:bottom w:val="nil"/>
              <w:right w:val="nil"/>
            </w:tcBorders>
            <w:shd w:val="clear" w:color="000000" w:fill="FFFFFF"/>
            <w:noWrap/>
            <w:vAlign w:val="bottom"/>
            <w:hideMark/>
          </w:tcPr>
          <w:p w14:paraId="3BF5AD7F"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B0DA25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3519250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99.3</w:t>
            </w:r>
          </w:p>
        </w:tc>
      </w:tr>
      <w:tr w:rsidR="005D66CB" w:rsidRPr="00DE5DFC" w14:paraId="66523795" w14:textId="77777777" w:rsidTr="00BD4B3C">
        <w:trPr>
          <w:trHeight w:val="300"/>
        </w:trPr>
        <w:tc>
          <w:tcPr>
            <w:tcW w:w="960" w:type="dxa"/>
            <w:tcBorders>
              <w:top w:val="nil"/>
              <w:left w:val="nil"/>
              <w:bottom w:val="nil"/>
              <w:right w:val="nil"/>
            </w:tcBorders>
            <w:shd w:val="clear" w:color="000000" w:fill="FFFFFF"/>
            <w:noWrap/>
            <w:vAlign w:val="bottom"/>
            <w:hideMark/>
          </w:tcPr>
          <w:p w14:paraId="6E801FC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444FC26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42E1AA6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99.3</w:t>
            </w:r>
          </w:p>
        </w:tc>
      </w:tr>
      <w:tr w:rsidR="005D66CB" w:rsidRPr="00DE5DFC" w14:paraId="27FF6C2B" w14:textId="77777777" w:rsidTr="00BD4B3C">
        <w:trPr>
          <w:trHeight w:val="300"/>
        </w:trPr>
        <w:tc>
          <w:tcPr>
            <w:tcW w:w="960" w:type="dxa"/>
            <w:tcBorders>
              <w:top w:val="nil"/>
              <w:left w:val="nil"/>
              <w:bottom w:val="nil"/>
              <w:right w:val="nil"/>
            </w:tcBorders>
            <w:shd w:val="clear" w:color="000000" w:fill="FFFFFF"/>
            <w:noWrap/>
            <w:vAlign w:val="bottom"/>
            <w:hideMark/>
          </w:tcPr>
          <w:p w14:paraId="7B2B41F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458F989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30DCF71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97.4</w:t>
            </w:r>
          </w:p>
        </w:tc>
      </w:tr>
      <w:tr w:rsidR="005D66CB" w:rsidRPr="00DE5DFC" w14:paraId="6892AE10" w14:textId="77777777" w:rsidTr="00BD4B3C">
        <w:trPr>
          <w:trHeight w:val="300"/>
        </w:trPr>
        <w:tc>
          <w:tcPr>
            <w:tcW w:w="960" w:type="dxa"/>
            <w:tcBorders>
              <w:top w:val="nil"/>
              <w:left w:val="nil"/>
              <w:bottom w:val="dotted" w:sz="4" w:space="0" w:color="auto"/>
              <w:right w:val="nil"/>
            </w:tcBorders>
            <w:shd w:val="clear" w:color="000000" w:fill="F2F2F2"/>
            <w:noWrap/>
            <w:vAlign w:val="bottom"/>
            <w:hideMark/>
          </w:tcPr>
          <w:p w14:paraId="0CE5866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dotted" w:sz="4" w:space="0" w:color="auto"/>
              <w:right w:val="nil"/>
            </w:tcBorders>
            <w:shd w:val="clear" w:color="000000" w:fill="F2F2F2"/>
            <w:noWrap/>
            <w:vAlign w:val="bottom"/>
            <w:hideMark/>
          </w:tcPr>
          <w:p w14:paraId="5C624D59"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dotted" w:sz="4" w:space="0" w:color="auto"/>
              <w:right w:val="nil"/>
            </w:tcBorders>
            <w:shd w:val="clear" w:color="000000" w:fill="F2F2F2"/>
            <w:noWrap/>
            <w:vAlign w:val="bottom"/>
            <w:hideMark/>
          </w:tcPr>
          <w:p w14:paraId="423E3C0E"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98.8</w:t>
            </w:r>
          </w:p>
        </w:tc>
      </w:tr>
      <w:tr w:rsidR="005D66CB" w:rsidRPr="00DE5DFC" w14:paraId="43B63F3D" w14:textId="77777777" w:rsidTr="00BD4B3C">
        <w:trPr>
          <w:trHeight w:val="300"/>
        </w:trPr>
        <w:tc>
          <w:tcPr>
            <w:tcW w:w="960" w:type="dxa"/>
            <w:tcBorders>
              <w:top w:val="nil"/>
              <w:left w:val="nil"/>
              <w:bottom w:val="nil"/>
              <w:right w:val="nil"/>
            </w:tcBorders>
            <w:shd w:val="clear" w:color="000000" w:fill="FFFFFF"/>
            <w:noWrap/>
            <w:vAlign w:val="bottom"/>
            <w:hideMark/>
          </w:tcPr>
          <w:p w14:paraId="5E2C98D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OSL8</w:t>
            </w:r>
          </w:p>
        </w:tc>
        <w:tc>
          <w:tcPr>
            <w:tcW w:w="1300" w:type="dxa"/>
            <w:tcBorders>
              <w:top w:val="nil"/>
              <w:left w:val="nil"/>
              <w:bottom w:val="nil"/>
              <w:right w:val="nil"/>
            </w:tcBorders>
            <w:shd w:val="clear" w:color="000000" w:fill="FFFFFF"/>
            <w:noWrap/>
            <w:vAlign w:val="bottom"/>
            <w:hideMark/>
          </w:tcPr>
          <w:p w14:paraId="6FF15C8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1978A09C"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98.4</w:t>
            </w:r>
          </w:p>
        </w:tc>
      </w:tr>
      <w:tr w:rsidR="005D66CB" w:rsidRPr="00DE5DFC" w14:paraId="33CCAE55" w14:textId="77777777" w:rsidTr="00BD4B3C">
        <w:trPr>
          <w:trHeight w:val="300"/>
        </w:trPr>
        <w:tc>
          <w:tcPr>
            <w:tcW w:w="960" w:type="dxa"/>
            <w:tcBorders>
              <w:top w:val="nil"/>
              <w:left w:val="nil"/>
              <w:bottom w:val="nil"/>
              <w:right w:val="nil"/>
            </w:tcBorders>
            <w:shd w:val="clear" w:color="000000" w:fill="FFFFFF"/>
            <w:noWrap/>
            <w:vAlign w:val="bottom"/>
            <w:hideMark/>
          </w:tcPr>
          <w:p w14:paraId="41A4D45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6B72C48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2CEA4E5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98.8</w:t>
            </w:r>
          </w:p>
        </w:tc>
      </w:tr>
      <w:tr w:rsidR="005D66CB" w:rsidRPr="00DE5DFC" w14:paraId="108C7A68" w14:textId="77777777" w:rsidTr="00BD4B3C">
        <w:trPr>
          <w:trHeight w:val="300"/>
        </w:trPr>
        <w:tc>
          <w:tcPr>
            <w:tcW w:w="960" w:type="dxa"/>
            <w:tcBorders>
              <w:top w:val="nil"/>
              <w:left w:val="nil"/>
              <w:bottom w:val="nil"/>
              <w:right w:val="nil"/>
            </w:tcBorders>
            <w:shd w:val="clear" w:color="000000" w:fill="FFFFFF"/>
            <w:noWrap/>
            <w:vAlign w:val="bottom"/>
            <w:hideMark/>
          </w:tcPr>
          <w:p w14:paraId="4E48D25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ABA16D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300A272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99.4</w:t>
            </w:r>
          </w:p>
        </w:tc>
      </w:tr>
      <w:tr w:rsidR="005D66CB" w:rsidRPr="00DE5DFC" w14:paraId="0EB0499B" w14:textId="77777777" w:rsidTr="00BD4B3C">
        <w:trPr>
          <w:trHeight w:val="300"/>
        </w:trPr>
        <w:tc>
          <w:tcPr>
            <w:tcW w:w="960" w:type="dxa"/>
            <w:tcBorders>
              <w:top w:val="nil"/>
              <w:left w:val="nil"/>
              <w:bottom w:val="nil"/>
              <w:right w:val="nil"/>
            </w:tcBorders>
            <w:shd w:val="clear" w:color="000000" w:fill="FFFFFF"/>
            <w:noWrap/>
            <w:vAlign w:val="bottom"/>
            <w:hideMark/>
          </w:tcPr>
          <w:p w14:paraId="7840919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601E3554"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01F0D1E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97.1</w:t>
            </w:r>
          </w:p>
        </w:tc>
      </w:tr>
      <w:tr w:rsidR="005D66CB" w:rsidRPr="00DE5DFC" w14:paraId="0E176415" w14:textId="77777777" w:rsidTr="00BD4B3C">
        <w:trPr>
          <w:trHeight w:val="300"/>
        </w:trPr>
        <w:tc>
          <w:tcPr>
            <w:tcW w:w="960" w:type="dxa"/>
            <w:tcBorders>
              <w:top w:val="nil"/>
              <w:left w:val="nil"/>
              <w:bottom w:val="nil"/>
              <w:right w:val="nil"/>
            </w:tcBorders>
            <w:shd w:val="clear" w:color="000000" w:fill="FFFFFF"/>
            <w:noWrap/>
            <w:vAlign w:val="bottom"/>
            <w:hideMark/>
          </w:tcPr>
          <w:p w14:paraId="1C0480E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73D0D96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2E304D6F"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94.4</w:t>
            </w:r>
          </w:p>
        </w:tc>
      </w:tr>
      <w:tr w:rsidR="005D66CB" w:rsidRPr="00DE5DFC" w14:paraId="549F0BDB" w14:textId="77777777" w:rsidTr="00BD4B3C">
        <w:trPr>
          <w:trHeight w:val="300"/>
        </w:trPr>
        <w:tc>
          <w:tcPr>
            <w:tcW w:w="960" w:type="dxa"/>
            <w:tcBorders>
              <w:top w:val="nil"/>
              <w:left w:val="nil"/>
              <w:bottom w:val="dotted" w:sz="4" w:space="0" w:color="auto"/>
              <w:right w:val="nil"/>
            </w:tcBorders>
            <w:shd w:val="clear" w:color="000000" w:fill="F2F2F2"/>
            <w:noWrap/>
            <w:vAlign w:val="bottom"/>
            <w:hideMark/>
          </w:tcPr>
          <w:p w14:paraId="32673B6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dotted" w:sz="4" w:space="0" w:color="auto"/>
              <w:right w:val="nil"/>
            </w:tcBorders>
            <w:shd w:val="clear" w:color="000000" w:fill="F2F2F2"/>
            <w:noWrap/>
            <w:vAlign w:val="bottom"/>
            <w:hideMark/>
          </w:tcPr>
          <w:p w14:paraId="3D5F3DC8"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dotted" w:sz="4" w:space="0" w:color="auto"/>
              <w:right w:val="nil"/>
            </w:tcBorders>
            <w:shd w:val="clear" w:color="000000" w:fill="F2F2F2"/>
            <w:noWrap/>
            <w:vAlign w:val="bottom"/>
            <w:hideMark/>
          </w:tcPr>
          <w:p w14:paraId="09D1E731"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97.6</w:t>
            </w:r>
          </w:p>
        </w:tc>
      </w:tr>
      <w:tr w:rsidR="005D66CB" w:rsidRPr="00DE5DFC" w14:paraId="348719CE" w14:textId="77777777" w:rsidTr="00BD4B3C">
        <w:trPr>
          <w:trHeight w:val="300"/>
        </w:trPr>
        <w:tc>
          <w:tcPr>
            <w:tcW w:w="960" w:type="dxa"/>
            <w:tcBorders>
              <w:top w:val="nil"/>
              <w:left w:val="nil"/>
              <w:bottom w:val="nil"/>
              <w:right w:val="nil"/>
            </w:tcBorders>
            <w:shd w:val="clear" w:color="000000" w:fill="FFFFFF"/>
            <w:noWrap/>
            <w:vAlign w:val="bottom"/>
            <w:hideMark/>
          </w:tcPr>
          <w:p w14:paraId="7496AE3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OSL9</w:t>
            </w:r>
          </w:p>
        </w:tc>
        <w:tc>
          <w:tcPr>
            <w:tcW w:w="1300" w:type="dxa"/>
            <w:tcBorders>
              <w:top w:val="nil"/>
              <w:left w:val="nil"/>
              <w:bottom w:val="nil"/>
              <w:right w:val="nil"/>
            </w:tcBorders>
            <w:shd w:val="clear" w:color="000000" w:fill="FFFFFF"/>
            <w:noWrap/>
            <w:vAlign w:val="bottom"/>
            <w:hideMark/>
          </w:tcPr>
          <w:p w14:paraId="53A6762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340EBD7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91.4</w:t>
            </w:r>
          </w:p>
        </w:tc>
      </w:tr>
      <w:tr w:rsidR="005D66CB" w:rsidRPr="00DE5DFC" w14:paraId="2E6757C2" w14:textId="77777777" w:rsidTr="00BD4B3C">
        <w:trPr>
          <w:trHeight w:val="300"/>
        </w:trPr>
        <w:tc>
          <w:tcPr>
            <w:tcW w:w="960" w:type="dxa"/>
            <w:tcBorders>
              <w:top w:val="nil"/>
              <w:left w:val="nil"/>
              <w:bottom w:val="nil"/>
              <w:right w:val="nil"/>
            </w:tcBorders>
            <w:shd w:val="clear" w:color="000000" w:fill="FFFFFF"/>
            <w:noWrap/>
            <w:vAlign w:val="bottom"/>
            <w:hideMark/>
          </w:tcPr>
          <w:p w14:paraId="3DF5C7A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18FA41D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53BDAB74"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91.6</w:t>
            </w:r>
          </w:p>
        </w:tc>
      </w:tr>
      <w:tr w:rsidR="005D66CB" w:rsidRPr="00DE5DFC" w14:paraId="602C65BF" w14:textId="77777777" w:rsidTr="00BD4B3C">
        <w:trPr>
          <w:trHeight w:val="300"/>
        </w:trPr>
        <w:tc>
          <w:tcPr>
            <w:tcW w:w="960" w:type="dxa"/>
            <w:tcBorders>
              <w:top w:val="nil"/>
              <w:left w:val="nil"/>
              <w:bottom w:val="nil"/>
              <w:right w:val="nil"/>
            </w:tcBorders>
            <w:shd w:val="clear" w:color="000000" w:fill="FFFFFF"/>
            <w:noWrap/>
            <w:vAlign w:val="bottom"/>
            <w:hideMark/>
          </w:tcPr>
          <w:p w14:paraId="4D9E866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59781A6"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3055A1C9"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87.0</w:t>
            </w:r>
          </w:p>
        </w:tc>
      </w:tr>
      <w:tr w:rsidR="005D66CB" w:rsidRPr="00DE5DFC" w14:paraId="40772AF9" w14:textId="77777777" w:rsidTr="00BD4B3C">
        <w:trPr>
          <w:trHeight w:val="300"/>
        </w:trPr>
        <w:tc>
          <w:tcPr>
            <w:tcW w:w="960" w:type="dxa"/>
            <w:tcBorders>
              <w:top w:val="nil"/>
              <w:left w:val="nil"/>
              <w:bottom w:val="nil"/>
              <w:right w:val="nil"/>
            </w:tcBorders>
            <w:shd w:val="clear" w:color="000000" w:fill="FFFFFF"/>
            <w:noWrap/>
            <w:vAlign w:val="bottom"/>
            <w:hideMark/>
          </w:tcPr>
          <w:p w14:paraId="2248466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49C1941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225C0D4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87.0</w:t>
            </w:r>
          </w:p>
        </w:tc>
      </w:tr>
      <w:tr w:rsidR="005D66CB" w:rsidRPr="00DE5DFC" w14:paraId="14E98541" w14:textId="77777777" w:rsidTr="00BD4B3C">
        <w:trPr>
          <w:trHeight w:val="300"/>
        </w:trPr>
        <w:tc>
          <w:tcPr>
            <w:tcW w:w="960" w:type="dxa"/>
            <w:tcBorders>
              <w:top w:val="nil"/>
              <w:left w:val="nil"/>
              <w:bottom w:val="nil"/>
              <w:right w:val="nil"/>
            </w:tcBorders>
            <w:shd w:val="clear" w:color="000000" w:fill="FFFFFF"/>
            <w:noWrap/>
            <w:vAlign w:val="bottom"/>
            <w:hideMark/>
          </w:tcPr>
          <w:p w14:paraId="36B870C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CCBE98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15CA81FD"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89.3</w:t>
            </w:r>
          </w:p>
        </w:tc>
      </w:tr>
      <w:tr w:rsidR="005D66CB" w:rsidRPr="00DE5DFC" w14:paraId="2A290B07" w14:textId="77777777" w:rsidTr="00BD4B3C">
        <w:trPr>
          <w:trHeight w:val="300"/>
        </w:trPr>
        <w:tc>
          <w:tcPr>
            <w:tcW w:w="960" w:type="dxa"/>
            <w:tcBorders>
              <w:top w:val="nil"/>
              <w:left w:val="nil"/>
              <w:bottom w:val="nil"/>
              <w:right w:val="nil"/>
            </w:tcBorders>
            <w:shd w:val="clear" w:color="000000" w:fill="FFFFFF"/>
            <w:noWrap/>
            <w:vAlign w:val="bottom"/>
            <w:hideMark/>
          </w:tcPr>
          <w:p w14:paraId="5DA9C6E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53FB5C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6</w:t>
            </w:r>
          </w:p>
        </w:tc>
        <w:tc>
          <w:tcPr>
            <w:tcW w:w="4140" w:type="dxa"/>
            <w:tcBorders>
              <w:top w:val="nil"/>
              <w:left w:val="nil"/>
              <w:bottom w:val="nil"/>
              <w:right w:val="nil"/>
            </w:tcBorders>
            <w:shd w:val="clear" w:color="000000" w:fill="FFFFFF"/>
            <w:noWrap/>
            <w:vAlign w:val="bottom"/>
            <w:hideMark/>
          </w:tcPr>
          <w:p w14:paraId="082C64F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93.0</w:t>
            </w:r>
          </w:p>
        </w:tc>
      </w:tr>
      <w:tr w:rsidR="005D66CB" w:rsidRPr="00DE5DFC" w14:paraId="6A2D6D5E" w14:textId="77777777" w:rsidTr="00BD4B3C">
        <w:trPr>
          <w:trHeight w:val="300"/>
        </w:trPr>
        <w:tc>
          <w:tcPr>
            <w:tcW w:w="960" w:type="dxa"/>
            <w:tcBorders>
              <w:top w:val="nil"/>
              <w:left w:val="nil"/>
              <w:bottom w:val="nil"/>
              <w:right w:val="nil"/>
            </w:tcBorders>
            <w:shd w:val="clear" w:color="000000" w:fill="FFFFFF"/>
            <w:noWrap/>
            <w:vAlign w:val="bottom"/>
            <w:hideMark/>
          </w:tcPr>
          <w:p w14:paraId="0398DC1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1A40425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7</w:t>
            </w:r>
          </w:p>
        </w:tc>
        <w:tc>
          <w:tcPr>
            <w:tcW w:w="4140" w:type="dxa"/>
            <w:tcBorders>
              <w:top w:val="nil"/>
              <w:left w:val="nil"/>
              <w:bottom w:val="nil"/>
              <w:right w:val="nil"/>
            </w:tcBorders>
            <w:shd w:val="clear" w:color="000000" w:fill="FFFFFF"/>
            <w:noWrap/>
            <w:vAlign w:val="bottom"/>
            <w:hideMark/>
          </w:tcPr>
          <w:p w14:paraId="2E3CB66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91.2</w:t>
            </w:r>
          </w:p>
        </w:tc>
      </w:tr>
      <w:tr w:rsidR="005D66CB" w:rsidRPr="00DE5DFC" w14:paraId="5BB239B8" w14:textId="77777777" w:rsidTr="00BD4B3C">
        <w:trPr>
          <w:trHeight w:val="300"/>
        </w:trPr>
        <w:tc>
          <w:tcPr>
            <w:tcW w:w="960" w:type="dxa"/>
            <w:tcBorders>
              <w:top w:val="nil"/>
              <w:left w:val="nil"/>
              <w:bottom w:val="nil"/>
              <w:right w:val="nil"/>
            </w:tcBorders>
            <w:shd w:val="clear" w:color="000000" w:fill="FFFFFF"/>
            <w:noWrap/>
            <w:vAlign w:val="bottom"/>
            <w:hideMark/>
          </w:tcPr>
          <w:p w14:paraId="6BC9AFF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336FE055"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w:t>
            </w:r>
          </w:p>
        </w:tc>
        <w:tc>
          <w:tcPr>
            <w:tcW w:w="4140" w:type="dxa"/>
            <w:tcBorders>
              <w:top w:val="nil"/>
              <w:left w:val="nil"/>
              <w:bottom w:val="nil"/>
              <w:right w:val="nil"/>
            </w:tcBorders>
            <w:shd w:val="clear" w:color="000000" w:fill="FFFFFF"/>
            <w:noWrap/>
            <w:vAlign w:val="bottom"/>
            <w:hideMark/>
          </w:tcPr>
          <w:p w14:paraId="65FDFBD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86.7</w:t>
            </w:r>
          </w:p>
        </w:tc>
      </w:tr>
      <w:tr w:rsidR="005D66CB" w:rsidRPr="00DE5DFC" w14:paraId="6EE242FC" w14:textId="77777777" w:rsidTr="00BD4B3C">
        <w:trPr>
          <w:trHeight w:val="300"/>
        </w:trPr>
        <w:tc>
          <w:tcPr>
            <w:tcW w:w="960" w:type="dxa"/>
            <w:tcBorders>
              <w:top w:val="nil"/>
              <w:left w:val="nil"/>
              <w:bottom w:val="nil"/>
              <w:right w:val="nil"/>
            </w:tcBorders>
            <w:shd w:val="clear" w:color="000000" w:fill="FFFFFF"/>
            <w:noWrap/>
            <w:vAlign w:val="bottom"/>
            <w:hideMark/>
          </w:tcPr>
          <w:p w14:paraId="5F5D3BE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16D01AFC"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w:t>
            </w:r>
          </w:p>
        </w:tc>
        <w:tc>
          <w:tcPr>
            <w:tcW w:w="4140" w:type="dxa"/>
            <w:tcBorders>
              <w:top w:val="nil"/>
              <w:left w:val="nil"/>
              <w:bottom w:val="nil"/>
              <w:right w:val="nil"/>
            </w:tcBorders>
            <w:shd w:val="clear" w:color="000000" w:fill="FFFFFF"/>
            <w:noWrap/>
            <w:vAlign w:val="bottom"/>
            <w:hideMark/>
          </w:tcPr>
          <w:p w14:paraId="48A7F80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100.0</w:t>
            </w:r>
          </w:p>
        </w:tc>
      </w:tr>
      <w:tr w:rsidR="005D66CB" w:rsidRPr="00DE5DFC" w14:paraId="5630A69C" w14:textId="77777777" w:rsidTr="00BD4B3C">
        <w:trPr>
          <w:trHeight w:val="300"/>
        </w:trPr>
        <w:tc>
          <w:tcPr>
            <w:tcW w:w="960" w:type="dxa"/>
            <w:tcBorders>
              <w:top w:val="nil"/>
              <w:left w:val="nil"/>
              <w:bottom w:val="dotted" w:sz="4" w:space="0" w:color="auto"/>
              <w:right w:val="nil"/>
            </w:tcBorders>
            <w:shd w:val="clear" w:color="000000" w:fill="F2F2F2"/>
            <w:noWrap/>
            <w:vAlign w:val="bottom"/>
            <w:hideMark/>
          </w:tcPr>
          <w:p w14:paraId="7930AAB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dotted" w:sz="4" w:space="0" w:color="auto"/>
              <w:right w:val="nil"/>
            </w:tcBorders>
            <w:shd w:val="clear" w:color="000000" w:fill="F2F2F2"/>
            <w:noWrap/>
            <w:vAlign w:val="bottom"/>
            <w:hideMark/>
          </w:tcPr>
          <w:p w14:paraId="5B122158"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dotted" w:sz="4" w:space="0" w:color="auto"/>
              <w:right w:val="nil"/>
            </w:tcBorders>
            <w:shd w:val="clear" w:color="000000" w:fill="F2F2F2"/>
            <w:noWrap/>
            <w:vAlign w:val="bottom"/>
            <w:hideMark/>
          </w:tcPr>
          <w:p w14:paraId="61961857"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90.8</w:t>
            </w:r>
          </w:p>
        </w:tc>
      </w:tr>
      <w:tr w:rsidR="005D66CB" w:rsidRPr="00DE5DFC" w14:paraId="3F6B6EC0" w14:textId="77777777" w:rsidTr="00BD4B3C">
        <w:trPr>
          <w:trHeight w:val="300"/>
        </w:trPr>
        <w:tc>
          <w:tcPr>
            <w:tcW w:w="960" w:type="dxa"/>
            <w:tcBorders>
              <w:top w:val="nil"/>
              <w:left w:val="nil"/>
              <w:bottom w:val="nil"/>
              <w:right w:val="nil"/>
            </w:tcBorders>
            <w:shd w:val="clear" w:color="000000" w:fill="FFFFFF"/>
            <w:noWrap/>
            <w:vAlign w:val="bottom"/>
            <w:hideMark/>
          </w:tcPr>
          <w:p w14:paraId="237482D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OSL13</w:t>
            </w:r>
          </w:p>
        </w:tc>
        <w:tc>
          <w:tcPr>
            <w:tcW w:w="1300" w:type="dxa"/>
            <w:tcBorders>
              <w:top w:val="nil"/>
              <w:left w:val="nil"/>
              <w:bottom w:val="nil"/>
              <w:right w:val="nil"/>
            </w:tcBorders>
            <w:shd w:val="clear" w:color="000000" w:fill="FFFFFF"/>
            <w:noWrap/>
            <w:vAlign w:val="bottom"/>
            <w:hideMark/>
          </w:tcPr>
          <w:p w14:paraId="47CB6517"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1</w:t>
            </w:r>
          </w:p>
        </w:tc>
        <w:tc>
          <w:tcPr>
            <w:tcW w:w="4140" w:type="dxa"/>
            <w:tcBorders>
              <w:top w:val="nil"/>
              <w:left w:val="nil"/>
              <w:bottom w:val="nil"/>
              <w:right w:val="nil"/>
            </w:tcBorders>
            <w:shd w:val="clear" w:color="000000" w:fill="FFFFFF"/>
            <w:noWrap/>
            <w:vAlign w:val="bottom"/>
            <w:hideMark/>
          </w:tcPr>
          <w:p w14:paraId="60F2030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93.5</w:t>
            </w:r>
          </w:p>
        </w:tc>
      </w:tr>
      <w:tr w:rsidR="005D66CB" w:rsidRPr="00DE5DFC" w14:paraId="2C7876FF" w14:textId="77777777" w:rsidTr="00BD4B3C">
        <w:trPr>
          <w:trHeight w:val="300"/>
        </w:trPr>
        <w:tc>
          <w:tcPr>
            <w:tcW w:w="960" w:type="dxa"/>
            <w:tcBorders>
              <w:top w:val="nil"/>
              <w:left w:val="nil"/>
              <w:bottom w:val="nil"/>
              <w:right w:val="nil"/>
            </w:tcBorders>
            <w:shd w:val="clear" w:color="000000" w:fill="FFFFFF"/>
            <w:noWrap/>
            <w:vAlign w:val="bottom"/>
            <w:hideMark/>
          </w:tcPr>
          <w:p w14:paraId="1784869B"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522CAD64"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2</w:t>
            </w:r>
          </w:p>
        </w:tc>
        <w:tc>
          <w:tcPr>
            <w:tcW w:w="4140" w:type="dxa"/>
            <w:tcBorders>
              <w:top w:val="nil"/>
              <w:left w:val="nil"/>
              <w:bottom w:val="nil"/>
              <w:right w:val="nil"/>
            </w:tcBorders>
            <w:shd w:val="clear" w:color="000000" w:fill="FFFFFF"/>
            <w:noWrap/>
            <w:vAlign w:val="bottom"/>
            <w:hideMark/>
          </w:tcPr>
          <w:p w14:paraId="1704C14D"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95.6</w:t>
            </w:r>
          </w:p>
        </w:tc>
      </w:tr>
      <w:tr w:rsidR="005D66CB" w:rsidRPr="00DE5DFC" w14:paraId="083AF340" w14:textId="77777777" w:rsidTr="00BD4B3C">
        <w:trPr>
          <w:trHeight w:val="300"/>
        </w:trPr>
        <w:tc>
          <w:tcPr>
            <w:tcW w:w="960" w:type="dxa"/>
            <w:tcBorders>
              <w:top w:val="nil"/>
              <w:left w:val="nil"/>
              <w:bottom w:val="nil"/>
              <w:right w:val="nil"/>
            </w:tcBorders>
            <w:shd w:val="clear" w:color="000000" w:fill="FFFFFF"/>
            <w:noWrap/>
            <w:vAlign w:val="bottom"/>
            <w:hideMark/>
          </w:tcPr>
          <w:p w14:paraId="2479EE2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74B31082"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3</w:t>
            </w:r>
          </w:p>
        </w:tc>
        <w:tc>
          <w:tcPr>
            <w:tcW w:w="4140" w:type="dxa"/>
            <w:tcBorders>
              <w:top w:val="nil"/>
              <w:left w:val="nil"/>
              <w:bottom w:val="nil"/>
              <w:right w:val="nil"/>
            </w:tcBorders>
            <w:shd w:val="clear" w:color="000000" w:fill="FFFFFF"/>
            <w:noWrap/>
            <w:vAlign w:val="bottom"/>
            <w:hideMark/>
          </w:tcPr>
          <w:p w14:paraId="148D351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97.0</w:t>
            </w:r>
          </w:p>
        </w:tc>
      </w:tr>
      <w:tr w:rsidR="005D66CB" w:rsidRPr="00DE5DFC" w14:paraId="19EA8718" w14:textId="77777777" w:rsidTr="00BD4B3C">
        <w:trPr>
          <w:trHeight w:val="300"/>
        </w:trPr>
        <w:tc>
          <w:tcPr>
            <w:tcW w:w="960" w:type="dxa"/>
            <w:tcBorders>
              <w:top w:val="nil"/>
              <w:left w:val="nil"/>
              <w:bottom w:val="nil"/>
              <w:right w:val="nil"/>
            </w:tcBorders>
            <w:shd w:val="clear" w:color="000000" w:fill="FFFFFF"/>
            <w:noWrap/>
            <w:vAlign w:val="bottom"/>
            <w:hideMark/>
          </w:tcPr>
          <w:p w14:paraId="589298B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0AF8B238"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4</w:t>
            </w:r>
          </w:p>
        </w:tc>
        <w:tc>
          <w:tcPr>
            <w:tcW w:w="4140" w:type="dxa"/>
            <w:tcBorders>
              <w:top w:val="nil"/>
              <w:left w:val="nil"/>
              <w:bottom w:val="nil"/>
              <w:right w:val="nil"/>
            </w:tcBorders>
            <w:shd w:val="clear" w:color="000000" w:fill="FFFFFF"/>
            <w:noWrap/>
            <w:vAlign w:val="bottom"/>
            <w:hideMark/>
          </w:tcPr>
          <w:p w14:paraId="01D9C1C0"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89.7</w:t>
            </w:r>
          </w:p>
        </w:tc>
      </w:tr>
      <w:tr w:rsidR="005D66CB" w:rsidRPr="00DE5DFC" w14:paraId="031155F3" w14:textId="77777777" w:rsidTr="00BD4B3C">
        <w:trPr>
          <w:trHeight w:val="300"/>
        </w:trPr>
        <w:tc>
          <w:tcPr>
            <w:tcW w:w="960" w:type="dxa"/>
            <w:tcBorders>
              <w:top w:val="nil"/>
              <w:left w:val="nil"/>
              <w:bottom w:val="nil"/>
              <w:right w:val="nil"/>
            </w:tcBorders>
            <w:shd w:val="clear" w:color="000000" w:fill="FFFFFF"/>
            <w:noWrap/>
            <w:vAlign w:val="bottom"/>
            <w:hideMark/>
          </w:tcPr>
          <w:p w14:paraId="554D5ADE" w14:textId="77777777" w:rsidR="005D66CB" w:rsidRPr="00DE5DFC" w:rsidRDefault="005D66CB" w:rsidP="00BD4B3C">
            <w:pPr>
              <w:spacing w:after="0" w:line="240" w:lineRule="auto"/>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13A3DB81"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5</w:t>
            </w:r>
          </w:p>
        </w:tc>
        <w:tc>
          <w:tcPr>
            <w:tcW w:w="4140" w:type="dxa"/>
            <w:tcBorders>
              <w:top w:val="nil"/>
              <w:left w:val="nil"/>
              <w:bottom w:val="nil"/>
              <w:right w:val="nil"/>
            </w:tcBorders>
            <w:shd w:val="clear" w:color="000000" w:fill="FFFFFF"/>
            <w:noWrap/>
            <w:vAlign w:val="bottom"/>
            <w:hideMark/>
          </w:tcPr>
          <w:p w14:paraId="1028AA13"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94.2</w:t>
            </w:r>
          </w:p>
        </w:tc>
      </w:tr>
      <w:tr w:rsidR="005D66CB" w:rsidRPr="00DE5DFC" w14:paraId="4D85C374" w14:textId="77777777" w:rsidTr="00BD4B3C">
        <w:trPr>
          <w:trHeight w:val="300"/>
        </w:trPr>
        <w:tc>
          <w:tcPr>
            <w:tcW w:w="960" w:type="dxa"/>
            <w:tcBorders>
              <w:top w:val="nil"/>
              <w:left w:val="nil"/>
              <w:bottom w:val="nil"/>
              <w:right w:val="nil"/>
            </w:tcBorders>
            <w:shd w:val="clear" w:color="000000" w:fill="FFFFFF"/>
            <w:noWrap/>
            <w:vAlign w:val="bottom"/>
            <w:hideMark/>
          </w:tcPr>
          <w:p w14:paraId="4B1B03D9" w14:textId="77777777" w:rsidR="005D66CB" w:rsidRPr="00DE5DFC" w:rsidRDefault="005D66CB" w:rsidP="00BD4B3C">
            <w:pPr>
              <w:spacing w:after="0" w:line="240" w:lineRule="auto"/>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nil"/>
              <w:right w:val="nil"/>
            </w:tcBorders>
            <w:shd w:val="clear" w:color="000000" w:fill="FFFFFF"/>
            <w:noWrap/>
            <w:vAlign w:val="bottom"/>
            <w:hideMark/>
          </w:tcPr>
          <w:p w14:paraId="666F7AFE"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6</w:t>
            </w:r>
          </w:p>
        </w:tc>
        <w:tc>
          <w:tcPr>
            <w:tcW w:w="4140" w:type="dxa"/>
            <w:tcBorders>
              <w:top w:val="nil"/>
              <w:left w:val="nil"/>
              <w:bottom w:val="nil"/>
              <w:right w:val="nil"/>
            </w:tcBorders>
            <w:shd w:val="clear" w:color="000000" w:fill="FFFFFF"/>
            <w:noWrap/>
            <w:vAlign w:val="bottom"/>
            <w:hideMark/>
          </w:tcPr>
          <w:p w14:paraId="5DCE46FA" w14:textId="77777777" w:rsidR="005D66CB" w:rsidRPr="00DE5DFC" w:rsidRDefault="005D66CB" w:rsidP="00BD4B3C">
            <w:pPr>
              <w:spacing w:after="0" w:line="240" w:lineRule="auto"/>
              <w:jc w:val="center"/>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90.2</w:t>
            </w:r>
          </w:p>
        </w:tc>
      </w:tr>
      <w:tr w:rsidR="005D66CB" w:rsidRPr="00DE5DFC" w14:paraId="6410CD49" w14:textId="77777777" w:rsidTr="00BD4B3C">
        <w:trPr>
          <w:trHeight w:val="300"/>
        </w:trPr>
        <w:tc>
          <w:tcPr>
            <w:tcW w:w="960" w:type="dxa"/>
            <w:tcBorders>
              <w:top w:val="nil"/>
              <w:left w:val="nil"/>
              <w:bottom w:val="single" w:sz="4" w:space="0" w:color="auto"/>
              <w:right w:val="nil"/>
            </w:tcBorders>
            <w:shd w:val="clear" w:color="000000" w:fill="F2F2F2"/>
            <w:noWrap/>
            <w:vAlign w:val="bottom"/>
            <w:hideMark/>
          </w:tcPr>
          <w:p w14:paraId="1FA822CB" w14:textId="77777777" w:rsidR="005D66CB" w:rsidRPr="00DE5DFC" w:rsidRDefault="005D66CB" w:rsidP="00BD4B3C">
            <w:pPr>
              <w:spacing w:after="0" w:line="240" w:lineRule="auto"/>
              <w:rPr>
                <w:rFonts w:ascii="Times New Roman" w:eastAsia="Times New Roman" w:hAnsi="Times New Roman" w:cs="Times New Roman"/>
                <w:color w:val="000000"/>
                <w:lang w:eastAsia="en-AU"/>
              </w:rPr>
            </w:pPr>
            <w:r w:rsidRPr="00DE5DFC">
              <w:rPr>
                <w:rFonts w:ascii="Times New Roman" w:eastAsia="Times New Roman" w:hAnsi="Times New Roman" w:cs="Times New Roman"/>
                <w:color w:val="000000"/>
                <w:lang w:eastAsia="en-AU"/>
              </w:rPr>
              <w:t> </w:t>
            </w:r>
          </w:p>
        </w:tc>
        <w:tc>
          <w:tcPr>
            <w:tcW w:w="1300" w:type="dxa"/>
            <w:tcBorders>
              <w:top w:val="nil"/>
              <w:left w:val="nil"/>
              <w:bottom w:val="single" w:sz="4" w:space="0" w:color="auto"/>
              <w:right w:val="nil"/>
            </w:tcBorders>
            <w:shd w:val="clear" w:color="000000" w:fill="F2F2F2"/>
            <w:noWrap/>
            <w:vAlign w:val="bottom"/>
            <w:hideMark/>
          </w:tcPr>
          <w:p w14:paraId="104B7D92" w14:textId="77777777" w:rsidR="005D66CB" w:rsidRPr="00DE5DFC" w:rsidRDefault="005D66CB" w:rsidP="00BD4B3C">
            <w:pPr>
              <w:spacing w:after="0" w:line="240" w:lineRule="auto"/>
              <w:jc w:val="center"/>
              <w:rPr>
                <w:rFonts w:ascii="Times New Roman" w:eastAsia="Times New Roman" w:hAnsi="Times New Roman" w:cs="Times New Roman"/>
                <w:i/>
                <w:iCs/>
                <w:color w:val="000000"/>
                <w:lang w:eastAsia="en-AU"/>
              </w:rPr>
            </w:pPr>
            <w:r w:rsidRPr="00DE5DFC">
              <w:rPr>
                <w:rFonts w:ascii="Times New Roman" w:eastAsia="Times New Roman" w:hAnsi="Times New Roman" w:cs="Times New Roman"/>
                <w:i/>
                <w:iCs/>
                <w:color w:val="000000"/>
                <w:lang w:eastAsia="en-AU"/>
              </w:rPr>
              <w:t>Average</w:t>
            </w:r>
          </w:p>
        </w:tc>
        <w:tc>
          <w:tcPr>
            <w:tcW w:w="4140" w:type="dxa"/>
            <w:tcBorders>
              <w:top w:val="nil"/>
              <w:left w:val="nil"/>
              <w:bottom w:val="single" w:sz="4" w:space="0" w:color="auto"/>
              <w:right w:val="nil"/>
            </w:tcBorders>
            <w:shd w:val="clear" w:color="000000" w:fill="F2F2F2"/>
            <w:noWrap/>
            <w:vAlign w:val="bottom"/>
            <w:hideMark/>
          </w:tcPr>
          <w:p w14:paraId="3B1D09E1" w14:textId="77777777" w:rsidR="005D66CB" w:rsidRPr="00DE5DFC" w:rsidRDefault="005D66CB" w:rsidP="00BD4B3C">
            <w:pPr>
              <w:spacing w:after="0" w:line="240" w:lineRule="auto"/>
              <w:jc w:val="center"/>
              <w:rPr>
                <w:rFonts w:ascii="Times New Roman" w:eastAsia="Times New Roman" w:hAnsi="Times New Roman" w:cs="Times New Roman"/>
                <w:b/>
                <w:bCs/>
                <w:i/>
                <w:iCs/>
                <w:color w:val="000000"/>
                <w:lang w:eastAsia="en-AU"/>
              </w:rPr>
            </w:pPr>
            <w:r w:rsidRPr="00DE5DFC">
              <w:rPr>
                <w:rFonts w:ascii="Times New Roman" w:eastAsia="Times New Roman" w:hAnsi="Times New Roman" w:cs="Times New Roman"/>
                <w:b/>
                <w:bCs/>
                <w:i/>
                <w:iCs/>
                <w:color w:val="000000"/>
                <w:lang w:eastAsia="en-AU"/>
              </w:rPr>
              <w:t>93.1</w:t>
            </w:r>
          </w:p>
        </w:tc>
      </w:tr>
    </w:tbl>
    <w:p w14:paraId="73A04D79" w14:textId="77777777" w:rsidR="005D66CB" w:rsidRDefault="005D66CB" w:rsidP="005D66CB">
      <w:pPr>
        <w:jc w:val="both"/>
        <w:rPr>
          <w:rFonts w:ascii="Times New Roman" w:hAnsi="Times New Roman" w:cs="Times New Roman"/>
          <w:sz w:val="24"/>
          <w:szCs w:val="24"/>
        </w:rPr>
      </w:pPr>
    </w:p>
    <w:p w14:paraId="01B520F5" w14:textId="2D376BD3" w:rsidR="003D5210" w:rsidRPr="003D5210" w:rsidRDefault="005D66CB" w:rsidP="005D66CB">
      <w:pPr>
        <w:jc w:val="both"/>
        <w:rPr>
          <w:rFonts w:cstheme="minorHAnsi"/>
        </w:rPr>
      </w:pPr>
      <w:r w:rsidRPr="003D5210">
        <w:rPr>
          <w:rFonts w:cstheme="minorHAnsi"/>
          <w:b/>
        </w:rPr>
        <w:t>Table S4</w:t>
      </w:r>
      <w:r w:rsidRPr="003D5210">
        <w:rPr>
          <w:rFonts w:cstheme="minorHAnsi"/>
        </w:rPr>
        <w:t>. Ratios between the measured L</w:t>
      </w:r>
      <w:r w:rsidRPr="003D5210">
        <w:rPr>
          <w:rFonts w:cstheme="minorHAnsi"/>
          <w:vertAlign w:val="subscript"/>
        </w:rPr>
        <w:t>x</w:t>
      </w:r>
      <w:r w:rsidRPr="003D5210">
        <w:rPr>
          <w:rFonts w:cstheme="minorHAnsi"/>
        </w:rPr>
        <w:t>/T</w:t>
      </w:r>
      <w:r w:rsidRPr="003D5210">
        <w:rPr>
          <w:rFonts w:cstheme="minorHAnsi"/>
          <w:vertAlign w:val="subscript"/>
        </w:rPr>
        <w:t>x</w:t>
      </w:r>
      <w:r w:rsidRPr="003D5210">
        <w:rPr>
          <w:rFonts w:cstheme="minorHAnsi"/>
        </w:rPr>
        <w:t xml:space="preserve"> values and those expected based on each SGC, for each group.</w:t>
      </w:r>
    </w:p>
    <w:tbl>
      <w:tblPr>
        <w:tblpPr w:leftFromText="180" w:rightFromText="180" w:vertAnchor="page" w:horzAnchor="margin" w:tblpY="727"/>
        <w:tblW w:w="9639" w:type="dxa"/>
        <w:tblLook w:val="04A0" w:firstRow="1" w:lastRow="0" w:firstColumn="1" w:lastColumn="0" w:noHBand="0" w:noVBand="1"/>
      </w:tblPr>
      <w:tblGrid>
        <w:gridCol w:w="850"/>
        <w:gridCol w:w="728"/>
        <w:gridCol w:w="1004"/>
        <w:gridCol w:w="1529"/>
        <w:gridCol w:w="1352"/>
        <w:gridCol w:w="1677"/>
        <w:gridCol w:w="2595"/>
      </w:tblGrid>
      <w:tr w:rsidR="003D5210" w:rsidRPr="00347938" w14:paraId="7671322E" w14:textId="77777777" w:rsidTr="00BD4B3C">
        <w:trPr>
          <w:trHeight w:val="450"/>
        </w:trPr>
        <w:tc>
          <w:tcPr>
            <w:tcW w:w="850" w:type="dxa"/>
            <w:vMerge w:val="restart"/>
            <w:tcBorders>
              <w:top w:val="single" w:sz="4" w:space="0" w:color="auto"/>
              <w:left w:val="nil"/>
              <w:bottom w:val="single" w:sz="4" w:space="0" w:color="000000"/>
              <w:right w:val="nil"/>
            </w:tcBorders>
            <w:shd w:val="clear" w:color="000000" w:fill="FFFFFF"/>
            <w:noWrap/>
            <w:vAlign w:val="center"/>
            <w:hideMark/>
          </w:tcPr>
          <w:p w14:paraId="1CBE1AAB"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lastRenderedPageBreak/>
              <w:t>Sample</w:t>
            </w:r>
          </w:p>
        </w:tc>
        <w:tc>
          <w:tcPr>
            <w:tcW w:w="728" w:type="dxa"/>
            <w:vMerge w:val="restart"/>
            <w:tcBorders>
              <w:top w:val="single" w:sz="4" w:space="0" w:color="auto"/>
              <w:left w:val="nil"/>
              <w:bottom w:val="single" w:sz="4" w:space="0" w:color="000000"/>
              <w:right w:val="nil"/>
            </w:tcBorders>
            <w:shd w:val="clear" w:color="000000" w:fill="FFFFFF"/>
            <w:vAlign w:val="center"/>
            <w:hideMark/>
          </w:tcPr>
          <w:p w14:paraId="4411C66C"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SGC group</w:t>
            </w:r>
          </w:p>
        </w:tc>
        <w:tc>
          <w:tcPr>
            <w:tcW w:w="1004" w:type="dxa"/>
            <w:vMerge w:val="restart"/>
            <w:tcBorders>
              <w:top w:val="single" w:sz="4" w:space="0" w:color="auto"/>
              <w:left w:val="nil"/>
              <w:bottom w:val="single" w:sz="4" w:space="0" w:color="000000"/>
              <w:right w:val="nil"/>
            </w:tcBorders>
            <w:shd w:val="clear" w:color="000000" w:fill="FFFFFF"/>
            <w:vAlign w:val="center"/>
            <w:hideMark/>
          </w:tcPr>
          <w:p w14:paraId="78F605D5"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N accepted grains*</w:t>
            </w:r>
          </w:p>
        </w:tc>
        <w:tc>
          <w:tcPr>
            <w:tcW w:w="1529" w:type="dxa"/>
            <w:vMerge w:val="restart"/>
            <w:tcBorders>
              <w:top w:val="single" w:sz="4" w:space="0" w:color="auto"/>
              <w:left w:val="nil"/>
              <w:bottom w:val="single" w:sz="4" w:space="0" w:color="000000"/>
              <w:right w:val="nil"/>
            </w:tcBorders>
            <w:shd w:val="clear" w:color="000000" w:fill="FFFFFF"/>
            <w:noWrap/>
            <w:vAlign w:val="center"/>
            <w:hideMark/>
          </w:tcPr>
          <w:p w14:paraId="114AAC1A"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OD (%)</w:t>
            </w:r>
            <w:r>
              <w:rPr>
                <w:rFonts w:ascii="Times New Roman" w:eastAsia="Times New Roman" w:hAnsi="Times New Roman" w:cs="Times New Roman"/>
                <w:b/>
                <w:bCs/>
                <w:color w:val="000000"/>
                <w:sz w:val="20"/>
                <w:szCs w:val="20"/>
                <w:lang w:eastAsia="en-AU"/>
              </w:rPr>
              <w:t>*</w:t>
            </w:r>
          </w:p>
        </w:tc>
        <w:tc>
          <w:tcPr>
            <w:tcW w:w="1256" w:type="dxa"/>
            <w:vMerge w:val="restart"/>
            <w:tcBorders>
              <w:top w:val="single" w:sz="4" w:space="0" w:color="auto"/>
              <w:left w:val="nil"/>
              <w:bottom w:val="single" w:sz="4" w:space="0" w:color="000000"/>
              <w:right w:val="nil"/>
            </w:tcBorders>
            <w:shd w:val="clear" w:color="000000" w:fill="FFFFFF"/>
            <w:noWrap/>
            <w:vAlign w:val="center"/>
            <w:hideMark/>
          </w:tcPr>
          <w:p w14:paraId="78B90E53"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Age model</w:t>
            </w:r>
          </w:p>
        </w:tc>
        <w:tc>
          <w:tcPr>
            <w:tcW w:w="1677" w:type="dxa"/>
            <w:vMerge w:val="restart"/>
            <w:tcBorders>
              <w:top w:val="single" w:sz="4" w:space="0" w:color="auto"/>
              <w:left w:val="nil"/>
              <w:bottom w:val="single" w:sz="4" w:space="0" w:color="000000"/>
              <w:right w:val="nil"/>
            </w:tcBorders>
            <w:shd w:val="clear" w:color="000000" w:fill="FFFFFF"/>
            <w:vAlign w:val="center"/>
            <w:hideMark/>
          </w:tcPr>
          <w:p w14:paraId="6E677EC9"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SGC group D</w:t>
            </w:r>
            <w:r w:rsidRPr="00347938">
              <w:rPr>
                <w:rFonts w:ascii="Times New Roman" w:eastAsia="Times New Roman" w:hAnsi="Times New Roman" w:cs="Times New Roman"/>
                <w:b/>
                <w:bCs/>
                <w:color w:val="000000"/>
                <w:sz w:val="20"/>
                <w:szCs w:val="20"/>
                <w:vertAlign w:val="subscript"/>
                <w:lang w:eastAsia="en-AU"/>
              </w:rPr>
              <w:t>e</w:t>
            </w:r>
            <w:r w:rsidRPr="00347938">
              <w:rPr>
                <w:rFonts w:ascii="Times New Roman" w:eastAsia="Times New Roman" w:hAnsi="Times New Roman" w:cs="Times New Roman"/>
                <w:b/>
                <w:bCs/>
                <w:color w:val="000000"/>
                <w:sz w:val="20"/>
                <w:szCs w:val="20"/>
                <w:lang w:eastAsia="en-AU"/>
              </w:rPr>
              <w:t xml:space="preserve"> (Gy)</w:t>
            </w:r>
            <w:r w:rsidRPr="00F178F2">
              <w:rPr>
                <w:rFonts w:ascii="Times New Roman" w:eastAsia="Times New Roman" w:hAnsi="Times New Roman" w:cs="Times New Roman"/>
                <w:b/>
                <w:bCs/>
                <w:color w:val="000000"/>
                <w:sz w:val="20"/>
                <w:szCs w:val="20"/>
                <w:vertAlign w:val="superscript"/>
                <w:lang w:eastAsia="en-AU"/>
              </w:rPr>
              <w:t>#</w:t>
            </w:r>
          </w:p>
        </w:tc>
        <w:tc>
          <w:tcPr>
            <w:tcW w:w="2595" w:type="dxa"/>
            <w:vMerge w:val="restart"/>
            <w:tcBorders>
              <w:top w:val="single" w:sz="4" w:space="0" w:color="auto"/>
              <w:left w:val="nil"/>
              <w:bottom w:val="single" w:sz="4" w:space="0" w:color="000000"/>
              <w:right w:val="nil"/>
            </w:tcBorders>
            <w:shd w:val="clear" w:color="000000" w:fill="FFFFFF"/>
            <w:vAlign w:val="center"/>
            <w:hideMark/>
          </w:tcPr>
          <w:p w14:paraId="1377CFF2"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Final sample D</w:t>
            </w:r>
            <w:r w:rsidRPr="00347938">
              <w:rPr>
                <w:rFonts w:ascii="Times New Roman" w:eastAsia="Times New Roman" w:hAnsi="Times New Roman" w:cs="Times New Roman"/>
                <w:b/>
                <w:bCs/>
                <w:color w:val="000000"/>
                <w:sz w:val="20"/>
                <w:szCs w:val="20"/>
                <w:vertAlign w:val="subscript"/>
                <w:lang w:eastAsia="en-AU"/>
              </w:rPr>
              <w:t>e</w:t>
            </w:r>
            <w:r w:rsidRPr="00347938">
              <w:rPr>
                <w:rFonts w:ascii="Times New Roman" w:eastAsia="Times New Roman" w:hAnsi="Times New Roman" w:cs="Times New Roman"/>
                <w:b/>
                <w:bCs/>
                <w:color w:val="000000"/>
                <w:sz w:val="20"/>
                <w:szCs w:val="20"/>
                <w:lang w:eastAsia="en-AU"/>
              </w:rPr>
              <w:t xml:space="preserve"> (Gy)</w:t>
            </w:r>
          </w:p>
        </w:tc>
      </w:tr>
      <w:tr w:rsidR="003D5210" w:rsidRPr="00347938" w14:paraId="640BEB94" w14:textId="77777777" w:rsidTr="00BD4B3C">
        <w:trPr>
          <w:trHeight w:val="450"/>
        </w:trPr>
        <w:tc>
          <w:tcPr>
            <w:tcW w:w="850" w:type="dxa"/>
            <w:vMerge/>
            <w:tcBorders>
              <w:top w:val="single" w:sz="4" w:space="0" w:color="auto"/>
              <w:left w:val="nil"/>
              <w:bottom w:val="single" w:sz="4" w:space="0" w:color="000000"/>
              <w:right w:val="nil"/>
            </w:tcBorders>
            <w:vAlign w:val="center"/>
            <w:hideMark/>
          </w:tcPr>
          <w:p w14:paraId="6F9F028C"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728" w:type="dxa"/>
            <w:vMerge/>
            <w:tcBorders>
              <w:top w:val="single" w:sz="4" w:space="0" w:color="auto"/>
              <w:left w:val="nil"/>
              <w:bottom w:val="single" w:sz="4" w:space="0" w:color="000000"/>
              <w:right w:val="nil"/>
            </w:tcBorders>
            <w:vAlign w:val="center"/>
            <w:hideMark/>
          </w:tcPr>
          <w:p w14:paraId="4231AE2B"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1004" w:type="dxa"/>
            <w:vMerge/>
            <w:tcBorders>
              <w:top w:val="single" w:sz="4" w:space="0" w:color="auto"/>
              <w:left w:val="nil"/>
              <w:bottom w:val="single" w:sz="4" w:space="0" w:color="000000"/>
              <w:right w:val="nil"/>
            </w:tcBorders>
            <w:vAlign w:val="center"/>
            <w:hideMark/>
          </w:tcPr>
          <w:p w14:paraId="06F38476"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1529" w:type="dxa"/>
            <w:vMerge/>
            <w:tcBorders>
              <w:top w:val="single" w:sz="4" w:space="0" w:color="auto"/>
              <w:left w:val="nil"/>
              <w:bottom w:val="single" w:sz="4" w:space="0" w:color="000000"/>
              <w:right w:val="nil"/>
            </w:tcBorders>
            <w:vAlign w:val="center"/>
            <w:hideMark/>
          </w:tcPr>
          <w:p w14:paraId="472D585E"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1256" w:type="dxa"/>
            <w:vMerge/>
            <w:tcBorders>
              <w:top w:val="single" w:sz="4" w:space="0" w:color="auto"/>
              <w:left w:val="nil"/>
              <w:bottom w:val="single" w:sz="4" w:space="0" w:color="000000"/>
              <w:right w:val="nil"/>
            </w:tcBorders>
            <w:vAlign w:val="center"/>
            <w:hideMark/>
          </w:tcPr>
          <w:p w14:paraId="31A3DC26"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1677" w:type="dxa"/>
            <w:vMerge/>
            <w:tcBorders>
              <w:top w:val="single" w:sz="4" w:space="0" w:color="auto"/>
              <w:left w:val="nil"/>
              <w:bottom w:val="single" w:sz="4" w:space="0" w:color="000000"/>
              <w:right w:val="nil"/>
            </w:tcBorders>
            <w:vAlign w:val="center"/>
            <w:hideMark/>
          </w:tcPr>
          <w:p w14:paraId="76417B03"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c>
          <w:tcPr>
            <w:tcW w:w="2595" w:type="dxa"/>
            <w:vMerge/>
            <w:tcBorders>
              <w:top w:val="single" w:sz="4" w:space="0" w:color="auto"/>
              <w:left w:val="nil"/>
              <w:bottom w:val="single" w:sz="4" w:space="0" w:color="000000"/>
              <w:right w:val="nil"/>
            </w:tcBorders>
            <w:vAlign w:val="center"/>
            <w:hideMark/>
          </w:tcPr>
          <w:p w14:paraId="491920CB"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7B6D6774" w14:textId="77777777" w:rsidTr="00BD4B3C">
        <w:trPr>
          <w:trHeight w:val="285"/>
        </w:trPr>
        <w:tc>
          <w:tcPr>
            <w:tcW w:w="850" w:type="dxa"/>
            <w:vMerge w:val="restart"/>
            <w:tcBorders>
              <w:top w:val="nil"/>
              <w:left w:val="nil"/>
              <w:bottom w:val="single" w:sz="4" w:space="0" w:color="000000"/>
              <w:right w:val="nil"/>
            </w:tcBorders>
            <w:shd w:val="clear" w:color="000000" w:fill="FFFFFF"/>
            <w:noWrap/>
            <w:vAlign w:val="center"/>
            <w:hideMark/>
          </w:tcPr>
          <w:p w14:paraId="385972D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OSL1</w:t>
            </w:r>
          </w:p>
        </w:tc>
        <w:tc>
          <w:tcPr>
            <w:tcW w:w="728" w:type="dxa"/>
            <w:tcBorders>
              <w:top w:val="nil"/>
              <w:left w:val="nil"/>
              <w:bottom w:val="nil"/>
              <w:right w:val="nil"/>
            </w:tcBorders>
            <w:shd w:val="clear" w:color="000000" w:fill="FFFFFF"/>
            <w:noWrap/>
            <w:vAlign w:val="bottom"/>
            <w:hideMark/>
          </w:tcPr>
          <w:p w14:paraId="5A96A4E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nil"/>
              <w:right w:val="nil"/>
            </w:tcBorders>
            <w:shd w:val="clear" w:color="000000" w:fill="FFFFFF"/>
            <w:noWrap/>
            <w:vAlign w:val="bottom"/>
            <w:hideMark/>
          </w:tcPr>
          <w:p w14:paraId="6040F7C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14 (13)</w:t>
            </w:r>
          </w:p>
        </w:tc>
        <w:tc>
          <w:tcPr>
            <w:tcW w:w="1529" w:type="dxa"/>
            <w:tcBorders>
              <w:top w:val="nil"/>
              <w:left w:val="nil"/>
              <w:bottom w:val="nil"/>
              <w:right w:val="nil"/>
            </w:tcBorders>
            <w:shd w:val="clear" w:color="000000" w:fill="FFFFFF"/>
            <w:noWrap/>
            <w:vAlign w:val="bottom"/>
            <w:hideMark/>
          </w:tcPr>
          <w:p w14:paraId="376D65A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 ± 3 (8 ± 3)</w:t>
            </w:r>
          </w:p>
        </w:tc>
        <w:tc>
          <w:tcPr>
            <w:tcW w:w="1256" w:type="dxa"/>
            <w:vMerge w:val="restart"/>
            <w:tcBorders>
              <w:top w:val="nil"/>
              <w:left w:val="nil"/>
              <w:bottom w:val="single" w:sz="4" w:space="0" w:color="000000"/>
              <w:right w:val="nil"/>
            </w:tcBorders>
            <w:shd w:val="clear" w:color="000000" w:fill="FFFFFF"/>
            <w:vAlign w:val="center"/>
            <w:hideMark/>
          </w:tcPr>
          <w:p w14:paraId="7AE2916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nMAD+CAM</w:t>
            </w:r>
          </w:p>
        </w:tc>
        <w:tc>
          <w:tcPr>
            <w:tcW w:w="1677" w:type="dxa"/>
            <w:tcBorders>
              <w:top w:val="nil"/>
              <w:left w:val="nil"/>
              <w:bottom w:val="nil"/>
              <w:right w:val="nil"/>
            </w:tcBorders>
            <w:shd w:val="clear" w:color="000000" w:fill="FFFFFF"/>
            <w:noWrap/>
            <w:vAlign w:val="bottom"/>
            <w:hideMark/>
          </w:tcPr>
          <w:p w14:paraId="60F0604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val="restart"/>
            <w:tcBorders>
              <w:top w:val="nil"/>
              <w:left w:val="nil"/>
              <w:bottom w:val="single" w:sz="4" w:space="0" w:color="000000"/>
              <w:right w:val="nil"/>
            </w:tcBorders>
            <w:shd w:val="clear" w:color="000000" w:fill="FFFFFF"/>
            <w:noWrap/>
            <w:vAlign w:val="center"/>
            <w:hideMark/>
          </w:tcPr>
          <w:p w14:paraId="00A956A3"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91.7 ± 3.8</w:t>
            </w:r>
          </w:p>
        </w:tc>
      </w:tr>
      <w:tr w:rsidR="003D5210" w:rsidRPr="00347938" w14:paraId="34D3DBCF" w14:textId="77777777" w:rsidTr="00BD4B3C">
        <w:trPr>
          <w:trHeight w:val="285"/>
        </w:trPr>
        <w:tc>
          <w:tcPr>
            <w:tcW w:w="850" w:type="dxa"/>
            <w:vMerge/>
            <w:tcBorders>
              <w:top w:val="nil"/>
              <w:left w:val="nil"/>
              <w:bottom w:val="single" w:sz="4" w:space="0" w:color="000000"/>
              <w:right w:val="nil"/>
            </w:tcBorders>
            <w:vAlign w:val="center"/>
            <w:hideMark/>
          </w:tcPr>
          <w:p w14:paraId="2F26CED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7EDA03A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nil"/>
              <w:right w:val="nil"/>
            </w:tcBorders>
            <w:shd w:val="clear" w:color="000000" w:fill="FFFFFF"/>
            <w:noWrap/>
            <w:vAlign w:val="bottom"/>
            <w:hideMark/>
          </w:tcPr>
          <w:p w14:paraId="0CCB90B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36 (34)</w:t>
            </w:r>
          </w:p>
        </w:tc>
        <w:tc>
          <w:tcPr>
            <w:tcW w:w="1529" w:type="dxa"/>
            <w:tcBorders>
              <w:top w:val="nil"/>
              <w:left w:val="nil"/>
              <w:bottom w:val="nil"/>
              <w:right w:val="nil"/>
            </w:tcBorders>
            <w:shd w:val="clear" w:color="000000" w:fill="FFFFFF"/>
            <w:noWrap/>
            <w:vAlign w:val="bottom"/>
            <w:hideMark/>
          </w:tcPr>
          <w:p w14:paraId="787C5F6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17 ± 3 (13 ± 2)</w:t>
            </w:r>
          </w:p>
        </w:tc>
        <w:tc>
          <w:tcPr>
            <w:tcW w:w="1256" w:type="dxa"/>
            <w:vMerge/>
            <w:tcBorders>
              <w:top w:val="nil"/>
              <w:left w:val="nil"/>
              <w:bottom w:val="single" w:sz="4" w:space="0" w:color="000000"/>
              <w:right w:val="nil"/>
            </w:tcBorders>
            <w:vAlign w:val="center"/>
            <w:hideMark/>
          </w:tcPr>
          <w:p w14:paraId="5665BE59"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FFFFF"/>
            <w:noWrap/>
            <w:vAlign w:val="bottom"/>
            <w:hideMark/>
          </w:tcPr>
          <w:p w14:paraId="18444FF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tcBorders>
              <w:top w:val="nil"/>
              <w:left w:val="nil"/>
              <w:bottom w:val="single" w:sz="4" w:space="0" w:color="000000"/>
              <w:right w:val="nil"/>
            </w:tcBorders>
            <w:vAlign w:val="center"/>
            <w:hideMark/>
          </w:tcPr>
          <w:p w14:paraId="0FBBDB2C"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5B28E0FF" w14:textId="77777777" w:rsidTr="00BD4B3C">
        <w:trPr>
          <w:trHeight w:val="285"/>
        </w:trPr>
        <w:tc>
          <w:tcPr>
            <w:tcW w:w="850" w:type="dxa"/>
            <w:vMerge/>
            <w:tcBorders>
              <w:top w:val="nil"/>
              <w:left w:val="nil"/>
              <w:bottom w:val="single" w:sz="4" w:space="0" w:color="000000"/>
              <w:right w:val="nil"/>
            </w:tcBorders>
            <w:vAlign w:val="center"/>
            <w:hideMark/>
          </w:tcPr>
          <w:p w14:paraId="3EA4703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4571A38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tcBorders>
              <w:top w:val="nil"/>
              <w:left w:val="nil"/>
              <w:bottom w:val="nil"/>
              <w:right w:val="nil"/>
            </w:tcBorders>
            <w:shd w:val="clear" w:color="000000" w:fill="FFFFFF"/>
            <w:noWrap/>
            <w:vAlign w:val="bottom"/>
            <w:hideMark/>
          </w:tcPr>
          <w:p w14:paraId="339C538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89 (74)</w:t>
            </w:r>
          </w:p>
        </w:tc>
        <w:tc>
          <w:tcPr>
            <w:tcW w:w="1529" w:type="dxa"/>
            <w:tcBorders>
              <w:top w:val="nil"/>
              <w:left w:val="nil"/>
              <w:bottom w:val="nil"/>
              <w:right w:val="nil"/>
            </w:tcBorders>
            <w:shd w:val="clear" w:color="000000" w:fill="FFFFFF"/>
            <w:noWrap/>
            <w:vAlign w:val="bottom"/>
            <w:hideMark/>
          </w:tcPr>
          <w:p w14:paraId="0F3E47A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44 ± 4 (18 ± 2)</w:t>
            </w:r>
          </w:p>
        </w:tc>
        <w:tc>
          <w:tcPr>
            <w:tcW w:w="1256" w:type="dxa"/>
            <w:vMerge/>
            <w:tcBorders>
              <w:top w:val="nil"/>
              <w:left w:val="nil"/>
              <w:bottom w:val="single" w:sz="4" w:space="0" w:color="000000"/>
              <w:right w:val="nil"/>
            </w:tcBorders>
            <w:vAlign w:val="center"/>
            <w:hideMark/>
          </w:tcPr>
          <w:p w14:paraId="63509090"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24C6C08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86.7 ± 6.4</w:t>
            </w:r>
          </w:p>
        </w:tc>
        <w:tc>
          <w:tcPr>
            <w:tcW w:w="2595" w:type="dxa"/>
            <w:vMerge/>
            <w:tcBorders>
              <w:top w:val="nil"/>
              <w:left w:val="nil"/>
              <w:bottom w:val="single" w:sz="4" w:space="0" w:color="000000"/>
              <w:right w:val="nil"/>
            </w:tcBorders>
            <w:vAlign w:val="center"/>
            <w:hideMark/>
          </w:tcPr>
          <w:p w14:paraId="77D5ABB3"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1FAB9AB2" w14:textId="77777777" w:rsidTr="00BD4B3C">
        <w:trPr>
          <w:trHeight w:val="285"/>
        </w:trPr>
        <w:tc>
          <w:tcPr>
            <w:tcW w:w="850" w:type="dxa"/>
            <w:vMerge/>
            <w:tcBorders>
              <w:top w:val="nil"/>
              <w:left w:val="nil"/>
              <w:bottom w:val="single" w:sz="4" w:space="0" w:color="000000"/>
              <w:right w:val="nil"/>
            </w:tcBorders>
            <w:vAlign w:val="center"/>
            <w:hideMark/>
          </w:tcPr>
          <w:p w14:paraId="4A4C70E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7195093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tcBorders>
              <w:top w:val="nil"/>
              <w:left w:val="nil"/>
              <w:bottom w:val="nil"/>
              <w:right w:val="nil"/>
            </w:tcBorders>
            <w:shd w:val="clear" w:color="000000" w:fill="FFFFFF"/>
            <w:noWrap/>
            <w:vAlign w:val="bottom"/>
            <w:hideMark/>
          </w:tcPr>
          <w:p w14:paraId="7D8F6A0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87 (76)</w:t>
            </w:r>
          </w:p>
        </w:tc>
        <w:tc>
          <w:tcPr>
            <w:tcW w:w="1529" w:type="dxa"/>
            <w:tcBorders>
              <w:top w:val="nil"/>
              <w:left w:val="nil"/>
              <w:bottom w:val="nil"/>
              <w:right w:val="nil"/>
            </w:tcBorders>
            <w:shd w:val="clear" w:color="000000" w:fill="FFFFFF"/>
            <w:noWrap/>
            <w:vAlign w:val="bottom"/>
            <w:hideMark/>
          </w:tcPr>
          <w:p w14:paraId="01E29F4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35 ± 3 (18 ± 2)</w:t>
            </w:r>
          </w:p>
        </w:tc>
        <w:tc>
          <w:tcPr>
            <w:tcW w:w="1256" w:type="dxa"/>
            <w:vMerge/>
            <w:tcBorders>
              <w:top w:val="nil"/>
              <w:left w:val="nil"/>
              <w:bottom w:val="single" w:sz="4" w:space="0" w:color="000000"/>
              <w:right w:val="nil"/>
            </w:tcBorders>
            <w:vAlign w:val="center"/>
            <w:hideMark/>
          </w:tcPr>
          <w:p w14:paraId="6E05247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5654892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94.0 ± 4.6</w:t>
            </w:r>
          </w:p>
        </w:tc>
        <w:tc>
          <w:tcPr>
            <w:tcW w:w="2595" w:type="dxa"/>
            <w:vMerge/>
            <w:tcBorders>
              <w:top w:val="nil"/>
              <w:left w:val="nil"/>
              <w:bottom w:val="single" w:sz="4" w:space="0" w:color="000000"/>
              <w:right w:val="nil"/>
            </w:tcBorders>
            <w:vAlign w:val="center"/>
            <w:hideMark/>
          </w:tcPr>
          <w:p w14:paraId="041E7643"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31AD63B7" w14:textId="77777777" w:rsidTr="00BD4B3C">
        <w:trPr>
          <w:trHeight w:val="285"/>
        </w:trPr>
        <w:tc>
          <w:tcPr>
            <w:tcW w:w="850" w:type="dxa"/>
            <w:vMerge/>
            <w:tcBorders>
              <w:top w:val="nil"/>
              <w:left w:val="nil"/>
              <w:bottom w:val="single" w:sz="4" w:space="0" w:color="000000"/>
              <w:right w:val="nil"/>
            </w:tcBorders>
            <w:vAlign w:val="center"/>
            <w:hideMark/>
          </w:tcPr>
          <w:p w14:paraId="155A548A"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single" w:sz="4" w:space="0" w:color="auto"/>
              <w:right w:val="nil"/>
            </w:tcBorders>
            <w:shd w:val="clear" w:color="000000" w:fill="FFFFFF"/>
            <w:noWrap/>
            <w:vAlign w:val="bottom"/>
            <w:hideMark/>
          </w:tcPr>
          <w:p w14:paraId="4569FC9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tcBorders>
              <w:top w:val="nil"/>
              <w:left w:val="nil"/>
              <w:bottom w:val="single" w:sz="4" w:space="0" w:color="auto"/>
              <w:right w:val="nil"/>
            </w:tcBorders>
            <w:shd w:val="clear" w:color="000000" w:fill="FFFFFF"/>
            <w:noWrap/>
            <w:vAlign w:val="bottom"/>
            <w:hideMark/>
          </w:tcPr>
          <w:p w14:paraId="0E0CDBA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75 (72)</w:t>
            </w:r>
          </w:p>
        </w:tc>
        <w:tc>
          <w:tcPr>
            <w:tcW w:w="1529" w:type="dxa"/>
            <w:tcBorders>
              <w:top w:val="nil"/>
              <w:left w:val="nil"/>
              <w:bottom w:val="single" w:sz="4" w:space="0" w:color="auto"/>
              <w:right w:val="nil"/>
            </w:tcBorders>
            <w:shd w:val="clear" w:color="000000" w:fill="FFFFFF"/>
            <w:noWrap/>
            <w:vAlign w:val="bottom"/>
            <w:hideMark/>
          </w:tcPr>
          <w:p w14:paraId="1E52FCCB"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44 ± 4 (40 ± 4)</w:t>
            </w:r>
          </w:p>
        </w:tc>
        <w:tc>
          <w:tcPr>
            <w:tcW w:w="1256" w:type="dxa"/>
            <w:vMerge/>
            <w:tcBorders>
              <w:top w:val="nil"/>
              <w:left w:val="nil"/>
              <w:bottom w:val="single" w:sz="4" w:space="0" w:color="000000"/>
              <w:right w:val="nil"/>
            </w:tcBorders>
            <w:vAlign w:val="center"/>
            <w:hideMark/>
          </w:tcPr>
          <w:p w14:paraId="70B8C5E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single" w:sz="4" w:space="0" w:color="auto"/>
              <w:right w:val="nil"/>
            </w:tcBorders>
            <w:shd w:val="clear" w:color="000000" w:fill="FFFFFF"/>
            <w:noWrap/>
            <w:vAlign w:val="bottom"/>
            <w:hideMark/>
          </w:tcPr>
          <w:p w14:paraId="7B8CCD5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82.1 ± 6.3</w:t>
            </w:r>
          </w:p>
        </w:tc>
        <w:tc>
          <w:tcPr>
            <w:tcW w:w="2595" w:type="dxa"/>
            <w:vMerge/>
            <w:tcBorders>
              <w:top w:val="nil"/>
              <w:left w:val="nil"/>
              <w:bottom w:val="single" w:sz="4" w:space="0" w:color="000000"/>
              <w:right w:val="nil"/>
            </w:tcBorders>
            <w:vAlign w:val="center"/>
            <w:hideMark/>
          </w:tcPr>
          <w:p w14:paraId="63AE52DA"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3C01D149" w14:textId="77777777" w:rsidTr="00BD4B3C">
        <w:trPr>
          <w:trHeight w:val="285"/>
        </w:trPr>
        <w:tc>
          <w:tcPr>
            <w:tcW w:w="850" w:type="dxa"/>
            <w:vMerge w:val="restart"/>
            <w:tcBorders>
              <w:top w:val="nil"/>
              <w:left w:val="nil"/>
              <w:bottom w:val="single" w:sz="4" w:space="0" w:color="000000"/>
              <w:right w:val="nil"/>
            </w:tcBorders>
            <w:shd w:val="clear" w:color="000000" w:fill="FFFFFF"/>
            <w:noWrap/>
            <w:vAlign w:val="center"/>
            <w:hideMark/>
          </w:tcPr>
          <w:p w14:paraId="63D73A3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OSL6</w:t>
            </w:r>
          </w:p>
        </w:tc>
        <w:tc>
          <w:tcPr>
            <w:tcW w:w="728" w:type="dxa"/>
            <w:tcBorders>
              <w:top w:val="nil"/>
              <w:left w:val="nil"/>
              <w:bottom w:val="nil"/>
              <w:right w:val="nil"/>
            </w:tcBorders>
            <w:shd w:val="clear" w:color="000000" w:fill="FFFFFF"/>
            <w:noWrap/>
            <w:vAlign w:val="bottom"/>
            <w:hideMark/>
          </w:tcPr>
          <w:p w14:paraId="52E269C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nil"/>
              <w:right w:val="nil"/>
            </w:tcBorders>
            <w:shd w:val="clear" w:color="000000" w:fill="FFFFFF"/>
            <w:noWrap/>
            <w:vAlign w:val="bottom"/>
            <w:hideMark/>
          </w:tcPr>
          <w:p w14:paraId="530046B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13 (13)</w:t>
            </w:r>
          </w:p>
        </w:tc>
        <w:tc>
          <w:tcPr>
            <w:tcW w:w="1529" w:type="dxa"/>
            <w:tcBorders>
              <w:top w:val="nil"/>
              <w:left w:val="nil"/>
              <w:bottom w:val="nil"/>
              <w:right w:val="nil"/>
            </w:tcBorders>
            <w:shd w:val="clear" w:color="000000" w:fill="FFFFFF"/>
            <w:noWrap/>
            <w:vAlign w:val="bottom"/>
            <w:hideMark/>
          </w:tcPr>
          <w:p w14:paraId="4CA6A5E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22 ± 5 (22 ± 5)</w:t>
            </w:r>
          </w:p>
        </w:tc>
        <w:tc>
          <w:tcPr>
            <w:tcW w:w="1256" w:type="dxa"/>
            <w:vMerge w:val="restart"/>
            <w:tcBorders>
              <w:top w:val="nil"/>
              <w:left w:val="nil"/>
              <w:bottom w:val="single" w:sz="4" w:space="0" w:color="000000"/>
              <w:right w:val="nil"/>
            </w:tcBorders>
            <w:shd w:val="clear" w:color="000000" w:fill="FFFFFF"/>
            <w:vAlign w:val="center"/>
            <w:hideMark/>
          </w:tcPr>
          <w:p w14:paraId="3036DE8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nMAD+CAM</w:t>
            </w:r>
          </w:p>
        </w:tc>
        <w:tc>
          <w:tcPr>
            <w:tcW w:w="1677" w:type="dxa"/>
            <w:tcBorders>
              <w:top w:val="nil"/>
              <w:left w:val="nil"/>
              <w:bottom w:val="nil"/>
              <w:right w:val="nil"/>
            </w:tcBorders>
            <w:shd w:val="clear" w:color="000000" w:fill="FFFFFF"/>
            <w:noWrap/>
            <w:vAlign w:val="bottom"/>
            <w:hideMark/>
          </w:tcPr>
          <w:p w14:paraId="44033AC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val="restart"/>
            <w:tcBorders>
              <w:top w:val="nil"/>
              <w:left w:val="nil"/>
              <w:bottom w:val="single" w:sz="4" w:space="0" w:color="000000"/>
              <w:right w:val="nil"/>
            </w:tcBorders>
            <w:shd w:val="clear" w:color="auto" w:fill="auto"/>
            <w:noWrap/>
            <w:vAlign w:val="center"/>
            <w:hideMark/>
          </w:tcPr>
          <w:p w14:paraId="4AF1DEEC"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121.2 ± 4.2</w:t>
            </w:r>
          </w:p>
        </w:tc>
      </w:tr>
      <w:tr w:rsidR="003D5210" w:rsidRPr="00347938" w14:paraId="77C2EF07" w14:textId="77777777" w:rsidTr="00BD4B3C">
        <w:trPr>
          <w:trHeight w:val="285"/>
        </w:trPr>
        <w:tc>
          <w:tcPr>
            <w:tcW w:w="850" w:type="dxa"/>
            <w:vMerge/>
            <w:tcBorders>
              <w:top w:val="nil"/>
              <w:left w:val="nil"/>
              <w:bottom w:val="single" w:sz="4" w:space="0" w:color="000000"/>
              <w:right w:val="nil"/>
            </w:tcBorders>
            <w:vAlign w:val="center"/>
            <w:hideMark/>
          </w:tcPr>
          <w:p w14:paraId="2CC6B749"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5E72363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nil"/>
              <w:right w:val="nil"/>
            </w:tcBorders>
            <w:shd w:val="clear" w:color="000000" w:fill="FFFFFF"/>
            <w:noWrap/>
            <w:vAlign w:val="bottom"/>
            <w:hideMark/>
          </w:tcPr>
          <w:p w14:paraId="5E97063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49 (40)</w:t>
            </w:r>
          </w:p>
        </w:tc>
        <w:tc>
          <w:tcPr>
            <w:tcW w:w="1529" w:type="dxa"/>
            <w:tcBorders>
              <w:top w:val="nil"/>
              <w:left w:val="nil"/>
              <w:bottom w:val="nil"/>
              <w:right w:val="nil"/>
            </w:tcBorders>
            <w:shd w:val="clear" w:color="000000" w:fill="FFFFFF"/>
            <w:noWrap/>
            <w:vAlign w:val="bottom"/>
            <w:hideMark/>
          </w:tcPr>
          <w:p w14:paraId="62D6603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46 ± 5 (16 ± 3)</w:t>
            </w:r>
          </w:p>
        </w:tc>
        <w:tc>
          <w:tcPr>
            <w:tcW w:w="1256" w:type="dxa"/>
            <w:vMerge/>
            <w:tcBorders>
              <w:top w:val="nil"/>
              <w:left w:val="nil"/>
              <w:bottom w:val="single" w:sz="4" w:space="0" w:color="000000"/>
              <w:right w:val="nil"/>
            </w:tcBorders>
            <w:vAlign w:val="center"/>
            <w:hideMark/>
          </w:tcPr>
          <w:p w14:paraId="55352D70"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741D024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115.7 ± 14.0</w:t>
            </w:r>
          </w:p>
        </w:tc>
        <w:tc>
          <w:tcPr>
            <w:tcW w:w="2595" w:type="dxa"/>
            <w:vMerge/>
            <w:tcBorders>
              <w:top w:val="nil"/>
              <w:left w:val="nil"/>
              <w:bottom w:val="single" w:sz="4" w:space="0" w:color="000000"/>
              <w:right w:val="nil"/>
            </w:tcBorders>
            <w:vAlign w:val="center"/>
            <w:hideMark/>
          </w:tcPr>
          <w:p w14:paraId="17ECF014"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16A66512" w14:textId="77777777" w:rsidTr="00BD4B3C">
        <w:trPr>
          <w:trHeight w:val="285"/>
        </w:trPr>
        <w:tc>
          <w:tcPr>
            <w:tcW w:w="850" w:type="dxa"/>
            <w:vMerge/>
            <w:tcBorders>
              <w:top w:val="nil"/>
              <w:left w:val="nil"/>
              <w:bottom w:val="single" w:sz="4" w:space="0" w:color="000000"/>
              <w:right w:val="nil"/>
            </w:tcBorders>
            <w:vAlign w:val="center"/>
            <w:hideMark/>
          </w:tcPr>
          <w:p w14:paraId="0C58CF7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461CB04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tcBorders>
              <w:top w:val="nil"/>
              <w:left w:val="nil"/>
              <w:bottom w:val="nil"/>
              <w:right w:val="nil"/>
            </w:tcBorders>
            <w:shd w:val="clear" w:color="000000" w:fill="FFFFFF"/>
            <w:noWrap/>
            <w:vAlign w:val="bottom"/>
            <w:hideMark/>
          </w:tcPr>
          <w:p w14:paraId="55A33A4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43 (37)</w:t>
            </w:r>
          </w:p>
        </w:tc>
        <w:tc>
          <w:tcPr>
            <w:tcW w:w="1529" w:type="dxa"/>
            <w:tcBorders>
              <w:top w:val="nil"/>
              <w:left w:val="nil"/>
              <w:bottom w:val="nil"/>
              <w:right w:val="nil"/>
            </w:tcBorders>
            <w:shd w:val="clear" w:color="000000" w:fill="FFFFFF"/>
            <w:noWrap/>
            <w:vAlign w:val="bottom"/>
            <w:hideMark/>
          </w:tcPr>
          <w:p w14:paraId="7200AA1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34 ± 4 (19 ± 3)</w:t>
            </w:r>
          </w:p>
        </w:tc>
        <w:tc>
          <w:tcPr>
            <w:tcW w:w="1256" w:type="dxa"/>
            <w:vMerge/>
            <w:tcBorders>
              <w:top w:val="nil"/>
              <w:left w:val="nil"/>
              <w:bottom w:val="single" w:sz="4" w:space="0" w:color="000000"/>
              <w:right w:val="nil"/>
            </w:tcBorders>
            <w:vAlign w:val="center"/>
            <w:hideMark/>
          </w:tcPr>
          <w:p w14:paraId="1E8AE3F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515854D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117.6 ± 10.2</w:t>
            </w:r>
          </w:p>
        </w:tc>
        <w:tc>
          <w:tcPr>
            <w:tcW w:w="2595" w:type="dxa"/>
            <w:vMerge/>
            <w:tcBorders>
              <w:top w:val="nil"/>
              <w:left w:val="nil"/>
              <w:bottom w:val="single" w:sz="4" w:space="0" w:color="000000"/>
              <w:right w:val="nil"/>
            </w:tcBorders>
            <w:vAlign w:val="center"/>
            <w:hideMark/>
          </w:tcPr>
          <w:p w14:paraId="44BCB632"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43A1F4BE" w14:textId="77777777" w:rsidTr="00BD4B3C">
        <w:trPr>
          <w:trHeight w:val="285"/>
        </w:trPr>
        <w:tc>
          <w:tcPr>
            <w:tcW w:w="850" w:type="dxa"/>
            <w:vMerge/>
            <w:tcBorders>
              <w:top w:val="nil"/>
              <w:left w:val="nil"/>
              <w:bottom w:val="single" w:sz="4" w:space="0" w:color="000000"/>
              <w:right w:val="nil"/>
            </w:tcBorders>
            <w:vAlign w:val="center"/>
            <w:hideMark/>
          </w:tcPr>
          <w:p w14:paraId="0880334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393B755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tcBorders>
              <w:top w:val="nil"/>
              <w:left w:val="nil"/>
              <w:bottom w:val="nil"/>
              <w:right w:val="nil"/>
            </w:tcBorders>
            <w:shd w:val="clear" w:color="000000" w:fill="FFFFFF"/>
            <w:noWrap/>
            <w:vAlign w:val="bottom"/>
            <w:hideMark/>
          </w:tcPr>
          <w:p w14:paraId="391283C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69 (59)</w:t>
            </w:r>
          </w:p>
        </w:tc>
        <w:tc>
          <w:tcPr>
            <w:tcW w:w="1529" w:type="dxa"/>
            <w:tcBorders>
              <w:top w:val="nil"/>
              <w:left w:val="nil"/>
              <w:bottom w:val="nil"/>
              <w:right w:val="nil"/>
            </w:tcBorders>
            <w:shd w:val="clear" w:color="000000" w:fill="FFFFFF"/>
            <w:noWrap/>
            <w:vAlign w:val="bottom"/>
            <w:hideMark/>
          </w:tcPr>
          <w:p w14:paraId="1656EB2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53 ± 5 (16 ± 2)</w:t>
            </w:r>
          </w:p>
        </w:tc>
        <w:tc>
          <w:tcPr>
            <w:tcW w:w="1256" w:type="dxa"/>
            <w:vMerge/>
            <w:tcBorders>
              <w:top w:val="nil"/>
              <w:left w:val="nil"/>
              <w:bottom w:val="single" w:sz="4" w:space="0" w:color="000000"/>
              <w:right w:val="nil"/>
            </w:tcBorders>
            <w:vAlign w:val="center"/>
            <w:hideMark/>
          </w:tcPr>
          <w:p w14:paraId="1F86DF1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1428BB7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121.1 ± 5.0</w:t>
            </w:r>
          </w:p>
        </w:tc>
        <w:tc>
          <w:tcPr>
            <w:tcW w:w="2595" w:type="dxa"/>
            <w:vMerge/>
            <w:tcBorders>
              <w:top w:val="nil"/>
              <w:left w:val="nil"/>
              <w:bottom w:val="single" w:sz="4" w:space="0" w:color="000000"/>
              <w:right w:val="nil"/>
            </w:tcBorders>
            <w:vAlign w:val="center"/>
            <w:hideMark/>
          </w:tcPr>
          <w:p w14:paraId="79AB81DD"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6EF74927" w14:textId="77777777" w:rsidTr="00BD4B3C">
        <w:trPr>
          <w:trHeight w:val="285"/>
        </w:trPr>
        <w:tc>
          <w:tcPr>
            <w:tcW w:w="850" w:type="dxa"/>
            <w:vMerge/>
            <w:tcBorders>
              <w:top w:val="nil"/>
              <w:left w:val="nil"/>
              <w:bottom w:val="single" w:sz="4" w:space="0" w:color="000000"/>
              <w:right w:val="nil"/>
            </w:tcBorders>
            <w:vAlign w:val="center"/>
            <w:hideMark/>
          </w:tcPr>
          <w:p w14:paraId="373707C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single" w:sz="4" w:space="0" w:color="auto"/>
              <w:right w:val="nil"/>
            </w:tcBorders>
            <w:shd w:val="clear" w:color="000000" w:fill="FFFFFF"/>
            <w:noWrap/>
            <w:vAlign w:val="bottom"/>
            <w:hideMark/>
          </w:tcPr>
          <w:p w14:paraId="5532F0B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tcBorders>
              <w:top w:val="nil"/>
              <w:left w:val="nil"/>
              <w:bottom w:val="single" w:sz="4" w:space="0" w:color="auto"/>
              <w:right w:val="nil"/>
            </w:tcBorders>
            <w:shd w:val="clear" w:color="000000" w:fill="FFFFFF"/>
            <w:noWrap/>
            <w:vAlign w:val="bottom"/>
            <w:hideMark/>
          </w:tcPr>
          <w:p w14:paraId="1E4A04B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10 (8)</w:t>
            </w:r>
          </w:p>
        </w:tc>
        <w:tc>
          <w:tcPr>
            <w:tcW w:w="1529" w:type="dxa"/>
            <w:tcBorders>
              <w:top w:val="nil"/>
              <w:left w:val="nil"/>
              <w:bottom w:val="single" w:sz="4" w:space="0" w:color="auto"/>
              <w:right w:val="nil"/>
            </w:tcBorders>
            <w:shd w:val="clear" w:color="000000" w:fill="FFFFFF"/>
            <w:noWrap/>
            <w:vAlign w:val="bottom"/>
            <w:hideMark/>
          </w:tcPr>
          <w:p w14:paraId="18A283B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53 ± 13 (27 ± 8)</w:t>
            </w:r>
          </w:p>
        </w:tc>
        <w:tc>
          <w:tcPr>
            <w:tcW w:w="1256" w:type="dxa"/>
            <w:vMerge/>
            <w:tcBorders>
              <w:top w:val="nil"/>
              <w:left w:val="nil"/>
              <w:bottom w:val="single" w:sz="4" w:space="0" w:color="000000"/>
              <w:right w:val="nil"/>
            </w:tcBorders>
            <w:vAlign w:val="center"/>
            <w:hideMark/>
          </w:tcPr>
          <w:p w14:paraId="2DA4E58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single" w:sz="4" w:space="0" w:color="auto"/>
              <w:right w:val="nil"/>
            </w:tcBorders>
            <w:shd w:val="clear" w:color="000000" w:fill="F2F2F2"/>
            <w:noWrap/>
            <w:vAlign w:val="bottom"/>
            <w:hideMark/>
          </w:tcPr>
          <w:p w14:paraId="2A05DC7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150.2 ± 25.9</w:t>
            </w:r>
          </w:p>
        </w:tc>
        <w:tc>
          <w:tcPr>
            <w:tcW w:w="2595" w:type="dxa"/>
            <w:vMerge/>
            <w:tcBorders>
              <w:top w:val="nil"/>
              <w:left w:val="nil"/>
              <w:bottom w:val="single" w:sz="4" w:space="0" w:color="000000"/>
              <w:right w:val="nil"/>
            </w:tcBorders>
            <w:vAlign w:val="center"/>
            <w:hideMark/>
          </w:tcPr>
          <w:p w14:paraId="3DE756BC"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219A0B0C" w14:textId="77777777" w:rsidTr="00BD4B3C">
        <w:trPr>
          <w:trHeight w:val="285"/>
        </w:trPr>
        <w:tc>
          <w:tcPr>
            <w:tcW w:w="850" w:type="dxa"/>
            <w:vMerge w:val="restart"/>
            <w:tcBorders>
              <w:top w:val="nil"/>
              <w:left w:val="nil"/>
              <w:bottom w:val="single" w:sz="4" w:space="0" w:color="000000"/>
              <w:right w:val="nil"/>
            </w:tcBorders>
            <w:shd w:val="clear" w:color="000000" w:fill="FFFFFF"/>
            <w:noWrap/>
            <w:vAlign w:val="center"/>
            <w:hideMark/>
          </w:tcPr>
          <w:p w14:paraId="1FBE5BB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OSL7</w:t>
            </w:r>
          </w:p>
        </w:tc>
        <w:tc>
          <w:tcPr>
            <w:tcW w:w="728" w:type="dxa"/>
            <w:tcBorders>
              <w:top w:val="nil"/>
              <w:left w:val="nil"/>
              <w:bottom w:val="dotted" w:sz="4" w:space="0" w:color="auto"/>
              <w:right w:val="nil"/>
            </w:tcBorders>
            <w:shd w:val="clear" w:color="000000" w:fill="FFFFFF"/>
            <w:noWrap/>
            <w:vAlign w:val="bottom"/>
            <w:hideMark/>
          </w:tcPr>
          <w:p w14:paraId="64D19A1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dotted" w:sz="4" w:space="0" w:color="auto"/>
              <w:right w:val="nil"/>
            </w:tcBorders>
            <w:shd w:val="clear" w:color="000000" w:fill="FFFFFF"/>
            <w:noWrap/>
            <w:vAlign w:val="bottom"/>
            <w:hideMark/>
          </w:tcPr>
          <w:p w14:paraId="5811C5B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55</w:t>
            </w:r>
          </w:p>
        </w:tc>
        <w:tc>
          <w:tcPr>
            <w:tcW w:w="1529" w:type="dxa"/>
            <w:tcBorders>
              <w:top w:val="nil"/>
              <w:left w:val="nil"/>
              <w:bottom w:val="dotted" w:sz="4" w:space="0" w:color="auto"/>
              <w:right w:val="nil"/>
            </w:tcBorders>
            <w:shd w:val="clear" w:color="000000" w:fill="FFFFFF"/>
            <w:noWrap/>
            <w:vAlign w:val="bottom"/>
            <w:hideMark/>
          </w:tcPr>
          <w:p w14:paraId="3CDBCBE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38 ± 4</w:t>
            </w:r>
          </w:p>
        </w:tc>
        <w:tc>
          <w:tcPr>
            <w:tcW w:w="1256" w:type="dxa"/>
            <w:tcBorders>
              <w:top w:val="nil"/>
              <w:left w:val="nil"/>
              <w:bottom w:val="dotted" w:sz="4" w:space="0" w:color="auto"/>
              <w:right w:val="nil"/>
            </w:tcBorders>
            <w:shd w:val="clear" w:color="000000" w:fill="FFFFFF"/>
            <w:noWrap/>
            <w:vAlign w:val="bottom"/>
            <w:hideMark/>
          </w:tcPr>
          <w:p w14:paraId="5729905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c>
          <w:tcPr>
            <w:tcW w:w="1677" w:type="dxa"/>
            <w:tcBorders>
              <w:top w:val="nil"/>
              <w:left w:val="nil"/>
              <w:bottom w:val="dotted" w:sz="4" w:space="0" w:color="auto"/>
              <w:right w:val="nil"/>
            </w:tcBorders>
            <w:shd w:val="clear" w:color="000000" w:fill="FFFFFF"/>
            <w:noWrap/>
            <w:vAlign w:val="bottom"/>
            <w:hideMark/>
          </w:tcPr>
          <w:p w14:paraId="7093416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tcBorders>
              <w:top w:val="nil"/>
              <w:left w:val="nil"/>
              <w:bottom w:val="nil"/>
              <w:right w:val="nil"/>
            </w:tcBorders>
            <w:shd w:val="clear" w:color="000000" w:fill="FFFFFF"/>
            <w:noWrap/>
            <w:vAlign w:val="center"/>
            <w:hideMark/>
          </w:tcPr>
          <w:p w14:paraId="5C40160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47D745BD" w14:textId="77777777" w:rsidTr="00BD4B3C">
        <w:trPr>
          <w:trHeight w:val="285"/>
        </w:trPr>
        <w:tc>
          <w:tcPr>
            <w:tcW w:w="850" w:type="dxa"/>
            <w:vMerge/>
            <w:tcBorders>
              <w:top w:val="nil"/>
              <w:left w:val="nil"/>
              <w:bottom w:val="single" w:sz="4" w:space="0" w:color="000000"/>
              <w:right w:val="nil"/>
            </w:tcBorders>
            <w:vAlign w:val="center"/>
            <w:hideMark/>
          </w:tcPr>
          <w:p w14:paraId="2DA6928B"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dotted" w:sz="4" w:space="0" w:color="auto"/>
              <w:right w:val="nil"/>
            </w:tcBorders>
            <w:shd w:val="clear" w:color="000000" w:fill="FFFFFF"/>
            <w:noWrap/>
            <w:vAlign w:val="bottom"/>
            <w:hideMark/>
          </w:tcPr>
          <w:p w14:paraId="6A50A76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dotted" w:sz="4" w:space="0" w:color="auto"/>
              <w:right w:val="nil"/>
            </w:tcBorders>
            <w:shd w:val="clear" w:color="000000" w:fill="FFFFFF"/>
            <w:noWrap/>
            <w:vAlign w:val="bottom"/>
            <w:hideMark/>
          </w:tcPr>
          <w:p w14:paraId="3332EA2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81</w:t>
            </w:r>
          </w:p>
        </w:tc>
        <w:tc>
          <w:tcPr>
            <w:tcW w:w="1529" w:type="dxa"/>
            <w:tcBorders>
              <w:top w:val="nil"/>
              <w:left w:val="nil"/>
              <w:bottom w:val="dotted" w:sz="4" w:space="0" w:color="auto"/>
              <w:right w:val="nil"/>
            </w:tcBorders>
            <w:shd w:val="clear" w:color="000000" w:fill="FFFFFF"/>
            <w:noWrap/>
            <w:vAlign w:val="bottom"/>
            <w:hideMark/>
          </w:tcPr>
          <w:p w14:paraId="434D4B1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42 ± 4</w:t>
            </w:r>
          </w:p>
        </w:tc>
        <w:tc>
          <w:tcPr>
            <w:tcW w:w="1256" w:type="dxa"/>
            <w:tcBorders>
              <w:top w:val="nil"/>
              <w:left w:val="nil"/>
              <w:bottom w:val="dotted" w:sz="4" w:space="0" w:color="auto"/>
              <w:right w:val="nil"/>
            </w:tcBorders>
            <w:shd w:val="clear" w:color="000000" w:fill="FFFFFF"/>
            <w:noWrap/>
            <w:vAlign w:val="bottom"/>
            <w:hideMark/>
          </w:tcPr>
          <w:p w14:paraId="0747377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c>
          <w:tcPr>
            <w:tcW w:w="1677" w:type="dxa"/>
            <w:tcBorders>
              <w:top w:val="nil"/>
              <w:left w:val="nil"/>
              <w:bottom w:val="dotted" w:sz="4" w:space="0" w:color="auto"/>
              <w:right w:val="nil"/>
            </w:tcBorders>
            <w:shd w:val="clear" w:color="000000" w:fill="FFFFFF"/>
            <w:noWrap/>
            <w:vAlign w:val="bottom"/>
            <w:hideMark/>
          </w:tcPr>
          <w:p w14:paraId="5227458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tcBorders>
              <w:top w:val="nil"/>
              <w:left w:val="nil"/>
              <w:bottom w:val="nil"/>
              <w:right w:val="nil"/>
            </w:tcBorders>
            <w:shd w:val="clear" w:color="000000" w:fill="FFFFFF"/>
            <w:noWrap/>
            <w:vAlign w:val="center"/>
            <w:hideMark/>
          </w:tcPr>
          <w:p w14:paraId="47A2B3C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0EDA8BFB" w14:textId="77777777" w:rsidTr="00BD4B3C">
        <w:trPr>
          <w:trHeight w:val="285"/>
        </w:trPr>
        <w:tc>
          <w:tcPr>
            <w:tcW w:w="850" w:type="dxa"/>
            <w:vMerge/>
            <w:tcBorders>
              <w:top w:val="nil"/>
              <w:left w:val="nil"/>
              <w:bottom w:val="single" w:sz="4" w:space="0" w:color="000000"/>
              <w:right w:val="nil"/>
            </w:tcBorders>
            <w:vAlign w:val="center"/>
            <w:hideMark/>
          </w:tcPr>
          <w:p w14:paraId="289B2DD7"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val="restart"/>
            <w:tcBorders>
              <w:top w:val="nil"/>
              <w:left w:val="nil"/>
              <w:bottom w:val="dotted" w:sz="4" w:space="0" w:color="000000"/>
              <w:right w:val="nil"/>
            </w:tcBorders>
            <w:shd w:val="clear" w:color="000000" w:fill="FFFFFF"/>
            <w:noWrap/>
            <w:vAlign w:val="center"/>
            <w:hideMark/>
          </w:tcPr>
          <w:p w14:paraId="643A643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vMerge w:val="restart"/>
            <w:tcBorders>
              <w:top w:val="nil"/>
              <w:left w:val="nil"/>
              <w:bottom w:val="dotted" w:sz="4" w:space="0" w:color="000000"/>
              <w:right w:val="nil"/>
            </w:tcBorders>
            <w:shd w:val="clear" w:color="000000" w:fill="FFFFFF"/>
            <w:noWrap/>
            <w:vAlign w:val="center"/>
            <w:hideMark/>
          </w:tcPr>
          <w:p w14:paraId="2F22E33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91</w:t>
            </w:r>
          </w:p>
        </w:tc>
        <w:tc>
          <w:tcPr>
            <w:tcW w:w="1529" w:type="dxa"/>
            <w:vMerge w:val="restart"/>
            <w:tcBorders>
              <w:top w:val="nil"/>
              <w:left w:val="nil"/>
              <w:bottom w:val="dotted" w:sz="4" w:space="0" w:color="000000"/>
              <w:right w:val="nil"/>
            </w:tcBorders>
            <w:shd w:val="clear" w:color="000000" w:fill="FFFFFF"/>
            <w:noWrap/>
            <w:vAlign w:val="center"/>
            <w:hideMark/>
          </w:tcPr>
          <w:p w14:paraId="6873F4B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47 ± 4</w:t>
            </w:r>
          </w:p>
        </w:tc>
        <w:tc>
          <w:tcPr>
            <w:tcW w:w="1256" w:type="dxa"/>
            <w:tcBorders>
              <w:top w:val="nil"/>
              <w:left w:val="nil"/>
              <w:bottom w:val="nil"/>
              <w:right w:val="nil"/>
            </w:tcBorders>
            <w:shd w:val="clear" w:color="000000" w:fill="FFFFFF"/>
            <w:noWrap/>
            <w:vAlign w:val="bottom"/>
            <w:hideMark/>
          </w:tcPr>
          <w:p w14:paraId="4380301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FMM1 (4%)</w:t>
            </w:r>
          </w:p>
        </w:tc>
        <w:tc>
          <w:tcPr>
            <w:tcW w:w="1677" w:type="dxa"/>
            <w:tcBorders>
              <w:top w:val="nil"/>
              <w:left w:val="nil"/>
              <w:bottom w:val="nil"/>
              <w:right w:val="nil"/>
            </w:tcBorders>
            <w:shd w:val="clear" w:color="000000" w:fill="F2F2F2"/>
            <w:noWrap/>
            <w:vAlign w:val="bottom"/>
            <w:hideMark/>
          </w:tcPr>
          <w:p w14:paraId="27C1450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13.4 ± 8.8</w:t>
            </w:r>
          </w:p>
        </w:tc>
        <w:tc>
          <w:tcPr>
            <w:tcW w:w="2595" w:type="dxa"/>
            <w:tcBorders>
              <w:top w:val="nil"/>
              <w:left w:val="nil"/>
              <w:bottom w:val="nil"/>
              <w:right w:val="nil"/>
            </w:tcBorders>
            <w:shd w:val="clear" w:color="000000" w:fill="FFFFFF"/>
            <w:noWrap/>
            <w:vAlign w:val="center"/>
            <w:hideMark/>
          </w:tcPr>
          <w:p w14:paraId="3C83297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5BE8647C" w14:textId="77777777" w:rsidTr="00BD4B3C">
        <w:trPr>
          <w:trHeight w:val="285"/>
        </w:trPr>
        <w:tc>
          <w:tcPr>
            <w:tcW w:w="850" w:type="dxa"/>
            <w:vMerge/>
            <w:tcBorders>
              <w:top w:val="nil"/>
              <w:left w:val="nil"/>
              <w:bottom w:val="single" w:sz="4" w:space="0" w:color="000000"/>
              <w:right w:val="nil"/>
            </w:tcBorders>
            <w:vAlign w:val="center"/>
            <w:hideMark/>
          </w:tcPr>
          <w:p w14:paraId="7138D62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dotted" w:sz="4" w:space="0" w:color="000000"/>
              <w:right w:val="nil"/>
            </w:tcBorders>
            <w:vAlign w:val="center"/>
            <w:hideMark/>
          </w:tcPr>
          <w:p w14:paraId="2C7D6CD1"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dotted" w:sz="4" w:space="0" w:color="000000"/>
              <w:right w:val="nil"/>
            </w:tcBorders>
            <w:vAlign w:val="center"/>
            <w:hideMark/>
          </w:tcPr>
          <w:p w14:paraId="62C45A20"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dotted" w:sz="4" w:space="0" w:color="000000"/>
              <w:right w:val="nil"/>
            </w:tcBorders>
            <w:vAlign w:val="center"/>
            <w:hideMark/>
          </w:tcPr>
          <w:p w14:paraId="21C2736A"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nil"/>
              <w:right w:val="nil"/>
            </w:tcBorders>
            <w:shd w:val="clear" w:color="000000" w:fill="FFFFFF"/>
            <w:noWrap/>
            <w:vAlign w:val="bottom"/>
            <w:hideMark/>
          </w:tcPr>
          <w:p w14:paraId="3BD271A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FMM2 (22%)</w:t>
            </w:r>
          </w:p>
        </w:tc>
        <w:tc>
          <w:tcPr>
            <w:tcW w:w="1677" w:type="dxa"/>
            <w:tcBorders>
              <w:top w:val="nil"/>
              <w:left w:val="nil"/>
              <w:bottom w:val="nil"/>
              <w:right w:val="nil"/>
            </w:tcBorders>
            <w:shd w:val="clear" w:color="000000" w:fill="D9D9D9"/>
            <w:noWrap/>
            <w:vAlign w:val="bottom"/>
            <w:hideMark/>
          </w:tcPr>
          <w:p w14:paraId="135F5D8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29.0 ± 11.3</w:t>
            </w:r>
          </w:p>
        </w:tc>
        <w:tc>
          <w:tcPr>
            <w:tcW w:w="2595" w:type="dxa"/>
            <w:tcBorders>
              <w:top w:val="nil"/>
              <w:left w:val="nil"/>
              <w:bottom w:val="nil"/>
              <w:right w:val="nil"/>
            </w:tcBorders>
            <w:shd w:val="clear" w:color="000000" w:fill="FFFFFF"/>
            <w:noWrap/>
            <w:vAlign w:val="center"/>
            <w:hideMark/>
          </w:tcPr>
          <w:p w14:paraId="4C93C48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3E0C144D" w14:textId="77777777" w:rsidTr="00BD4B3C">
        <w:trPr>
          <w:trHeight w:val="285"/>
        </w:trPr>
        <w:tc>
          <w:tcPr>
            <w:tcW w:w="850" w:type="dxa"/>
            <w:vMerge/>
            <w:tcBorders>
              <w:top w:val="nil"/>
              <w:left w:val="nil"/>
              <w:bottom w:val="single" w:sz="4" w:space="0" w:color="000000"/>
              <w:right w:val="nil"/>
            </w:tcBorders>
            <w:vAlign w:val="center"/>
            <w:hideMark/>
          </w:tcPr>
          <w:p w14:paraId="7D63CE4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dotted" w:sz="4" w:space="0" w:color="000000"/>
              <w:right w:val="nil"/>
            </w:tcBorders>
            <w:vAlign w:val="center"/>
            <w:hideMark/>
          </w:tcPr>
          <w:p w14:paraId="78ED3C7A"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dotted" w:sz="4" w:space="0" w:color="000000"/>
              <w:right w:val="nil"/>
            </w:tcBorders>
            <w:vAlign w:val="center"/>
            <w:hideMark/>
          </w:tcPr>
          <w:p w14:paraId="403607A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dotted" w:sz="4" w:space="0" w:color="000000"/>
              <w:right w:val="nil"/>
            </w:tcBorders>
            <w:vAlign w:val="center"/>
            <w:hideMark/>
          </w:tcPr>
          <w:p w14:paraId="73CFC0AB"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dotted" w:sz="4" w:space="0" w:color="auto"/>
              <w:right w:val="nil"/>
            </w:tcBorders>
            <w:shd w:val="clear" w:color="000000" w:fill="FFFFFF"/>
            <w:noWrap/>
            <w:vAlign w:val="bottom"/>
            <w:hideMark/>
          </w:tcPr>
          <w:p w14:paraId="041F52C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FMM3 (74%)</w:t>
            </w:r>
          </w:p>
        </w:tc>
        <w:tc>
          <w:tcPr>
            <w:tcW w:w="1677" w:type="dxa"/>
            <w:tcBorders>
              <w:top w:val="nil"/>
              <w:left w:val="nil"/>
              <w:bottom w:val="dotted" w:sz="4" w:space="0" w:color="auto"/>
              <w:right w:val="nil"/>
            </w:tcBorders>
            <w:shd w:val="clear" w:color="000000" w:fill="BFBFBF"/>
            <w:noWrap/>
            <w:vAlign w:val="bottom"/>
            <w:hideMark/>
          </w:tcPr>
          <w:p w14:paraId="40B6D96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124.5 ± 60.9</w:t>
            </w:r>
          </w:p>
        </w:tc>
        <w:tc>
          <w:tcPr>
            <w:tcW w:w="2595" w:type="dxa"/>
            <w:tcBorders>
              <w:top w:val="nil"/>
              <w:left w:val="nil"/>
              <w:bottom w:val="nil"/>
              <w:right w:val="nil"/>
            </w:tcBorders>
            <w:shd w:val="clear" w:color="000000" w:fill="FFFFFF"/>
            <w:noWrap/>
            <w:vAlign w:val="center"/>
            <w:hideMark/>
          </w:tcPr>
          <w:p w14:paraId="41BE569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xml:space="preserve">FMM1 (5%) = </w:t>
            </w:r>
            <w:r w:rsidRPr="00347938">
              <w:rPr>
                <w:rFonts w:ascii="Times New Roman" w:eastAsia="Times New Roman" w:hAnsi="Times New Roman" w:cs="Times New Roman"/>
                <w:b/>
                <w:bCs/>
                <w:color w:val="000000"/>
                <w:sz w:val="20"/>
                <w:szCs w:val="20"/>
                <w:lang w:eastAsia="en-AU"/>
              </w:rPr>
              <w:t>13.9 ± 7.7</w:t>
            </w:r>
          </w:p>
        </w:tc>
      </w:tr>
      <w:tr w:rsidR="003D5210" w:rsidRPr="00347938" w14:paraId="6FFFEED6" w14:textId="77777777" w:rsidTr="00BD4B3C">
        <w:trPr>
          <w:trHeight w:val="285"/>
        </w:trPr>
        <w:tc>
          <w:tcPr>
            <w:tcW w:w="850" w:type="dxa"/>
            <w:vMerge/>
            <w:tcBorders>
              <w:top w:val="nil"/>
              <w:left w:val="nil"/>
              <w:bottom w:val="single" w:sz="4" w:space="0" w:color="000000"/>
              <w:right w:val="nil"/>
            </w:tcBorders>
            <w:vAlign w:val="center"/>
            <w:hideMark/>
          </w:tcPr>
          <w:p w14:paraId="7073B21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val="restart"/>
            <w:tcBorders>
              <w:top w:val="nil"/>
              <w:left w:val="nil"/>
              <w:bottom w:val="dotted" w:sz="4" w:space="0" w:color="000000"/>
              <w:right w:val="nil"/>
            </w:tcBorders>
            <w:shd w:val="clear" w:color="000000" w:fill="FFFFFF"/>
            <w:noWrap/>
            <w:vAlign w:val="center"/>
            <w:hideMark/>
          </w:tcPr>
          <w:p w14:paraId="2183768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vMerge w:val="restart"/>
            <w:tcBorders>
              <w:top w:val="nil"/>
              <w:left w:val="nil"/>
              <w:bottom w:val="dotted" w:sz="4" w:space="0" w:color="000000"/>
              <w:right w:val="nil"/>
            </w:tcBorders>
            <w:shd w:val="clear" w:color="000000" w:fill="FFFFFF"/>
            <w:noWrap/>
            <w:vAlign w:val="center"/>
            <w:hideMark/>
          </w:tcPr>
          <w:p w14:paraId="4B668A4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69</w:t>
            </w:r>
          </w:p>
        </w:tc>
        <w:tc>
          <w:tcPr>
            <w:tcW w:w="1529" w:type="dxa"/>
            <w:vMerge w:val="restart"/>
            <w:tcBorders>
              <w:top w:val="nil"/>
              <w:left w:val="nil"/>
              <w:bottom w:val="dotted" w:sz="4" w:space="0" w:color="000000"/>
              <w:right w:val="nil"/>
            </w:tcBorders>
            <w:shd w:val="clear" w:color="000000" w:fill="FFFFFF"/>
            <w:noWrap/>
            <w:vAlign w:val="center"/>
            <w:hideMark/>
          </w:tcPr>
          <w:p w14:paraId="37D3CE5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43 ± 4</w:t>
            </w:r>
          </w:p>
        </w:tc>
        <w:tc>
          <w:tcPr>
            <w:tcW w:w="1256" w:type="dxa"/>
            <w:tcBorders>
              <w:top w:val="nil"/>
              <w:left w:val="nil"/>
              <w:bottom w:val="nil"/>
              <w:right w:val="nil"/>
            </w:tcBorders>
            <w:shd w:val="clear" w:color="000000" w:fill="FFFFFF"/>
            <w:noWrap/>
            <w:vAlign w:val="bottom"/>
            <w:hideMark/>
          </w:tcPr>
          <w:p w14:paraId="539EAAF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FMM1 (0%)</w:t>
            </w:r>
          </w:p>
        </w:tc>
        <w:tc>
          <w:tcPr>
            <w:tcW w:w="1677" w:type="dxa"/>
            <w:tcBorders>
              <w:top w:val="nil"/>
              <w:left w:val="nil"/>
              <w:bottom w:val="nil"/>
              <w:right w:val="nil"/>
            </w:tcBorders>
            <w:shd w:val="clear" w:color="000000" w:fill="FFFFFF"/>
            <w:noWrap/>
            <w:vAlign w:val="bottom"/>
            <w:hideMark/>
          </w:tcPr>
          <w:p w14:paraId="09112EF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w:t>
            </w:r>
          </w:p>
        </w:tc>
        <w:tc>
          <w:tcPr>
            <w:tcW w:w="2595" w:type="dxa"/>
            <w:tcBorders>
              <w:top w:val="nil"/>
              <w:left w:val="nil"/>
              <w:bottom w:val="nil"/>
              <w:right w:val="nil"/>
            </w:tcBorders>
            <w:shd w:val="clear" w:color="000000" w:fill="FFFFFF"/>
            <w:noWrap/>
            <w:vAlign w:val="center"/>
            <w:hideMark/>
          </w:tcPr>
          <w:p w14:paraId="7343181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FMM2 (22%) =</w:t>
            </w:r>
            <w:r w:rsidRPr="00347938">
              <w:rPr>
                <w:rFonts w:ascii="Times New Roman" w:eastAsia="Times New Roman" w:hAnsi="Times New Roman" w:cs="Times New Roman"/>
                <w:b/>
                <w:bCs/>
                <w:color w:val="000000"/>
                <w:sz w:val="20"/>
                <w:szCs w:val="20"/>
                <w:lang w:eastAsia="en-AU"/>
              </w:rPr>
              <w:t xml:space="preserve"> 28.0 ± 7.0</w:t>
            </w:r>
          </w:p>
        </w:tc>
      </w:tr>
      <w:tr w:rsidR="003D5210" w:rsidRPr="00347938" w14:paraId="56C1DD7D" w14:textId="77777777" w:rsidTr="00BD4B3C">
        <w:trPr>
          <w:trHeight w:val="285"/>
        </w:trPr>
        <w:tc>
          <w:tcPr>
            <w:tcW w:w="850" w:type="dxa"/>
            <w:vMerge/>
            <w:tcBorders>
              <w:top w:val="nil"/>
              <w:left w:val="nil"/>
              <w:bottom w:val="single" w:sz="4" w:space="0" w:color="000000"/>
              <w:right w:val="nil"/>
            </w:tcBorders>
            <w:vAlign w:val="center"/>
            <w:hideMark/>
          </w:tcPr>
          <w:p w14:paraId="487A88D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dotted" w:sz="4" w:space="0" w:color="000000"/>
              <w:right w:val="nil"/>
            </w:tcBorders>
            <w:vAlign w:val="center"/>
            <w:hideMark/>
          </w:tcPr>
          <w:p w14:paraId="1FE09F1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dotted" w:sz="4" w:space="0" w:color="000000"/>
              <w:right w:val="nil"/>
            </w:tcBorders>
            <w:vAlign w:val="center"/>
            <w:hideMark/>
          </w:tcPr>
          <w:p w14:paraId="0744CA72"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dotted" w:sz="4" w:space="0" w:color="000000"/>
              <w:right w:val="nil"/>
            </w:tcBorders>
            <w:vAlign w:val="center"/>
            <w:hideMark/>
          </w:tcPr>
          <w:p w14:paraId="75171FA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nil"/>
              <w:right w:val="nil"/>
            </w:tcBorders>
            <w:shd w:val="clear" w:color="000000" w:fill="FFFFFF"/>
            <w:noWrap/>
            <w:vAlign w:val="bottom"/>
            <w:hideMark/>
          </w:tcPr>
          <w:p w14:paraId="132611E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FMM2 (20%)</w:t>
            </w:r>
          </w:p>
        </w:tc>
        <w:tc>
          <w:tcPr>
            <w:tcW w:w="1677" w:type="dxa"/>
            <w:tcBorders>
              <w:top w:val="nil"/>
              <w:left w:val="nil"/>
              <w:bottom w:val="nil"/>
              <w:right w:val="nil"/>
            </w:tcBorders>
            <w:shd w:val="clear" w:color="000000" w:fill="D9D9D9"/>
            <w:noWrap/>
            <w:vAlign w:val="bottom"/>
            <w:hideMark/>
          </w:tcPr>
          <w:p w14:paraId="3689824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30.0 ± 12.7</w:t>
            </w:r>
          </w:p>
        </w:tc>
        <w:tc>
          <w:tcPr>
            <w:tcW w:w="2595" w:type="dxa"/>
            <w:tcBorders>
              <w:top w:val="nil"/>
              <w:left w:val="nil"/>
              <w:bottom w:val="nil"/>
              <w:right w:val="nil"/>
            </w:tcBorders>
            <w:shd w:val="clear" w:color="000000" w:fill="FFFFFF"/>
            <w:noWrap/>
            <w:vAlign w:val="center"/>
            <w:hideMark/>
          </w:tcPr>
          <w:p w14:paraId="545833A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xml:space="preserve">FMM3 (73%) = </w:t>
            </w:r>
            <w:r w:rsidRPr="00347938">
              <w:rPr>
                <w:rFonts w:ascii="Times New Roman" w:eastAsia="Times New Roman" w:hAnsi="Times New Roman" w:cs="Times New Roman"/>
                <w:b/>
                <w:bCs/>
                <w:color w:val="000000"/>
                <w:sz w:val="20"/>
                <w:szCs w:val="20"/>
                <w:lang w:eastAsia="en-AU"/>
              </w:rPr>
              <w:t>122.6 ± 23.2</w:t>
            </w:r>
          </w:p>
        </w:tc>
      </w:tr>
      <w:tr w:rsidR="003D5210" w:rsidRPr="00347938" w14:paraId="73681594" w14:textId="77777777" w:rsidTr="00BD4B3C">
        <w:trPr>
          <w:trHeight w:val="285"/>
        </w:trPr>
        <w:tc>
          <w:tcPr>
            <w:tcW w:w="850" w:type="dxa"/>
            <w:vMerge/>
            <w:tcBorders>
              <w:top w:val="nil"/>
              <w:left w:val="nil"/>
              <w:bottom w:val="single" w:sz="4" w:space="0" w:color="000000"/>
              <w:right w:val="nil"/>
            </w:tcBorders>
            <w:vAlign w:val="center"/>
            <w:hideMark/>
          </w:tcPr>
          <w:p w14:paraId="665AE61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dotted" w:sz="4" w:space="0" w:color="000000"/>
              <w:right w:val="nil"/>
            </w:tcBorders>
            <w:vAlign w:val="center"/>
            <w:hideMark/>
          </w:tcPr>
          <w:p w14:paraId="483AE15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dotted" w:sz="4" w:space="0" w:color="000000"/>
              <w:right w:val="nil"/>
            </w:tcBorders>
            <w:vAlign w:val="center"/>
            <w:hideMark/>
          </w:tcPr>
          <w:p w14:paraId="15E3BBA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dotted" w:sz="4" w:space="0" w:color="000000"/>
              <w:right w:val="nil"/>
            </w:tcBorders>
            <w:vAlign w:val="center"/>
            <w:hideMark/>
          </w:tcPr>
          <w:p w14:paraId="5CA2782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dotted" w:sz="4" w:space="0" w:color="auto"/>
              <w:right w:val="nil"/>
            </w:tcBorders>
            <w:shd w:val="clear" w:color="000000" w:fill="FFFFFF"/>
            <w:noWrap/>
            <w:vAlign w:val="bottom"/>
            <w:hideMark/>
          </w:tcPr>
          <w:p w14:paraId="5FE7D6B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FMM3 (80%)</w:t>
            </w:r>
          </w:p>
        </w:tc>
        <w:tc>
          <w:tcPr>
            <w:tcW w:w="1677" w:type="dxa"/>
            <w:tcBorders>
              <w:top w:val="nil"/>
              <w:left w:val="nil"/>
              <w:bottom w:val="dotted" w:sz="4" w:space="0" w:color="auto"/>
              <w:right w:val="nil"/>
            </w:tcBorders>
            <w:shd w:val="clear" w:color="000000" w:fill="BFBFBF"/>
            <w:noWrap/>
            <w:vAlign w:val="bottom"/>
            <w:hideMark/>
          </w:tcPr>
          <w:p w14:paraId="5C24276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128.4 ± 41.7</w:t>
            </w:r>
          </w:p>
        </w:tc>
        <w:tc>
          <w:tcPr>
            <w:tcW w:w="2595" w:type="dxa"/>
            <w:tcBorders>
              <w:top w:val="nil"/>
              <w:left w:val="nil"/>
              <w:bottom w:val="nil"/>
              <w:right w:val="nil"/>
            </w:tcBorders>
            <w:shd w:val="clear" w:color="000000" w:fill="FFFFFF"/>
            <w:noWrap/>
            <w:vAlign w:val="center"/>
            <w:hideMark/>
          </w:tcPr>
          <w:p w14:paraId="72098CB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0B200A3E" w14:textId="77777777" w:rsidTr="00BD4B3C">
        <w:trPr>
          <w:trHeight w:val="285"/>
        </w:trPr>
        <w:tc>
          <w:tcPr>
            <w:tcW w:w="850" w:type="dxa"/>
            <w:vMerge/>
            <w:tcBorders>
              <w:top w:val="nil"/>
              <w:left w:val="nil"/>
              <w:bottom w:val="single" w:sz="4" w:space="0" w:color="000000"/>
              <w:right w:val="nil"/>
            </w:tcBorders>
            <w:vAlign w:val="center"/>
            <w:hideMark/>
          </w:tcPr>
          <w:p w14:paraId="7B10CB8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val="restart"/>
            <w:tcBorders>
              <w:top w:val="nil"/>
              <w:left w:val="nil"/>
              <w:bottom w:val="single" w:sz="4" w:space="0" w:color="000000"/>
              <w:right w:val="nil"/>
            </w:tcBorders>
            <w:shd w:val="clear" w:color="000000" w:fill="FFFFFF"/>
            <w:noWrap/>
            <w:vAlign w:val="center"/>
            <w:hideMark/>
          </w:tcPr>
          <w:p w14:paraId="4E5C97C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vMerge w:val="restart"/>
            <w:tcBorders>
              <w:top w:val="nil"/>
              <w:left w:val="nil"/>
              <w:bottom w:val="single" w:sz="4" w:space="0" w:color="000000"/>
              <w:right w:val="nil"/>
            </w:tcBorders>
            <w:shd w:val="clear" w:color="000000" w:fill="FFFFFF"/>
            <w:noWrap/>
            <w:vAlign w:val="center"/>
            <w:hideMark/>
          </w:tcPr>
          <w:p w14:paraId="5137FE9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39</w:t>
            </w:r>
          </w:p>
        </w:tc>
        <w:tc>
          <w:tcPr>
            <w:tcW w:w="1529" w:type="dxa"/>
            <w:vMerge w:val="restart"/>
            <w:tcBorders>
              <w:top w:val="nil"/>
              <w:left w:val="nil"/>
              <w:bottom w:val="single" w:sz="4" w:space="0" w:color="000000"/>
              <w:right w:val="nil"/>
            </w:tcBorders>
            <w:shd w:val="clear" w:color="000000" w:fill="FFFFFF"/>
            <w:noWrap/>
            <w:vAlign w:val="center"/>
            <w:hideMark/>
          </w:tcPr>
          <w:p w14:paraId="6C2DE6E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82 ± 9</w:t>
            </w:r>
          </w:p>
        </w:tc>
        <w:tc>
          <w:tcPr>
            <w:tcW w:w="1256" w:type="dxa"/>
            <w:tcBorders>
              <w:top w:val="nil"/>
              <w:left w:val="nil"/>
              <w:bottom w:val="nil"/>
              <w:right w:val="nil"/>
            </w:tcBorders>
            <w:shd w:val="clear" w:color="000000" w:fill="FFFFFF"/>
            <w:noWrap/>
            <w:vAlign w:val="bottom"/>
            <w:hideMark/>
          </w:tcPr>
          <w:p w14:paraId="37FF164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FMM1 (13%)</w:t>
            </w:r>
          </w:p>
        </w:tc>
        <w:tc>
          <w:tcPr>
            <w:tcW w:w="1677" w:type="dxa"/>
            <w:tcBorders>
              <w:top w:val="nil"/>
              <w:left w:val="nil"/>
              <w:bottom w:val="nil"/>
              <w:right w:val="nil"/>
            </w:tcBorders>
            <w:shd w:val="clear" w:color="000000" w:fill="F2F2F2"/>
            <w:noWrap/>
            <w:vAlign w:val="bottom"/>
            <w:hideMark/>
          </w:tcPr>
          <w:p w14:paraId="5006D28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15.2 ± 15.7</w:t>
            </w:r>
          </w:p>
        </w:tc>
        <w:tc>
          <w:tcPr>
            <w:tcW w:w="2595" w:type="dxa"/>
            <w:tcBorders>
              <w:top w:val="nil"/>
              <w:left w:val="nil"/>
              <w:bottom w:val="nil"/>
              <w:right w:val="nil"/>
            </w:tcBorders>
            <w:shd w:val="clear" w:color="000000" w:fill="FFFFFF"/>
            <w:noWrap/>
            <w:vAlign w:val="center"/>
            <w:hideMark/>
          </w:tcPr>
          <w:p w14:paraId="30C8318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30CE659C" w14:textId="77777777" w:rsidTr="00BD4B3C">
        <w:trPr>
          <w:trHeight w:val="285"/>
        </w:trPr>
        <w:tc>
          <w:tcPr>
            <w:tcW w:w="850" w:type="dxa"/>
            <w:vMerge/>
            <w:tcBorders>
              <w:top w:val="nil"/>
              <w:left w:val="nil"/>
              <w:bottom w:val="single" w:sz="4" w:space="0" w:color="000000"/>
              <w:right w:val="nil"/>
            </w:tcBorders>
            <w:vAlign w:val="center"/>
            <w:hideMark/>
          </w:tcPr>
          <w:p w14:paraId="6735A0F9"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single" w:sz="4" w:space="0" w:color="000000"/>
              <w:right w:val="nil"/>
            </w:tcBorders>
            <w:vAlign w:val="center"/>
            <w:hideMark/>
          </w:tcPr>
          <w:p w14:paraId="0F6D4FFE"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single" w:sz="4" w:space="0" w:color="000000"/>
              <w:right w:val="nil"/>
            </w:tcBorders>
            <w:vAlign w:val="center"/>
            <w:hideMark/>
          </w:tcPr>
          <w:p w14:paraId="6FA28D7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single" w:sz="4" w:space="0" w:color="000000"/>
              <w:right w:val="nil"/>
            </w:tcBorders>
            <w:vAlign w:val="center"/>
            <w:hideMark/>
          </w:tcPr>
          <w:p w14:paraId="4A196E3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nil"/>
              <w:right w:val="nil"/>
            </w:tcBorders>
            <w:shd w:val="clear" w:color="000000" w:fill="FFFFFF"/>
            <w:noWrap/>
            <w:vAlign w:val="bottom"/>
            <w:hideMark/>
          </w:tcPr>
          <w:p w14:paraId="4CA6DE9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FMM2 (25%)</w:t>
            </w:r>
          </w:p>
        </w:tc>
        <w:tc>
          <w:tcPr>
            <w:tcW w:w="1677" w:type="dxa"/>
            <w:tcBorders>
              <w:top w:val="nil"/>
              <w:left w:val="nil"/>
              <w:bottom w:val="nil"/>
              <w:right w:val="nil"/>
            </w:tcBorders>
            <w:shd w:val="clear" w:color="000000" w:fill="D9D9D9"/>
            <w:noWrap/>
            <w:vAlign w:val="bottom"/>
            <w:hideMark/>
          </w:tcPr>
          <w:p w14:paraId="38B55AA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24.1 ± 12.0</w:t>
            </w:r>
          </w:p>
        </w:tc>
        <w:tc>
          <w:tcPr>
            <w:tcW w:w="2595" w:type="dxa"/>
            <w:tcBorders>
              <w:top w:val="nil"/>
              <w:left w:val="nil"/>
              <w:bottom w:val="nil"/>
              <w:right w:val="nil"/>
            </w:tcBorders>
            <w:shd w:val="clear" w:color="000000" w:fill="FFFFFF"/>
            <w:noWrap/>
            <w:vAlign w:val="center"/>
            <w:hideMark/>
          </w:tcPr>
          <w:p w14:paraId="2063D42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70EFBE9C" w14:textId="77777777" w:rsidTr="00BD4B3C">
        <w:trPr>
          <w:trHeight w:val="285"/>
        </w:trPr>
        <w:tc>
          <w:tcPr>
            <w:tcW w:w="850" w:type="dxa"/>
            <w:vMerge/>
            <w:tcBorders>
              <w:top w:val="nil"/>
              <w:left w:val="nil"/>
              <w:bottom w:val="single" w:sz="4" w:space="0" w:color="000000"/>
              <w:right w:val="nil"/>
            </w:tcBorders>
            <w:vAlign w:val="center"/>
            <w:hideMark/>
          </w:tcPr>
          <w:p w14:paraId="791CE729"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single" w:sz="4" w:space="0" w:color="000000"/>
              <w:right w:val="nil"/>
            </w:tcBorders>
            <w:vAlign w:val="center"/>
            <w:hideMark/>
          </w:tcPr>
          <w:p w14:paraId="64DD19C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single" w:sz="4" w:space="0" w:color="000000"/>
              <w:right w:val="nil"/>
            </w:tcBorders>
            <w:vAlign w:val="center"/>
            <w:hideMark/>
          </w:tcPr>
          <w:p w14:paraId="1132301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single" w:sz="4" w:space="0" w:color="000000"/>
              <w:right w:val="nil"/>
            </w:tcBorders>
            <w:vAlign w:val="center"/>
            <w:hideMark/>
          </w:tcPr>
          <w:p w14:paraId="4D6B016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nil"/>
              <w:right w:val="nil"/>
            </w:tcBorders>
            <w:shd w:val="clear" w:color="000000" w:fill="FFFFFF"/>
            <w:noWrap/>
            <w:vAlign w:val="bottom"/>
            <w:hideMark/>
          </w:tcPr>
          <w:p w14:paraId="1D217E3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FMM3 (56%)</w:t>
            </w:r>
          </w:p>
        </w:tc>
        <w:tc>
          <w:tcPr>
            <w:tcW w:w="1677" w:type="dxa"/>
            <w:tcBorders>
              <w:top w:val="nil"/>
              <w:left w:val="nil"/>
              <w:bottom w:val="nil"/>
              <w:right w:val="nil"/>
            </w:tcBorders>
            <w:shd w:val="clear" w:color="000000" w:fill="BFBFBF"/>
            <w:noWrap/>
            <w:vAlign w:val="bottom"/>
            <w:hideMark/>
          </w:tcPr>
          <w:p w14:paraId="28F508B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118.3 ± 31.2</w:t>
            </w:r>
          </w:p>
        </w:tc>
        <w:tc>
          <w:tcPr>
            <w:tcW w:w="2595" w:type="dxa"/>
            <w:tcBorders>
              <w:top w:val="nil"/>
              <w:left w:val="nil"/>
              <w:bottom w:val="nil"/>
              <w:right w:val="nil"/>
            </w:tcBorders>
            <w:shd w:val="clear" w:color="000000" w:fill="FFFFFF"/>
            <w:noWrap/>
            <w:vAlign w:val="center"/>
            <w:hideMark/>
          </w:tcPr>
          <w:p w14:paraId="5B5BEF1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4516419F" w14:textId="77777777" w:rsidTr="00BD4B3C">
        <w:trPr>
          <w:trHeight w:val="285"/>
        </w:trPr>
        <w:tc>
          <w:tcPr>
            <w:tcW w:w="850" w:type="dxa"/>
            <w:vMerge/>
            <w:tcBorders>
              <w:top w:val="nil"/>
              <w:left w:val="nil"/>
              <w:bottom w:val="single" w:sz="4" w:space="0" w:color="000000"/>
              <w:right w:val="nil"/>
            </w:tcBorders>
            <w:vAlign w:val="center"/>
            <w:hideMark/>
          </w:tcPr>
          <w:p w14:paraId="3870598A"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vMerge/>
            <w:tcBorders>
              <w:top w:val="nil"/>
              <w:left w:val="nil"/>
              <w:bottom w:val="single" w:sz="4" w:space="0" w:color="000000"/>
              <w:right w:val="nil"/>
            </w:tcBorders>
            <w:vAlign w:val="center"/>
            <w:hideMark/>
          </w:tcPr>
          <w:p w14:paraId="4927C82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004" w:type="dxa"/>
            <w:vMerge/>
            <w:tcBorders>
              <w:top w:val="nil"/>
              <w:left w:val="nil"/>
              <w:bottom w:val="single" w:sz="4" w:space="0" w:color="000000"/>
              <w:right w:val="nil"/>
            </w:tcBorders>
            <w:vAlign w:val="center"/>
            <w:hideMark/>
          </w:tcPr>
          <w:p w14:paraId="1635F21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529" w:type="dxa"/>
            <w:vMerge/>
            <w:tcBorders>
              <w:top w:val="nil"/>
              <w:left w:val="nil"/>
              <w:bottom w:val="single" w:sz="4" w:space="0" w:color="000000"/>
              <w:right w:val="nil"/>
            </w:tcBorders>
            <w:vAlign w:val="center"/>
            <w:hideMark/>
          </w:tcPr>
          <w:p w14:paraId="2E94E3C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256" w:type="dxa"/>
            <w:tcBorders>
              <w:top w:val="nil"/>
              <w:left w:val="nil"/>
              <w:bottom w:val="single" w:sz="4" w:space="0" w:color="auto"/>
              <w:right w:val="nil"/>
            </w:tcBorders>
            <w:shd w:val="clear" w:color="000000" w:fill="FFFFFF"/>
            <w:noWrap/>
            <w:vAlign w:val="bottom"/>
            <w:hideMark/>
          </w:tcPr>
          <w:p w14:paraId="20F2FC1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FMM4 (6%)</w:t>
            </w:r>
          </w:p>
        </w:tc>
        <w:tc>
          <w:tcPr>
            <w:tcW w:w="1677" w:type="dxa"/>
            <w:tcBorders>
              <w:top w:val="nil"/>
              <w:left w:val="nil"/>
              <w:bottom w:val="single" w:sz="4" w:space="0" w:color="auto"/>
              <w:right w:val="nil"/>
            </w:tcBorders>
            <w:shd w:val="clear" w:color="000000" w:fill="FFFFFF"/>
            <w:noWrap/>
            <w:vAlign w:val="bottom"/>
            <w:hideMark/>
          </w:tcPr>
          <w:p w14:paraId="24BE046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tcBorders>
              <w:top w:val="nil"/>
              <w:left w:val="nil"/>
              <w:bottom w:val="single" w:sz="4" w:space="0" w:color="auto"/>
              <w:right w:val="nil"/>
            </w:tcBorders>
            <w:shd w:val="clear" w:color="000000" w:fill="FFFFFF"/>
            <w:noWrap/>
            <w:vAlign w:val="center"/>
            <w:hideMark/>
          </w:tcPr>
          <w:p w14:paraId="28BBBB8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 </w:t>
            </w:r>
          </w:p>
        </w:tc>
      </w:tr>
      <w:tr w:rsidR="003D5210" w:rsidRPr="00347938" w14:paraId="09A1D541" w14:textId="77777777" w:rsidTr="00BD4B3C">
        <w:trPr>
          <w:trHeight w:val="285"/>
        </w:trPr>
        <w:tc>
          <w:tcPr>
            <w:tcW w:w="850" w:type="dxa"/>
            <w:vMerge w:val="restart"/>
            <w:tcBorders>
              <w:top w:val="nil"/>
              <w:left w:val="nil"/>
              <w:bottom w:val="single" w:sz="4" w:space="0" w:color="000000"/>
              <w:right w:val="nil"/>
            </w:tcBorders>
            <w:shd w:val="clear" w:color="000000" w:fill="FFFFFF"/>
            <w:noWrap/>
            <w:vAlign w:val="center"/>
            <w:hideMark/>
          </w:tcPr>
          <w:p w14:paraId="01E05C3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OSL8</w:t>
            </w:r>
          </w:p>
        </w:tc>
        <w:tc>
          <w:tcPr>
            <w:tcW w:w="728" w:type="dxa"/>
            <w:tcBorders>
              <w:top w:val="nil"/>
              <w:left w:val="nil"/>
              <w:bottom w:val="nil"/>
              <w:right w:val="nil"/>
            </w:tcBorders>
            <w:shd w:val="clear" w:color="000000" w:fill="FFFFFF"/>
            <w:noWrap/>
            <w:vAlign w:val="bottom"/>
            <w:hideMark/>
          </w:tcPr>
          <w:p w14:paraId="173E493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nil"/>
              <w:right w:val="nil"/>
            </w:tcBorders>
            <w:shd w:val="clear" w:color="000000" w:fill="FFFFFF"/>
            <w:noWrap/>
            <w:vAlign w:val="bottom"/>
            <w:hideMark/>
          </w:tcPr>
          <w:p w14:paraId="4B8C061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41 (38)</w:t>
            </w:r>
          </w:p>
        </w:tc>
        <w:tc>
          <w:tcPr>
            <w:tcW w:w="1529" w:type="dxa"/>
            <w:tcBorders>
              <w:top w:val="nil"/>
              <w:left w:val="nil"/>
              <w:bottom w:val="nil"/>
              <w:right w:val="nil"/>
            </w:tcBorders>
            <w:shd w:val="clear" w:color="000000" w:fill="FFFFFF"/>
            <w:noWrap/>
            <w:vAlign w:val="bottom"/>
            <w:hideMark/>
          </w:tcPr>
          <w:p w14:paraId="55D2B74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28 ± 3 (8 ± 2)</w:t>
            </w:r>
          </w:p>
        </w:tc>
        <w:tc>
          <w:tcPr>
            <w:tcW w:w="1256" w:type="dxa"/>
            <w:vMerge w:val="restart"/>
            <w:tcBorders>
              <w:top w:val="nil"/>
              <w:left w:val="nil"/>
              <w:bottom w:val="single" w:sz="4" w:space="0" w:color="000000"/>
              <w:right w:val="nil"/>
            </w:tcBorders>
            <w:shd w:val="clear" w:color="000000" w:fill="FFFFFF"/>
            <w:vAlign w:val="center"/>
            <w:hideMark/>
          </w:tcPr>
          <w:p w14:paraId="0FCD587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nMAD+CAM</w:t>
            </w:r>
          </w:p>
        </w:tc>
        <w:tc>
          <w:tcPr>
            <w:tcW w:w="1677" w:type="dxa"/>
            <w:tcBorders>
              <w:top w:val="nil"/>
              <w:left w:val="nil"/>
              <w:bottom w:val="nil"/>
              <w:right w:val="nil"/>
            </w:tcBorders>
            <w:shd w:val="clear" w:color="000000" w:fill="FFFFFF"/>
            <w:noWrap/>
            <w:vAlign w:val="bottom"/>
            <w:hideMark/>
          </w:tcPr>
          <w:p w14:paraId="53C6850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val="restart"/>
            <w:tcBorders>
              <w:top w:val="nil"/>
              <w:left w:val="nil"/>
              <w:bottom w:val="single" w:sz="4" w:space="0" w:color="000000"/>
              <w:right w:val="nil"/>
            </w:tcBorders>
            <w:shd w:val="clear" w:color="000000" w:fill="FFFFFF"/>
            <w:noWrap/>
            <w:vAlign w:val="center"/>
            <w:hideMark/>
          </w:tcPr>
          <w:p w14:paraId="01EA03D6"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229.9 ± 15.9</w:t>
            </w:r>
          </w:p>
        </w:tc>
      </w:tr>
      <w:tr w:rsidR="003D5210" w:rsidRPr="00347938" w14:paraId="0340D3A3" w14:textId="77777777" w:rsidTr="00BD4B3C">
        <w:trPr>
          <w:trHeight w:val="285"/>
        </w:trPr>
        <w:tc>
          <w:tcPr>
            <w:tcW w:w="850" w:type="dxa"/>
            <w:vMerge/>
            <w:tcBorders>
              <w:top w:val="nil"/>
              <w:left w:val="nil"/>
              <w:bottom w:val="single" w:sz="4" w:space="0" w:color="000000"/>
              <w:right w:val="nil"/>
            </w:tcBorders>
            <w:vAlign w:val="center"/>
            <w:hideMark/>
          </w:tcPr>
          <w:p w14:paraId="207ECE0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3BB36C0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nil"/>
              <w:right w:val="nil"/>
            </w:tcBorders>
            <w:shd w:val="clear" w:color="000000" w:fill="FFFFFF"/>
            <w:noWrap/>
            <w:vAlign w:val="bottom"/>
            <w:hideMark/>
          </w:tcPr>
          <w:p w14:paraId="6D43422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80 (76)</w:t>
            </w:r>
          </w:p>
        </w:tc>
        <w:tc>
          <w:tcPr>
            <w:tcW w:w="1529" w:type="dxa"/>
            <w:tcBorders>
              <w:top w:val="nil"/>
              <w:left w:val="nil"/>
              <w:bottom w:val="nil"/>
              <w:right w:val="nil"/>
            </w:tcBorders>
            <w:shd w:val="clear" w:color="000000" w:fill="FFFFFF"/>
            <w:noWrap/>
            <w:vAlign w:val="bottom"/>
            <w:hideMark/>
          </w:tcPr>
          <w:p w14:paraId="484DEE5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18 ± 2 (8 ± 1)</w:t>
            </w:r>
          </w:p>
        </w:tc>
        <w:tc>
          <w:tcPr>
            <w:tcW w:w="1256" w:type="dxa"/>
            <w:vMerge/>
            <w:tcBorders>
              <w:top w:val="nil"/>
              <w:left w:val="nil"/>
              <w:bottom w:val="single" w:sz="4" w:space="0" w:color="000000"/>
              <w:right w:val="nil"/>
            </w:tcBorders>
            <w:vAlign w:val="center"/>
            <w:hideMark/>
          </w:tcPr>
          <w:p w14:paraId="70BC87F1"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FFFFF"/>
            <w:noWrap/>
            <w:vAlign w:val="bottom"/>
            <w:hideMark/>
          </w:tcPr>
          <w:p w14:paraId="0BB825A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tcBorders>
              <w:top w:val="nil"/>
              <w:left w:val="nil"/>
              <w:bottom w:val="single" w:sz="4" w:space="0" w:color="000000"/>
              <w:right w:val="nil"/>
            </w:tcBorders>
            <w:vAlign w:val="center"/>
            <w:hideMark/>
          </w:tcPr>
          <w:p w14:paraId="328A6B3D"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7693C8F8" w14:textId="77777777" w:rsidTr="00BD4B3C">
        <w:trPr>
          <w:trHeight w:val="285"/>
        </w:trPr>
        <w:tc>
          <w:tcPr>
            <w:tcW w:w="850" w:type="dxa"/>
            <w:vMerge/>
            <w:tcBorders>
              <w:top w:val="nil"/>
              <w:left w:val="nil"/>
              <w:bottom w:val="single" w:sz="4" w:space="0" w:color="000000"/>
              <w:right w:val="nil"/>
            </w:tcBorders>
            <w:vAlign w:val="center"/>
            <w:hideMark/>
          </w:tcPr>
          <w:p w14:paraId="6903CAD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51895D8B"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tcBorders>
              <w:top w:val="nil"/>
              <w:left w:val="nil"/>
              <w:bottom w:val="nil"/>
              <w:right w:val="nil"/>
            </w:tcBorders>
            <w:shd w:val="clear" w:color="000000" w:fill="FFFFFF"/>
            <w:noWrap/>
            <w:vAlign w:val="bottom"/>
            <w:hideMark/>
          </w:tcPr>
          <w:p w14:paraId="1DD67A4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53 (47)</w:t>
            </w:r>
          </w:p>
        </w:tc>
        <w:tc>
          <w:tcPr>
            <w:tcW w:w="1529" w:type="dxa"/>
            <w:tcBorders>
              <w:top w:val="nil"/>
              <w:left w:val="nil"/>
              <w:bottom w:val="nil"/>
              <w:right w:val="nil"/>
            </w:tcBorders>
            <w:shd w:val="clear" w:color="000000" w:fill="FFFFFF"/>
            <w:noWrap/>
            <w:vAlign w:val="bottom"/>
            <w:hideMark/>
          </w:tcPr>
          <w:p w14:paraId="481D0AD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24 ± 3 (13 ± 2)</w:t>
            </w:r>
          </w:p>
        </w:tc>
        <w:tc>
          <w:tcPr>
            <w:tcW w:w="1256" w:type="dxa"/>
            <w:vMerge/>
            <w:tcBorders>
              <w:top w:val="nil"/>
              <w:left w:val="nil"/>
              <w:bottom w:val="single" w:sz="4" w:space="0" w:color="000000"/>
              <w:right w:val="nil"/>
            </w:tcBorders>
            <w:vAlign w:val="center"/>
            <w:hideMark/>
          </w:tcPr>
          <w:p w14:paraId="1D36DF2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5D1AF83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277.6 ± 34.4</w:t>
            </w:r>
          </w:p>
        </w:tc>
        <w:tc>
          <w:tcPr>
            <w:tcW w:w="2595" w:type="dxa"/>
            <w:vMerge/>
            <w:tcBorders>
              <w:top w:val="nil"/>
              <w:left w:val="nil"/>
              <w:bottom w:val="single" w:sz="4" w:space="0" w:color="000000"/>
              <w:right w:val="nil"/>
            </w:tcBorders>
            <w:vAlign w:val="center"/>
            <w:hideMark/>
          </w:tcPr>
          <w:p w14:paraId="6EB0254C"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25B1B442" w14:textId="77777777" w:rsidTr="00BD4B3C">
        <w:trPr>
          <w:trHeight w:val="285"/>
        </w:trPr>
        <w:tc>
          <w:tcPr>
            <w:tcW w:w="850" w:type="dxa"/>
            <w:vMerge/>
            <w:tcBorders>
              <w:top w:val="nil"/>
              <w:left w:val="nil"/>
              <w:bottom w:val="single" w:sz="4" w:space="0" w:color="000000"/>
              <w:right w:val="nil"/>
            </w:tcBorders>
            <w:vAlign w:val="center"/>
            <w:hideMark/>
          </w:tcPr>
          <w:p w14:paraId="1E91D5BF"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5BC1B96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tcBorders>
              <w:top w:val="nil"/>
              <w:left w:val="nil"/>
              <w:bottom w:val="nil"/>
              <w:right w:val="nil"/>
            </w:tcBorders>
            <w:shd w:val="clear" w:color="000000" w:fill="FFFFFF"/>
            <w:noWrap/>
            <w:vAlign w:val="bottom"/>
            <w:hideMark/>
          </w:tcPr>
          <w:p w14:paraId="31F2AD6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51 (49)</w:t>
            </w:r>
          </w:p>
        </w:tc>
        <w:tc>
          <w:tcPr>
            <w:tcW w:w="1529" w:type="dxa"/>
            <w:tcBorders>
              <w:top w:val="nil"/>
              <w:left w:val="nil"/>
              <w:bottom w:val="nil"/>
              <w:right w:val="nil"/>
            </w:tcBorders>
            <w:shd w:val="clear" w:color="000000" w:fill="FFFFFF"/>
            <w:noWrap/>
            <w:vAlign w:val="bottom"/>
            <w:hideMark/>
          </w:tcPr>
          <w:p w14:paraId="45F28A4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21 ± 2 (15 ± 2)</w:t>
            </w:r>
          </w:p>
        </w:tc>
        <w:tc>
          <w:tcPr>
            <w:tcW w:w="1256" w:type="dxa"/>
            <w:vMerge/>
            <w:tcBorders>
              <w:top w:val="nil"/>
              <w:left w:val="nil"/>
              <w:bottom w:val="single" w:sz="4" w:space="0" w:color="000000"/>
              <w:right w:val="nil"/>
            </w:tcBorders>
            <w:vAlign w:val="center"/>
            <w:hideMark/>
          </w:tcPr>
          <w:p w14:paraId="04B095E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0574526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215.2 ± 12.5</w:t>
            </w:r>
          </w:p>
        </w:tc>
        <w:tc>
          <w:tcPr>
            <w:tcW w:w="2595" w:type="dxa"/>
            <w:vMerge/>
            <w:tcBorders>
              <w:top w:val="nil"/>
              <w:left w:val="nil"/>
              <w:bottom w:val="single" w:sz="4" w:space="0" w:color="000000"/>
              <w:right w:val="nil"/>
            </w:tcBorders>
            <w:vAlign w:val="center"/>
            <w:hideMark/>
          </w:tcPr>
          <w:p w14:paraId="5A8B1BAD"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3D45948" w14:textId="77777777" w:rsidTr="00BD4B3C">
        <w:trPr>
          <w:trHeight w:val="285"/>
        </w:trPr>
        <w:tc>
          <w:tcPr>
            <w:tcW w:w="850" w:type="dxa"/>
            <w:vMerge/>
            <w:tcBorders>
              <w:top w:val="nil"/>
              <w:left w:val="nil"/>
              <w:bottom w:val="single" w:sz="4" w:space="0" w:color="000000"/>
              <w:right w:val="nil"/>
            </w:tcBorders>
            <w:vAlign w:val="center"/>
            <w:hideMark/>
          </w:tcPr>
          <w:p w14:paraId="2D5D1DD9"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single" w:sz="4" w:space="0" w:color="auto"/>
              <w:right w:val="nil"/>
            </w:tcBorders>
            <w:shd w:val="clear" w:color="000000" w:fill="FFFFFF"/>
            <w:noWrap/>
            <w:vAlign w:val="bottom"/>
            <w:hideMark/>
          </w:tcPr>
          <w:p w14:paraId="684EC77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tcBorders>
              <w:top w:val="nil"/>
              <w:left w:val="nil"/>
              <w:bottom w:val="single" w:sz="4" w:space="0" w:color="auto"/>
              <w:right w:val="nil"/>
            </w:tcBorders>
            <w:shd w:val="clear" w:color="000000" w:fill="FFFFFF"/>
            <w:noWrap/>
            <w:vAlign w:val="bottom"/>
            <w:hideMark/>
          </w:tcPr>
          <w:p w14:paraId="31467AC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6 (6)</w:t>
            </w:r>
          </w:p>
        </w:tc>
        <w:tc>
          <w:tcPr>
            <w:tcW w:w="1529" w:type="dxa"/>
            <w:tcBorders>
              <w:top w:val="nil"/>
              <w:left w:val="nil"/>
              <w:bottom w:val="single" w:sz="4" w:space="0" w:color="auto"/>
              <w:right w:val="nil"/>
            </w:tcBorders>
            <w:shd w:val="clear" w:color="000000" w:fill="FFFFFF"/>
            <w:noWrap/>
            <w:vAlign w:val="bottom"/>
            <w:hideMark/>
          </w:tcPr>
          <w:p w14:paraId="77E091E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53 ± 16 (53 ± 16)</w:t>
            </w:r>
          </w:p>
        </w:tc>
        <w:tc>
          <w:tcPr>
            <w:tcW w:w="1256" w:type="dxa"/>
            <w:vMerge/>
            <w:tcBorders>
              <w:top w:val="nil"/>
              <w:left w:val="nil"/>
              <w:bottom w:val="single" w:sz="4" w:space="0" w:color="000000"/>
              <w:right w:val="nil"/>
            </w:tcBorders>
            <w:vAlign w:val="center"/>
            <w:hideMark/>
          </w:tcPr>
          <w:p w14:paraId="7D4B6AC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single" w:sz="4" w:space="0" w:color="auto"/>
              <w:right w:val="nil"/>
            </w:tcBorders>
            <w:shd w:val="clear" w:color="000000" w:fill="FFFFFF"/>
            <w:noWrap/>
            <w:vAlign w:val="bottom"/>
            <w:hideMark/>
          </w:tcPr>
          <w:p w14:paraId="514BE59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w:t>
            </w:r>
          </w:p>
        </w:tc>
        <w:tc>
          <w:tcPr>
            <w:tcW w:w="2595" w:type="dxa"/>
            <w:vMerge/>
            <w:tcBorders>
              <w:top w:val="nil"/>
              <w:left w:val="nil"/>
              <w:bottom w:val="single" w:sz="4" w:space="0" w:color="000000"/>
              <w:right w:val="nil"/>
            </w:tcBorders>
            <w:vAlign w:val="center"/>
            <w:hideMark/>
          </w:tcPr>
          <w:p w14:paraId="67B41D49"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ED62535" w14:textId="77777777" w:rsidTr="00BD4B3C">
        <w:trPr>
          <w:trHeight w:val="285"/>
        </w:trPr>
        <w:tc>
          <w:tcPr>
            <w:tcW w:w="850" w:type="dxa"/>
            <w:vMerge w:val="restart"/>
            <w:tcBorders>
              <w:top w:val="nil"/>
              <w:left w:val="nil"/>
              <w:bottom w:val="single" w:sz="4" w:space="0" w:color="000000"/>
              <w:right w:val="nil"/>
            </w:tcBorders>
            <w:shd w:val="clear" w:color="000000" w:fill="FFFFFF"/>
            <w:noWrap/>
            <w:vAlign w:val="center"/>
            <w:hideMark/>
          </w:tcPr>
          <w:p w14:paraId="0471D7E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OSL9</w:t>
            </w:r>
          </w:p>
        </w:tc>
        <w:tc>
          <w:tcPr>
            <w:tcW w:w="728" w:type="dxa"/>
            <w:tcBorders>
              <w:top w:val="nil"/>
              <w:left w:val="nil"/>
              <w:bottom w:val="nil"/>
              <w:right w:val="nil"/>
            </w:tcBorders>
            <w:shd w:val="clear" w:color="000000" w:fill="FFFFFF"/>
            <w:noWrap/>
            <w:vAlign w:val="bottom"/>
            <w:hideMark/>
          </w:tcPr>
          <w:p w14:paraId="1E73997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nil"/>
              <w:right w:val="nil"/>
            </w:tcBorders>
            <w:shd w:val="clear" w:color="000000" w:fill="FFFFFF"/>
            <w:noWrap/>
            <w:vAlign w:val="bottom"/>
            <w:hideMark/>
          </w:tcPr>
          <w:p w14:paraId="53D37C6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529" w:type="dxa"/>
            <w:tcBorders>
              <w:top w:val="nil"/>
              <w:left w:val="nil"/>
              <w:bottom w:val="nil"/>
              <w:right w:val="nil"/>
            </w:tcBorders>
            <w:shd w:val="clear" w:color="000000" w:fill="FFFFFF"/>
            <w:noWrap/>
            <w:vAlign w:val="bottom"/>
            <w:hideMark/>
          </w:tcPr>
          <w:p w14:paraId="7358D6F4" w14:textId="77777777" w:rsidR="003D5210" w:rsidRPr="00347938" w:rsidRDefault="003D5210" w:rsidP="00BD4B3C">
            <w:pPr>
              <w:spacing w:after="0" w:line="240" w:lineRule="auto"/>
              <w:jc w:val="center"/>
              <w:rPr>
                <w:rFonts w:ascii="Times New Roman" w:eastAsia="Times New Roman" w:hAnsi="Times New Roman" w:cs="Times New Roman"/>
                <w:sz w:val="20"/>
                <w:szCs w:val="20"/>
                <w:lang w:eastAsia="en-AU"/>
              </w:rPr>
            </w:pPr>
            <w:r w:rsidRPr="00347938">
              <w:rPr>
                <w:rFonts w:ascii="Times New Roman" w:eastAsia="Times New Roman" w:hAnsi="Times New Roman" w:cs="Times New Roman"/>
                <w:sz w:val="20"/>
                <w:szCs w:val="20"/>
                <w:lang w:eastAsia="en-AU"/>
              </w:rPr>
              <w:t>2 ± 2</w:t>
            </w:r>
          </w:p>
        </w:tc>
        <w:tc>
          <w:tcPr>
            <w:tcW w:w="1256" w:type="dxa"/>
            <w:vMerge w:val="restart"/>
            <w:tcBorders>
              <w:top w:val="nil"/>
              <w:left w:val="nil"/>
              <w:bottom w:val="single" w:sz="4" w:space="0" w:color="000000"/>
              <w:right w:val="nil"/>
            </w:tcBorders>
            <w:shd w:val="clear" w:color="000000" w:fill="FFFFFF"/>
            <w:noWrap/>
            <w:vAlign w:val="center"/>
            <w:hideMark/>
          </w:tcPr>
          <w:p w14:paraId="323B56C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nMAD+CAM</w:t>
            </w:r>
          </w:p>
        </w:tc>
        <w:tc>
          <w:tcPr>
            <w:tcW w:w="1677" w:type="dxa"/>
            <w:tcBorders>
              <w:top w:val="nil"/>
              <w:left w:val="nil"/>
              <w:bottom w:val="nil"/>
              <w:right w:val="nil"/>
            </w:tcBorders>
            <w:shd w:val="clear" w:color="000000" w:fill="FFFFFF"/>
            <w:noWrap/>
            <w:vAlign w:val="bottom"/>
            <w:hideMark/>
          </w:tcPr>
          <w:p w14:paraId="297D388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w:t>
            </w:r>
          </w:p>
        </w:tc>
        <w:tc>
          <w:tcPr>
            <w:tcW w:w="2595" w:type="dxa"/>
            <w:vMerge w:val="restart"/>
            <w:tcBorders>
              <w:top w:val="nil"/>
              <w:left w:val="nil"/>
              <w:bottom w:val="single" w:sz="4" w:space="0" w:color="000000"/>
              <w:right w:val="nil"/>
            </w:tcBorders>
            <w:shd w:val="clear" w:color="auto" w:fill="auto"/>
            <w:noWrap/>
            <w:vAlign w:val="center"/>
            <w:hideMark/>
          </w:tcPr>
          <w:p w14:paraId="43EDA4C0"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213.8 ± 20.9</w:t>
            </w:r>
          </w:p>
        </w:tc>
      </w:tr>
      <w:tr w:rsidR="003D5210" w:rsidRPr="00347938" w14:paraId="711B5C48" w14:textId="77777777" w:rsidTr="00BD4B3C">
        <w:trPr>
          <w:trHeight w:val="285"/>
        </w:trPr>
        <w:tc>
          <w:tcPr>
            <w:tcW w:w="850" w:type="dxa"/>
            <w:vMerge/>
            <w:tcBorders>
              <w:top w:val="nil"/>
              <w:left w:val="nil"/>
              <w:bottom w:val="single" w:sz="4" w:space="0" w:color="000000"/>
              <w:right w:val="nil"/>
            </w:tcBorders>
            <w:vAlign w:val="center"/>
            <w:hideMark/>
          </w:tcPr>
          <w:p w14:paraId="485E125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5BF31E6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nil"/>
              <w:right w:val="nil"/>
            </w:tcBorders>
            <w:shd w:val="clear" w:color="000000" w:fill="FFFFFF"/>
            <w:noWrap/>
            <w:vAlign w:val="bottom"/>
            <w:hideMark/>
          </w:tcPr>
          <w:p w14:paraId="18E30E9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22 (20)</w:t>
            </w:r>
          </w:p>
        </w:tc>
        <w:tc>
          <w:tcPr>
            <w:tcW w:w="1529" w:type="dxa"/>
            <w:tcBorders>
              <w:top w:val="nil"/>
              <w:left w:val="nil"/>
              <w:bottom w:val="nil"/>
              <w:right w:val="nil"/>
            </w:tcBorders>
            <w:shd w:val="clear" w:color="000000" w:fill="FFFFFF"/>
            <w:noWrap/>
            <w:vAlign w:val="bottom"/>
            <w:hideMark/>
          </w:tcPr>
          <w:p w14:paraId="59B4A72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19 ± 3 (14 ± 3)</w:t>
            </w:r>
          </w:p>
        </w:tc>
        <w:tc>
          <w:tcPr>
            <w:tcW w:w="1256" w:type="dxa"/>
            <w:vMerge/>
            <w:tcBorders>
              <w:top w:val="nil"/>
              <w:left w:val="nil"/>
              <w:bottom w:val="single" w:sz="4" w:space="0" w:color="000000"/>
              <w:right w:val="nil"/>
            </w:tcBorders>
            <w:vAlign w:val="center"/>
            <w:hideMark/>
          </w:tcPr>
          <w:p w14:paraId="027C6DC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FFFFF"/>
            <w:noWrap/>
            <w:vAlign w:val="bottom"/>
            <w:hideMark/>
          </w:tcPr>
          <w:p w14:paraId="7A8BA45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tcBorders>
              <w:top w:val="nil"/>
              <w:left w:val="nil"/>
              <w:bottom w:val="single" w:sz="4" w:space="0" w:color="000000"/>
              <w:right w:val="nil"/>
            </w:tcBorders>
            <w:vAlign w:val="center"/>
            <w:hideMark/>
          </w:tcPr>
          <w:p w14:paraId="5A2C508F"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7E9C314" w14:textId="77777777" w:rsidTr="00BD4B3C">
        <w:trPr>
          <w:trHeight w:val="285"/>
        </w:trPr>
        <w:tc>
          <w:tcPr>
            <w:tcW w:w="850" w:type="dxa"/>
            <w:vMerge/>
            <w:tcBorders>
              <w:top w:val="nil"/>
              <w:left w:val="nil"/>
              <w:bottom w:val="single" w:sz="4" w:space="0" w:color="000000"/>
              <w:right w:val="nil"/>
            </w:tcBorders>
            <w:vAlign w:val="center"/>
            <w:hideMark/>
          </w:tcPr>
          <w:p w14:paraId="41B02A4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1E536E1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tcBorders>
              <w:top w:val="nil"/>
              <w:left w:val="nil"/>
              <w:bottom w:val="nil"/>
              <w:right w:val="nil"/>
            </w:tcBorders>
            <w:shd w:val="clear" w:color="000000" w:fill="FFFFFF"/>
            <w:noWrap/>
            <w:vAlign w:val="bottom"/>
            <w:hideMark/>
          </w:tcPr>
          <w:p w14:paraId="01B24E7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 (8)</w:t>
            </w:r>
          </w:p>
        </w:tc>
        <w:tc>
          <w:tcPr>
            <w:tcW w:w="1529" w:type="dxa"/>
            <w:tcBorders>
              <w:top w:val="nil"/>
              <w:left w:val="nil"/>
              <w:bottom w:val="nil"/>
              <w:right w:val="nil"/>
            </w:tcBorders>
            <w:shd w:val="clear" w:color="000000" w:fill="FFFFFF"/>
            <w:noWrap/>
            <w:vAlign w:val="bottom"/>
            <w:hideMark/>
          </w:tcPr>
          <w:p w14:paraId="30788E8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17 ± 4 (4 ± 2)</w:t>
            </w:r>
          </w:p>
        </w:tc>
        <w:tc>
          <w:tcPr>
            <w:tcW w:w="1256" w:type="dxa"/>
            <w:vMerge/>
            <w:tcBorders>
              <w:top w:val="nil"/>
              <w:left w:val="nil"/>
              <w:bottom w:val="single" w:sz="4" w:space="0" w:color="000000"/>
              <w:right w:val="nil"/>
            </w:tcBorders>
            <w:vAlign w:val="center"/>
            <w:hideMark/>
          </w:tcPr>
          <w:p w14:paraId="1C00E1CF"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FFFFF"/>
            <w:noWrap/>
            <w:vAlign w:val="bottom"/>
            <w:hideMark/>
          </w:tcPr>
          <w:p w14:paraId="68E389F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tcBorders>
              <w:top w:val="nil"/>
              <w:left w:val="nil"/>
              <w:bottom w:val="single" w:sz="4" w:space="0" w:color="000000"/>
              <w:right w:val="nil"/>
            </w:tcBorders>
            <w:vAlign w:val="center"/>
            <w:hideMark/>
          </w:tcPr>
          <w:p w14:paraId="7C313C78"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53B4FE88" w14:textId="77777777" w:rsidTr="00BD4B3C">
        <w:trPr>
          <w:trHeight w:val="285"/>
        </w:trPr>
        <w:tc>
          <w:tcPr>
            <w:tcW w:w="850" w:type="dxa"/>
            <w:vMerge/>
            <w:tcBorders>
              <w:top w:val="nil"/>
              <w:left w:val="nil"/>
              <w:bottom w:val="single" w:sz="4" w:space="0" w:color="000000"/>
              <w:right w:val="nil"/>
            </w:tcBorders>
            <w:vAlign w:val="center"/>
            <w:hideMark/>
          </w:tcPr>
          <w:p w14:paraId="2DED96EE"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0EC3F8F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tcBorders>
              <w:top w:val="nil"/>
              <w:left w:val="nil"/>
              <w:bottom w:val="nil"/>
              <w:right w:val="nil"/>
            </w:tcBorders>
            <w:shd w:val="clear" w:color="000000" w:fill="FFFFFF"/>
            <w:noWrap/>
            <w:vAlign w:val="bottom"/>
            <w:hideMark/>
          </w:tcPr>
          <w:p w14:paraId="0F31C5D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33 (32)</w:t>
            </w:r>
          </w:p>
        </w:tc>
        <w:tc>
          <w:tcPr>
            <w:tcW w:w="1529" w:type="dxa"/>
            <w:tcBorders>
              <w:top w:val="nil"/>
              <w:left w:val="nil"/>
              <w:bottom w:val="nil"/>
              <w:right w:val="nil"/>
            </w:tcBorders>
            <w:shd w:val="clear" w:color="000000" w:fill="FFFFFF"/>
            <w:noWrap/>
            <w:vAlign w:val="bottom"/>
            <w:hideMark/>
          </w:tcPr>
          <w:p w14:paraId="037E800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24 ± 3 (13 ± 2)</w:t>
            </w:r>
          </w:p>
        </w:tc>
        <w:tc>
          <w:tcPr>
            <w:tcW w:w="1256" w:type="dxa"/>
            <w:vMerge/>
            <w:tcBorders>
              <w:top w:val="nil"/>
              <w:left w:val="nil"/>
              <w:bottom w:val="single" w:sz="4" w:space="0" w:color="000000"/>
              <w:right w:val="nil"/>
            </w:tcBorders>
            <w:vAlign w:val="center"/>
            <w:hideMark/>
          </w:tcPr>
          <w:p w14:paraId="270145C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76DE016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158.2 ± 36.9</w:t>
            </w:r>
          </w:p>
        </w:tc>
        <w:tc>
          <w:tcPr>
            <w:tcW w:w="2595" w:type="dxa"/>
            <w:vMerge/>
            <w:tcBorders>
              <w:top w:val="nil"/>
              <w:left w:val="nil"/>
              <w:bottom w:val="single" w:sz="4" w:space="0" w:color="000000"/>
              <w:right w:val="nil"/>
            </w:tcBorders>
            <w:vAlign w:val="center"/>
            <w:hideMark/>
          </w:tcPr>
          <w:p w14:paraId="3DE9F6FC"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28A11932" w14:textId="77777777" w:rsidTr="00BD4B3C">
        <w:trPr>
          <w:trHeight w:val="285"/>
        </w:trPr>
        <w:tc>
          <w:tcPr>
            <w:tcW w:w="850" w:type="dxa"/>
            <w:vMerge/>
            <w:tcBorders>
              <w:top w:val="nil"/>
              <w:left w:val="nil"/>
              <w:bottom w:val="single" w:sz="4" w:space="0" w:color="000000"/>
              <w:right w:val="nil"/>
            </w:tcBorders>
            <w:vAlign w:val="center"/>
            <w:hideMark/>
          </w:tcPr>
          <w:p w14:paraId="6195913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41F0640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tcBorders>
              <w:top w:val="nil"/>
              <w:left w:val="nil"/>
              <w:bottom w:val="nil"/>
              <w:right w:val="nil"/>
            </w:tcBorders>
            <w:shd w:val="clear" w:color="000000" w:fill="FFFFFF"/>
            <w:noWrap/>
            <w:vAlign w:val="bottom"/>
            <w:hideMark/>
          </w:tcPr>
          <w:p w14:paraId="3E39A50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32 (31)</w:t>
            </w:r>
          </w:p>
        </w:tc>
        <w:tc>
          <w:tcPr>
            <w:tcW w:w="1529" w:type="dxa"/>
            <w:tcBorders>
              <w:top w:val="nil"/>
              <w:left w:val="nil"/>
              <w:bottom w:val="nil"/>
              <w:right w:val="nil"/>
            </w:tcBorders>
            <w:shd w:val="clear" w:color="000000" w:fill="FFFFFF"/>
            <w:noWrap/>
            <w:vAlign w:val="bottom"/>
            <w:hideMark/>
          </w:tcPr>
          <w:p w14:paraId="447DB50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25 ± 3 (14 ± 2)</w:t>
            </w:r>
          </w:p>
        </w:tc>
        <w:tc>
          <w:tcPr>
            <w:tcW w:w="1256" w:type="dxa"/>
            <w:vMerge/>
            <w:tcBorders>
              <w:top w:val="nil"/>
              <w:left w:val="nil"/>
              <w:bottom w:val="single" w:sz="4" w:space="0" w:color="000000"/>
              <w:right w:val="nil"/>
            </w:tcBorders>
            <w:vAlign w:val="center"/>
            <w:hideMark/>
          </w:tcPr>
          <w:p w14:paraId="25965DBB"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14968B6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211.2 ± 58.6</w:t>
            </w:r>
          </w:p>
        </w:tc>
        <w:tc>
          <w:tcPr>
            <w:tcW w:w="2595" w:type="dxa"/>
            <w:vMerge/>
            <w:tcBorders>
              <w:top w:val="nil"/>
              <w:left w:val="nil"/>
              <w:bottom w:val="single" w:sz="4" w:space="0" w:color="000000"/>
              <w:right w:val="nil"/>
            </w:tcBorders>
            <w:vAlign w:val="center"/>
            <w:hideMark/>
          </w:tcPr>
          <w:p w14:paraId="6E6EB84B"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5B42AFEE" w14:textId="77777777" w:rsidTr="00BD4B3C">
        <w:trPr>
          <w:trHeight w:val="285"/>
        </w:trPr>
        <w:tc>
          <w:tcPr>
            <w:tcW w:w="850" w:type="dxa"/>
            <w:vMerge/>
            <w:tcBorders>
              <w:top w:val="nil"/>
              <w:left w:val="nil"/>
              <w:bottom w:val="single" w:sz="4" w:space="0" w:color="000000"/>
              <w:right w:val="nil"/>
            </w:tcBorders>
            <w:vAlign w:val="center"/>
            <w:hideMark/>
          </w:tcPr>
          <w:p w14:paraId="4750680F"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72B4D99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6</w:t>
            </w:r>
          </w:p>
        </w:tc>
        <w:tc>
          <w:tcPr>
            <w:tcW w:w="1004" w:type="dxa"/>
            <w:tcBorders>
              <w:top w:val="nil"/>
              <w:left w:val="nil"/>
              <w:bottom w:val="nil"/>
              <w:right w:val="nil"/>
            </w:tcBorders>
            <w:shd w:val="clear" w:color="000000" w:fill="FFFFFF"/>
            <w:noWrap/>
            <w:vAlign w:val="bottom"/>
            <w:hideMark/>
          </w:tcPr>
          <w:p w14:paraId="1F0B92E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39 (37)</w:t>
            </w:r>
          </w:p>
        </w:tc>
        <w:tc>
          <w:tcPr>
            <w:tcW w:w="1529" w:type="dxa"/>
            <w:tcBorders>
              <w:top w:val="nil"/>
              <w:left w:val="nil"/>
              <w:bottom w:val="nil"/>
              <w:right w:val="nil"/>
            </w:tcBorders>
            <w:shd w:val="clear" w:color="000000" w:fill="FFFFFF"/>
            <w:noWrap/>
            <w:vAlign w:val="bottom"/>
            <w:hideMark/>
          </w:tcPr>
          <w:p w14:paraId="1A0E775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31 ± 4 (15 ± 2)</w:t>
            </w:r>
          </w:p>
        </w:tc>
        <w:tc>
          <w:tcPr>
            <w:tcW w:w="1256" w:type="dxa"/>
            <w:vMerge/>
            <w:tcBorders>
              <w:top w:val="nil"/>
              <w:left w:val="nil"/>
              <w:bottom w:val="single" w:sz="4" w:space="0" w:color="000000"/>
              <w:right w:val="nil"/>
            </w:tcBorders>
            <w:vAlign w:val="center"/>
            <w:hideMark/>
          </w:tcPr>
          <w:p w14:paraId="38040D0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0E74C50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198.9 ± 40.2</w:t>
            </w:r>
          </w:p>
        </w:tc>
        <w:tc>
          <w:tcPr>
            <w:tcW w:w="2595" w:type="dxa"/>
            <w:vMerge/>
            <w:tcBorders>
              <w:top w:val="nil"/>
              <w:left w:val="nil"/>
              <w:bottom w:val="single" w:sz="4" w:space="0" w:color="000000"/>
              <w:right w:val="nil"/>
            </w:tcBorders>
            <w:vAlign w:val="center"/>
            <w:hideMark/>
          </w:tcPr>
          <w:p w14:paraId="30B6435A"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CA3391E" w14:textId="77777777" w:rsidTr="00BD4B3C">
        <w:trPr>
          <w:trHeight w:val="285"/>
        </w:trPr>
        <w:tc>
          <w:tcPr>
            <w:tcW w:w="850" w:type="dxa"/>
            <w:vMerge/>
            <w:tcBorders>
              <w:top w:val="nil"/>
              <w:left w:val="nil"/>
              <w:bottom w:val="single" w:sz="4" w:space="0" w:color="000000"/>
              <w:right w:val="nil"/>
            </w:tcBorders>
            <w:vAlign w:val="center"/>
            <w:hideMark/>
          </w:tcPr>
          <w:p w14:paraId="28642E4E"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26512EF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7</w:t>
            </w:r>
          </w:p>
        </w:tc>
        <w:tc>
          <w:tcPr>
            <w:tcW w:w="1004" w:type="dxa"/>
            <w:tcBorders>
              <w:top w:val="nil"/>
              <w:left w:val="nil"/>
              <w:bottom w:val="nil"/>
              <w:right w:val="nil"/>
            </w:tcBorders>
            <w:shd w:val="clear" w:color="000000" w:fill="FFFFFF"/>
            <w:noWrap/>
            <w:vAlign w:val="bottom"/>
            <w:hideMark/>
          </w:tcPr>
          <w:p w14:paraId="1382ADC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21 (20)</w:t>
            </w:r>
          </w:p>
        </w:tc>
        <w:tc>
          <w:tcPr>
            <w:tcW w:w="1529" w:type="dxa"/>
            <w:tcBorders>
              <w:top w:val="nil"/>
              <w:left w:val="nil"/>
              <w:bottom w:val="nil"/>
              <w:right w:val="nil"/>
            </w:tcBorders>
            <w:shd w:val="clear" w:color="000000" w:fill="FFFFFF"/>
            <w:noWrap/>
            <w:vAlign w:val="bottom"/>
            <w:hideMark/>
          </w:tcPr>
          <w:p w14:paraId="1751065B"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16 ± 3 (12 ± 2)</w:t>
            </w:r>
          </w:p>
        </w:tc>
        <w:tc>
          <w:tcPr>
            <w:tcW w:w="1256" w:type="dxa"/>
            <w:vMerge/>
            <w:tcBorders>
              <w:top w:val="nil"/>
              <w:left w:val="nil"/>
              <w:bottom w:val="single" w:sz="4" w:space="0" w:color="000000"/>
              <w:right w:val="nil"/>
            </w:tcBorders>
            <w:vAlign w:val="center"/>
            <w:hideMark/>
          </w:tcPr>
          <w:p w14:paraId="1A6D95D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791A4F9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231.6 ± 25.1</w:t>
            </w:r>
          </w:p>
        </w:tc>
        <w:tc>
          <w:tcPr>
            <w:tcW w:w="2595" w:type="dxa"/>
            <w:vMerge/>
            <w:tcBorders>
              <w:top w:val="nil"/>
              <w:left w:val="nil"/>
              <w:bottom w:val="single" w:sz="4" w:space="0" w:color="000000"/>
              <w:right w:val="nil"/>
            </w:tcBorders>
            <w:vAlign w:val="center"/>
            <w:hideMark/>
          </w:tcPr>
          <w:p w14:paraId="016B4E30"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633B09BF" w14:textId="77777777" w:rsidTr="00BD4B3C">
        <w:trPr>
          <w:trHeight w:val="285"/>
        </w:trPr>
        <w:tc>
          <w:tcPr>
            <w:tcW w:w="850" w:type="dxa"/>
            <w:vMerge/>
            <w:tcBorders>
              <w:top w:val="nil"/>
              <w:left w:val="nil"/>
              <w:bottom w:val="single" w:sz="4" w:space="0" w:color="000000"/>
              <w:right w:val="nil"/>
            </w:tcBorders>
            <w:vAlign w:val="center"/>
            <w:hideMark/>
          </w:tcPr>
          <w:p w14:paraId="6CD2F7C8"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7478AEB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w:t>
            </w:r>
          </w:p>
        </w:tc>
        <w:tc>
          <w:tcPr>
            <w:tcW w:w="1004" w:type="dxa"/>
            <w:tcBorders>
              <w:top w:val="nil"/>
              <w:left w:val="nil"/>
              <w:bottom w:val="nil"/>
              <w:right w:val="nil"/>
            </w:tcBorders>
            <w:shd w:val="clear" w:color="000000" w:fill="FFFFFF"/>
            <w:noWrap/>
            <w:vAlign w:val="bottom"/>
            <w:hideMark/>
          </w:tcPr>
          <w:p w14:paraId="54D3E99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28 (28)</w:t>
            </w:r>
          </w:p>
        </w:tc>
        <w:tc>
          <w:tcPr>
            <w:tcW w:w="1529" w:type="dxa"/>
            <w:tcBorders>
              <w:top w:val="nil"/>
              <w:left w:val="nil"/>
              <w:bottom w:val="nil"/>
              <w:right w:val="nil"/>
            </w:tcBorders>
            <w:shd w:val="clear" w:color="000000" w:fill="FFFFFF"/>
            <w:noWrap/>
            <w:vAlign w:val="bottom"/>
            <w:hideMark/>
          </w:tcPr>
          <w:p w14:paraId="60B42AF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22 ± 3 (22 ± 3)</w:t>
            </w:r>
          </w:p>
        </w:tc>
        <w:tc>
          <w:tcPr>
            <w:tcW w:w="1256" w:type="dxa"/>
            <w:vMerge/>
            <w:tcBorders>
              <w:top w:val="nil"/>
              <w:left w:val="nil"/>
              <w:bottom w:val="single" w:sz="4" w:space="0" w:color="000000"/>
              <w:right w:val="nil"/>
            </w:tcBorders>
            <w:vAlign w:val="center"/>
            <w:hideMark/>
          </w:tcPr>
          <w:p w14:paraId="7AE1A7B6"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3DEBEAB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160.3 ± 12.8</w:t>
            </w:r>
          </w:p>
        </w:tc>
        <w:tc>
          <w:tcPr>
            <w:tcW w:w="2595" w:type="dxa"/>
            <w:vMerge/>
            <w:tcBorders>
              <w:top w:val="nil"/>
              <w:left w:val="nil"/>
              <w:bottom w:val="single" w:sz="4" w:space="0" w:color="000000"/>
              <w:right w:val="nil"/>
            </w:tcBorders>
            <w:vAlign w:val="center"/>
            <w:hideMark/>
          </w:tcPr>
          <w:p w14:paraId="1E98B3EB"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4FF7EFCF" w14:textId="77777777" w:rsidTr="00BD4B3C">
        <w:trPr>
          <w:trHeight w:val="285"/>
        </w:trPr>
        <w:tc>
          <w:tcPr>
            <w:tcW w:w="850" w:type="dxa"/>
            <w:vMerge/>
            <w:tcBorders>
              <w:top w:val="nil"/>
              <w:left w:val="nil"/>
              <w:bottom w:val="single" w:sz="4" w:space="0" w:color="000000"/>
              <w:right w:val="nil"/>
            </w:tcBorders>
            <w:vAlign w:val="center"/>
            <w:hideMark/>
          </w:tcPr>
          <w:p w14:paraId="6AF1DA3F"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single" w:sz="4" w:space="0" w:color="auto"/>
              <w:right w:val="nil"/>
            </w:tcBorders>
            <w:shd w:val="clear" w:color="000000" w:fill="FFFFFF"/>
            <w:noWrap/>
            <w:vAlign w:val="bottom"/>
            <w:hideMark/>
          </w:tcPr>
          <w:p w14:paraId="5B4E985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9</w:t>
            </w:r>
          </w:p>
        </w:tc>
        <w:tc>
          <w:tcPr>
            <w:tcW w:w="1004" w:type="dxa"/>
            <w:tcBorders>
              <w:top w:val="nil"/>
              <w:left w:val="nil"/>
              <w:bottom w:val="single" w:sz="4" w:space="0" w:color="auto"/>
              <w:right w:val="nil"/>
            </w:tcBorders>
            <w:shd w:val="clear" w:color="000000" w:fill="FFFFFF"/>
            <w:noWrap/>
            <w:vAlign w:val="bottom"/>
            <w:hideMark/>
          </w:tcPr>
          <w:p w14:paraId="71386D8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529" w:type="dxa"/>
            <w:tcBorders>
              <w:top w:val="nil"/>
              <w:left w:val="nil"/>
              <w:bottom w:val="single" w:sz="4" w:space="0" w:color="auto"/>
              <w:right w:val="nil"/>
            </w:tcBorders>
            <w:shd w:val="clear" w:color="000000" w:fill="FFFFFF"/>
            <w:noWrap/>
            <w:vAlign w:val="bottom"/>
            <w:hideMark/>
          </w:tcPr>
          <w:p w14:paraId="1CCE6E92"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37 ± 19</w:t>
            </w:r>
          </w:p>
        </w:tc>
        <w:tc>
          <w:tcPr>
            <w:tcW w:w="1256" w:type="dxa"/>
            <w:vMerge/>
            <w:tcBorders>
              <w:top w:val="nil"/>
              <w:left w:val="nil"/>
              <w:bottom w:val="single" w:sz="4" w:space="0" w:color="000000"/>
              <w:right w:val="nil"/>
            </w:tcBorders>
            <w:vAlign w:val="center"/>
            <w:hideMark/>
          </w:tcPr>
          <w:p w14:paraId="3674963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single" w:sz="4" w:space="0" w:color="auto"/>
              <w:right w:val="nil"/>
            </w:tcBorders>
            <w:shd w:val="clear" w:color="000000" w:fill="FFFFFF"/>
            <w:noWrap/>
            <w:vAlign w:val="bottom"/>
            <w:hideMark/>
          </w:tcPr>
          <w:p w14:paraId="31B3277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w:t>
            </w:r>
          </w:p>
        </w:tc>
        <w:tc>
          <w:tcPr>
            <w:tcW w:w="2595" w:type="dxa"/>
            <w:vMerge/>
            <w:tcBorders>
              <w:top w:val="nil"/>
              <w:left w:val="nil"/>
              <w:bottom w:val="single" w:sz="4" w:space="0" w:color="000000"/>
              <w:right w:val="nil"/>
            </w:tcBorders>
            <w:vAlign w:val="center"/>
            <w:hideMark/>
          </w:tcPr>
          <w:p w14:paraId="40FD4975"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39D1E1A0" w14:textId="77777777" w:rsidTr="00BD4B3C">
        <w:trPr>
          <w:trHeight w:val="300"/>
        </w:trPr>
        <w:tc>
          <w:tcPr>
            <w:tcW w:w="850" w:type="dxa"/>
            <w:vMerge w:val="restart"/>
            <w:tcBorders>
              <w:top w:val="nil"/>
              <w:left w:val="nil"/>
              <w:bottom w:val="single" w:sz="4" w:space="0" w:color="000000"/>
              <w:right w:val="nil"/>
            </w:tcBorders>
            <w:shd w:val="clear" w:color="000000" w:fill="FFFFFF"/>
            <w:noWrap/>
            <w:vAlign w:val="center"/>
            <w:hideMark/>
          </w:tcPr>
          <w:p w14:paraId="75B7BE06"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OSL13</w:t>
            </w:r>
          </w:p>
        </w:tc>
        <w:tc>
          <w:tcPr>
            <w:tcW w:w="728" w:type="dxa"/>
            <w:tcBorders>
              <w:top w:val="nil"/>
              <w:left w:val="nil"/>
              <w:bottom w:val="nil"/>
              <w:right w:val="nil"/>
            </w:tcBorders>
            <w:shd w:val="clear" w:color="000000" w:fill="FFFFFF"/>
            <w:noWrap/>
            <w:vAlign w:val="bottom"/>
            <w:hideMark/>
          </w:tcPr>
          <w:p w14:paraId="2501E69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w:t>
            </w:r>
          </w:p>
        </w:tc>
        <w:tc>
          <w:tcPr>
            <w:tcW w:w="1004" w:type="dxa"/>
            <w:tcBorders>
              <w:top w:val="nil"/>
              <w:left w:val="nil"/>
              <w:bottom w:val="nil"/>
              <w:right w:val="nil"/>
            </w:tcBorders>
            <w:shd w:val="clear" w:color="000000" w:fill="FFFFFF"/>
            <w:noWrap/>
            <w:vAlign w:val="bottom"/>
            <w:hideMark/>
          </w:tcPr>
          <w:p w14:paraId="54F8E761"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10 (8)</w:t>
            </w:r>
          </w:p>
        </w:tc>
        <w:tc>
          <w:tcPr>
            <w:tcW w:w="1529" w:type="dxa"/>
            <w:tcBorders>
              <w:top w:val="nil"/>
              <w:left w:val="nil"/>
              <w:bottom w:val="nil"/>
              <w:right w:val="nil"/>
            </w:tcBorders>
            <w:shd w:val="clear" w:color="000000" w:fill="FFFFFF"/>
            <w:noWrap/>
            <w:vAlign w:val="bottom"/>
            <w:hideMark/>
          </w:tcPr>
          <w:p w14:paraId="6BD165F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15 ± 4 (4 ± 2)</w:t>
            </w:r>
          </w:p>
        </w:tc>
        <w:tc>
          <w:tcPr>
            <w:tcW w:w="1256" w:type="dxa"/>
            <w:vMerge w:val="restart"/>
            <w:tcBorders>
              <w:top w:val="nil"/>
              <w:left w:val="nil"/>
              <w:bottom w:val="single" w:sz="4" w:space="0" w:color="000000"/>
              <w:right w:val="nil"/>
            </w:tcBorders>
            <w:shd w:val="clear" w:color="000000" w:fill="FFFFFF"/>
            <w:noWrap/>
            <w:vAlign w:val="center"/>
            <w:hideMark/>
          </w:tcPr>
          <w:p w14:paraId="5B421DA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nMAD+CAM</w:t>
            </w:r>
          </w:p>
        </w:tc>
        <w:tc>
          <w:tcPr>
            <w:tcW w:w="1677" w:type="dxa"/>
            <w:tcBorders>
              <w:top w:val="nil"/>
              <w:left w:val="nil"/>
              <w:bottom w:val="nil"/>
              <w:right w:val="nil"/>
            </w:tcBorders>
            <w:shd w:val="clear" w:color="000000" w:fill="FFFFFF"/>
            <w:noWrap/>
            <w:vAlign w:val="bottom"/>
            <w:hideMark/>
          </w:tcPr>
          <w:p w14:paraId="127991C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Saturated</w:t>
            </w:r>
          </w:p>
        </w:tc>
        <w:tc>
          <w:tcPr>
            <w:tcW w:w="2595" w:type="dxa"/>
            <w:vMerge w:val="restart"/>
            <w:tcBorders>
              <w:top w:val="nil"/>
              <w:left w:val="nil"/>
              <w:bottom w:val="single" w:sz="4" w:space="0" w:color="000000"/>
              <w:right w:val="nil"/>
            </w:tcBorders>
            <w:shd w:val="clear" w:color="auto" w:fill="auto"/>
            <w:noWrap/>
            <w:vAlign w:val="center"/>
            <w:hideMark/>
          </w:tcPr>
          <w:p w14:paraId="5CDA328B" w14:textId="77777777" w:rsidR="003D5210" w:rsidRPr="00347938" w:rsidRDefault="003D5210" w:rsidP="00BD4B3C">
            <w:pPr>
              <w:spacing w:after="0" w:line="240" w:lineRule="auto"/>
              <w:jc w:val="center"/>
              <w:rPr>
                <w:rFonts w:ascii="Times New Roman" w:eastAsia="Times New Roman" w:hAnsi="Times New Roman" w:cs="Times New Roman"/>
                <w:b/>
                <w:bCs/>
                <w:color w:val="000000"/>
                <w:sz w:val="20"/>
                <w:szCs w:val="20"/>
                <w:lang w:eastAsia="en-AU"/>
              </w:rPr>
            </w:pPr>
            <w:r w:rsidRPr="00347938">
              <w:rPr>
                <w:rFonts w:ascii="Times New Roman" w:eastAsia="Times New Roman" w:hAnsi="Times New Roman" w:cs="Times New Roman"/>
                <w:b/>
                <w:bCs/>
                <w:color w:val="000000"/>
                <w:sz w:val="20"/>
                <w:szCs w:val="20"/>
                <w:lang w:eastAsia="en-AU"/>
              </w:rPr>
              <w:t>115.9 ± 3.1</w:t>
            </w:r>
          </w:p>
        </w:tc>
      </w:tr>
      <w:tr w:rsidR="003D5210" w:rsidRPr="00347938" w14:paraId="46749150" w14:textId="77777777" w:rsidTr="00BD4B3C">
        <w:trPr>
          <w:trHeight w:val="285"/>
        </w:trPr>
        <w:tc>
          <w:tcPr>
            <w:tcW w:w="850" w:type="dxa"/>
            <w:vMerge/>
            <w:tcBorders>
              <w:top w:val="nil"/>
              <w:left w:val="nil"/>
              <w:bottom w:val="single" w:sz="4" w:space="0" w:color="000000"/>
              <w:right w:val="nil"/>
            </w:tcBorders>
            <w:vAlign w:val="center"/>
            <w:hideMark/>
          </w:tcPr>
          <w:p w14:paraId="43C99CE1"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289430D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w:t>
            </w:r>
          </w:p>
        </w:tc>
        <w:tc>
          <w:tcPr>
            <w:tcW w:w="1004" w:type="dxa"/>
            <w:tcBorders>
              <w:top w:val="nil"/>
              <w:left w:val="nil"/>
              <w:bottom w:val="nil"/>
              <w:right w:val="nil"/>
            </w:tcBorders>
            <w:shd w:val="clear" w:color="000000" w:fill="FFFFFF"/>
            <w:noWrap/>
            <w:vAlign w:val="bottom"/>
            <w:hideMark/>
          </w:tcPr>
          <w:p w14:paraId="58227E6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47 (38)</w:t>
            </w:r>
          </w:p>
        </w:tc>
        <w:tc>
          <w:tcPr>
            <w:tcW w:w="1529" w:type="dxa"/>
            <w:tcBorders>
              <w:top w:val="nil"/>
              <w:left w:val="nil"/>
              <w:bottom w:val="nil"/>
              <w:right w:val="nil"/>
            </w:tcBorders>
            <w:shd w:val="clear" w:color="000000" w:fill="FFFFFF"/>
            <w:noWrap/>
            <w:vAlign w:val="bottom"/>
            <w:hideMark/>
          </w:tcPr>
          <w:p w14:paraId="3E58D8AA"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23 ± 3 (7 ± 2)</w:t>
            </w:r>
          </w:p>
        </w:tc>
        <w:tc>
          <w:tcPr>
            <w:tcW w:w="1256" w:type="dxa"/>
            <w:vMerge/>
            <w:tcBorders>
              <w:top w:val="nil"/>
              <w:left w:val="nil"/>
              <w:bottom w:val="single" w:sz="4" w:space="0" w:color="000000"/>
              <w:right w:val="nil"/>
            </w:tcBorders>
            <w:vAlign w:val="center"/>
            <w:hideMark/>
          </w:tcPr>
          <w:p w14:paraId="717CCD05"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5BD21BC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111.9 ± 8.0</w:t>
            </w:r>
          </w:p>
        </w:tc>
        <w:tc>
          <w:tcPr>
            <w:tcW w:w="2595" w:type="dxa"/>
            <w:vMerge/>
            <w:tcBorders>
              <w:top w:val="nil"/>
              <w:left w:val="nil"/>
              <w:bottom w:val="single" w:sz="4" w:space="0" w:color="000000"/>
              <w:right w:val="nil"/>
            </w:tcBorders>
            <w:vAlign w:val="center"/>
            <w:hideMark/>
          </w:tcPr>
          <w:p w14:paraId="26813901"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6C558B98" w14:textId="77777777" w:rsidTr="00BD4B3C">
        <w:trPr>
          <w:trHeight w:val="285"/>
        </w:trPr>
        <w:tc>
          <w:tcPr>
            <w:tcW w:w="850" w:type="dxa"/>
            <w:vMerge/>
            <w:tcBorders>
              <w:top w:val="nil"/>
              <w:left w:val="nil"/>
              <w:bottom w:val="single" w:sz="4" w:space="0" w:color="000000"/>
              <w:right w:val="nil"/>
            </w:tcBorders>
            <w:vAlign w:val="center"/>
            <w:hideMark/>
          </w:tcPr>
          <w:p w14:paraId="00F77B84"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314A151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w:t>
            </w:r>
          </w:p>
        </w:tc>
        <w:tc>
          <w:tcPr>
            <w:tcW w:w="1004" w:type="dxa"/>
            <w:tcBorders>
              <w:top w:val="nil"/>
              <w:left w:val="nil"/>
              <w:bottom w:val="nil"/>
              <w:right w:val="nil"/>
            </w:tcBorders>
            <w:shd w:val="clear" w:color="000000" w:fill="FFFFFF"/>
            <w:noWrap/>
            <w:vAlign w:val="bottom"/>
            <w:hideMark/>
          </w:tcPr>
          <w:p w14:paraId="0217547F"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71 (65)</w:t>
            </w:r>
          </w:p>
        </w:tc>
        <w:tc>
          <w:tcPr>
            <w:tcW w:w="1529" w:type="dxa"/>
            <w:tcBorders>
              <w:top w:val="nil"/>
              <w:left w:val="nil"/>
              <w:bottom w:val="nil"/>
              <w:right w:val="nil"/>
            </w:tcBorders>
            <w:shd w:val="clear" w:color="000000" w:fill="FFFFFF"/>
            <w:noWrap/>
            <w:vAlign w:val="bottom"/>
            <w:hideMark/>
          </w:tcPr>
          <w:p w14:paraId="54113BE7"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29 ± 3 (12 ± 1)</w:t>
            </w:r>
          </w:p>
        </w:tc>
        <w:tc>
          <w:tcPr>
            <w:tcW w:w="1256" w:type="dxa"/>
            <w:vMerge/>
            <w:tcBorders>
              <w:top w:val="nil"/>
              <w:left w:val="nil"/>
              <w:bottom w:val="single" w:sz="4" w:space="0" w:color="000000"/>
              <w:right w:val="nil"/>
            </w:tcBorders>
            <w:vAlign w:val="center"/>
            <w:hideMark/>
          </w:tcPr>
          <w:p w14:paraId="3433F21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47DC0585"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110.6 ± 5.5</w:t>
            </w:r>
          </w:p>
        </w:tc>
        <w:tc>
          <w:tcPr>
            <w:tcW w:w="2595" w:type="dxa"/>
            <w:vMerge/>
            <w:tcBorders>
              <w:top w:val="nil"/>
              <w:left w:val="nil"/>
              <w:bottom w:val="single" w:sz="4" w:space="0" w:color="000000"/>
              <w:right w:val="nil"/>
            </w:tcBorders>
            <w:vAlign w:val="center"/>
            <w:hideMark/>
          </w:tcPr>
          <w:p w14:paraId="5ECCA7FD"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80E13B3" w14:textId="77777777" w:rsidTr="00BD4B3C">
        <w:trPr>
          <w:trHeight w:val="285"/>
        </w:trPr>
        <w:tc>
          <w:tcPr>
            <w:tcW w:w="850" w:type="dxa"/>
            <w:vMerge/>
            <w:tcBorders>
              <w:top w:val="nil"/>
              <w:left w:val="nil"/>
              <w:bottom w:val="single" w:sz="4" w:space="0" w:color="000000"/>
              <w:right w:val="nil"/>
            </w:tcBorders>
            <w:vAlign w:val="center"/>
            <w:hideMark/>
          </w:tcPr>
          <w:p w14:paraId="28D93BA2"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30D1819B"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w:t>
            </w:r>
          </w:p>
        </w:tc>
        <w:tc>
          <w:tcPr>
            <w:tcW w:w="1004" w:type="dxa"/>
            <w:tcBorders>
              <w:top w:val="nil"/>
              <w:left w:val="nil"/>
              <w:bottom w:val="nil"/>
              <w:right w:val="nil"/>
            </w:tcBorders>
            <w:shd w:val="clear" w:color="000000" w:fill="FFFFFF"/>
            <w:noWrap/>
            <w:vAlign w:val="bottom"/>
            <w:hideMark/>
          </w:tcPr>
          <w:p w14:paraId="7065E34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80 (76)</w:t>
            </w:r>
          </w:p>
        </w:tc>
        <w:tc>
          <w:tcPr>
            <w:tcW w:w="1529" w:type="dxa"/>
            <w:tcBorders>
              <w:top w:val="nil"/>
              <w:left w:val="nil"/>
              <w:bottom w:val="nil"/>
              <w:right w:val="nil"/>
            </w:tcBorders>
            <w:shd w:val="clear" w:color="000000" w:fill="FFFFFF"/>
            <w:noWrap/>
            <w:vAlign w:val="bottom"/>
            <w:hideMark/>
          </w:tcPr>
          <w:p w14:paraId="0FCD486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22 ± 2 (15 ± 2)</w:t>
            </w:r>
          </w:p>
        </w:tc>
        <w:tc>
          <w:tcPr>
            <w:tcW w:w="1256" w:type="dxa"/>
            <w:vMerge/>
            <w:tcBorders>
              <w:top w:val="nil"/>
              <w:left w:val="nil"/>
              <w:bottom w:val="single" w:sz="4" w:space="0" w:color="000000"/>
              <w:right w:val="nil"/>
            </w:tcBorders>
            <w:vAlign w:val="center"/>
            <w:hideMark/>
          </w:tcPr>
          <w:p w14:paraId="515F6C03"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54BF8BB3"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122.9 ± 5.7</w:t>
            </w:r>
          </w:p>
        </w:tc>
        <w:tc>
          <w:tcPr>
            <w:tcW w:w="2595" w:type="dxa"/>
            <w:vMerge/>
            <w:tcBorders>
              <w:top w:val="nil"/>
              <w:left w:val="nil"/>
              <w:bottom w:val="single" w:sz="4" w:space="0" w:color="000000"/>
              <w:right w:val="nil"/>
            </w:tcBorders>
            <w:vAlign w:val="center"/>
            <w:hideMark/>
          </w:tcPr>
          <w:p w14:paraId="535F3F59"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E80DC17" w14:textId="77777777" w:rsidTr="00BD4B3C">
        <w:trPr>
          <w:trHeight w:val="285"/>
        </w:trPr>
        <w:tc>
          <w:tcPr>
            <w:tcW w:w="850" w:type="dxa"/>
            <w:vMerge/>
            <w:tcBorders>
              <w:top w:val="nil"/>
              <w:left w:val="nil"/>
              <w:bottom w:val="single" w:sz="4" w:space="0" w:color="000000"/>
              <w:right w:val="nil"/>
            </w:tcBorders>
            <w:vAlign w:val="center"/>
            <w:hideMark/>
          </w:tcPr>
          <w:p w14:paraId="1F166FC1"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nil"/>
              <w:right w:val="nil"/>
            </w:tcBorders>
            <w:shd w:val="clear" w:color="000000" w:fill="FFFFFF"/>
            <w:noWrap/>
            <w:vAlign w:val="bottom"/>
            <w:hideMark/>
          </w:tcPr>
          <w:p w14:paraId="3AC9FBA8"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5</w:t>
            </w:r>
          </w:p>
        </w:tc>
        <w:tc>
          <w:tcPr>
            <w:tcW w:w="1004" w:type="dxa"/>
            <w:tcBorders>
              <w:top w:val="nil"/>
              <w:left w:val="nil"/>
              <w:bottom w:val="nil"/>
              <w:right w:val="nil"/>
            </w:tcBorders>
            <w:shd w:val="clear" w:color="000000" w:fill="FFFFFF"/>
            <w:noWrap/>
            <w:vAlign w:val="bottom"/>
            <w:hideMark/>
          </w:tcPr>
          <w:p w14:paraId="71C82CE0"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42 (36)</w:t>
            </w:r>
          </w:p>
        </w:tc>
        <w:tc>
          <w:tcPr>
            <w:tcW w:w="1529" w:type="dxa"/>
            <w:tcBorders>
              <w:top w:val="nil"/>
              <w:left w:val="nil"/>
              <w:bottom w:val="nil"/>
              <w:right w:val="nil"/>
            </w:tcBorders>
            <w:shd w:val="clear" w:color="000000" w:fill="FFFFFF"/>
            <w:noWrap/>
            <w:vAlign w:val="bottom"/>
            <w:hideMark/>
          </w:tcPr>
          <w:p w14:paraId="276E8D3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36 ± 4 (24 ± 3)</w:t>
            </w:r>
          </w:p>
        </w:tc>
        <w:tc>
          <w:tcPr>
            <w:tcW w:w="1256" w:type="dxa"/>
            <w:vMerge/>
            <w:tcBorders>
              <w:top w:val="nil"/>
              <w:left w:val="nil"/>
              <w:bottom w:val="single" w:sz="4" w:space="0" w:color="000000"/>
              <w:right w:val="nil"/>
            </w:tcBorders>
            <w:vAlign w:val="center"/>
            <w:hideMark/>
          </w:tcPr>
          <w:p w14:paraId="572BD93C"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nil"/>
              <w:right w:val="nil"/>
            </w:tcBorders>
            <w:shd w:val="clear" w:color="000000" w:fill="F2F2F2"/>
            <w:noWrap/>
            <w:vAlign w:val="bottom"/>
            <w:hideMark/>
          </w:tcPr>
          <w:p w14:paraId="4839A85D"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119.8 ± 8.3</w:t>
            </w:r>
          </w:p>
        </w:tc>
        <w:tc>
          <w:tcPr>
            <w:tcW w:w="2595" w:type="dxa"/>
            <w:vMerge/>
            <w:tcBorders>
              <w:top w:val="nil"/>
              <w:left w:val="nil"/>
              <w:bottom w:val="single" w:sz="4" w:space="0" w:color="000000"/>
              <w:right w:val="nil"/>
            </w:tcBorders>
            <w:vAlign w:val="center"/>
            <w:hideMark/>
          </w:tcPr>
          <w:p w14:paraId="66FCE242"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r w:rsidR="003D5210" w:rsidRPr="00347938" w14:paraId="09E5678A" w14:textId="77777777" w:rsidTr="00BD4B3C">
        <w:trPr>
          <w:trHeight w:val="285"/>
        </w:trPr>
        <w:tc>
          <w:tcPr>
            <w:tcW w:w="850" w:type="dxa"/>
            <w:vMerge/>
            <w:tcBorders>
              <w:top w:val="nil"/>
              <w:left w:val="nil"/>
              <w:bottom w:val="single" w:sz="4" w:space="0" w:color="000000"/>
              <w:right w:val="nil"/>
            </w:tcBorders>
            <w:vAlign w:val="center"/>
            <w:hideMark/>
          </w:tcPr>
          <w:p w14:paraId="0088173B"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728" w:type="dxa"/>
            <w:tcBorders>
              <w:top w:val="nil"/>
              <w:left w:val="nil"/>
              <w:bottom w:val="single" w:sz="4" w:space="0" w:color="auto"/>
              <w:right w:val="nil"/>
            </w:tcBorders>
            <w:shd w:val="clear" w:color="000000" w:fill="FFFFFF"/>
            <w:noWrap/>
            <w:vAlign w:val="bottom"/>
            <w:hideMark/>
          </w:tcPr>
          <w:p w14:paraId="7FEFE0BC"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6</w:t>
            </w:r>
          </w:p>
        </w:tc>
        <w:tc>
          <w:tcPr>
            <w:tcW w:w="1004" w:type="dxa"/>
            <w:tcBorders>
              <w:top w:val="nil"/>
              <w:left w:val="nil"/>
              <w:bottom w:val="single" w:sz="4" w:space="0" w:color="auto"/>
              <w:right w:val="nil"/>
            </w:tcBorders>
            <w:shd w:val="clear" w:color="000000" w:fill="FFFFFF"/>
            <w:noWrap/>
            <w:vAlign w:val="bottom"/>
            <w:hideMark/>
          </w:tcPr>
          <w:p w14:paraId="308D963E"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14 (13)</w:t>
            </w:r>
          </w:p>
        </w:tc>
        <w:tc>
          <w:tcPr>
            <w:tcW w:w="1529" w:type="dxa"/>
            <w:tcBorders>
              <w:top w:val="nil"/>
              <w:left w:val="nil"/>
              <w:bottom w:val="single" w:sz="4" w:space="0" w:color="auto"/>
              <w:right w:val="nil"/>
            </w:tcBorders>
            <w:shd w:val="clear" w:color="000000" w:fill="FFFFFF"/>
            <w:noWrap/>
            <w:vAlign w:val="bottom"/>
            <w:hideMark/>
          </w:tcPr>
          <w:p w14:paraId="42C996F9"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27 ± 5 (22 ± 5)</w:t>
            </w:r>
          </w:p>
        </w:tc>
        <w:tc>
          <w:tcPr>
            <w:tcW w:w="1256" w:type="dxa"/>
            <w:vMerge/>
            <w:tcBorders>
              <w:top w:val="nil"/>
              <w:left w:val="nil"/>
              <w:bottom w:val="single" w:sz="4" w:space="0" w:color="000000"/>
              <w:right w:val="nil"/>
            </w:tcBorders>
            <w:vAlign w:val="center"/>
            <w:hideMark/>
          </w:tcPr>
          <w:p w14:paraId="4AB1AF1D" w14:textId="77777777" w:rsidR="003D5210" w:rsidRPr="00347938" w:rsidRDefault="003D5210" w:rsidP="00BD4B3C">
            <w:pPr>
              <w:spacing w:after="0" w:line="240" w:lineRule="auto"/>
              <w:rPr>
                <w:rFonts w:ascii="Times New Roman" w:eastAsia="Times New Roman" w:hAnsi="Times New Roman" w:cs="Times New Roman"/>
                <w:color w:val="000000"/>
                <w:sz w:val="20"/>
                <w:szCs w:val="20"/>
                <w:lang w:eastAsia="en-AU"/>
              </w:rPr>
            </w:pPr>
          </w:p>
        </w:tc>
        <w:tc>
          <w:tcPr>
            <w:tcW w:w="1677" w:type="dxa"/>
            <w:tcBorders>
              <w:top w:val="nil"/>
              <w:left w:val="nil"/>
              <w:bottom w:val="single" w:sz="4" w:space="0" w:color="auto"/>
              <w:right w:val="nil"/>
            </w:tcBorders>
            <w:shd w:val="clear" w:color="000000" w:fill="F2F2F2"/>
            <w:noWrap/>
            <w:vAlign w:val="bottom"/>
            <w:hideMark/>
          </w:tcPr>
          <w:p w14:paraId="1D97D184" w14:textId="77777777" w:rsidR="003D5210" w:rsidRPr="00347938" w:rsidRDefault="003D5210" w:rsidP="00BD4B3C">
            <w:pPr>
              <w:spacing w:after="0" w:line="240" w:lineRule="auto"/>
              <w:jc w:val="center"/>
              <w:rPr>
                <w:rFonts w:ascii="Times New Roman" w:eastAsia="Times New Roman" w:hAnsi="Times New Roman" w:cs="Times New Roman"/>
                <w:color w:val="000000"/>
                <w:sz w:val="20"/>
                <w:szCs w:val="20"/>
                <w:lang w:eastAsia="en-AU"/>
              </w:rPr>
            </w:pPr>
            <w:r w:rsidRPr="00347938">
              <w:rPr>
                <w:rFonts w:ascii="Times New Roman" w:eastAsia="Times New Roman" w:hAnsi="Times New Roman" w:cs="Times New Roman"/>
                <w:color w:val="000000"/>
                <w:sz w:val="20"/>
                <w:szCs w:val="20"/>
                <w:lang w:eastAsia="en-AU"/>
              </w:rPr>
              <w:t>109.0 ± 9.2</w:t>
            </w:r>
          </w:p>
        </w:tc>
        <w:tc>
          <w:tcPr>
            <w:tcW w:w="2595" w:type="dxa"/>
            <w:vMerge/>
            <w:tcBorders>
              <w:top w:val="nil"/>
              <w:left w:val="nil"/>
              <w:bottom w:val="single" w:sz="4" w:space="0" w:color="000000"/>
              <w:right w:val="nil"/>
            </w:tcBorders>
            <w:vAlign w:val="center"/>
            <w:hideMark/>
          </w:tcPr>
          <w:p w14:paraId="644D7098" w14:textId="77777777" w:rsidR="003D5210" w:rsidRPr="00347938" w:rsidRDefault="003D5210" w:rsidP="00BD4B3C">
            <w:pPr>
              <w:spacing w:after="0" w:line="240" w:lineRule="auto"/>
              <w:rPr>
                <w:rFonts w:ascii="Times New Roman" w:eastAsia="Times New Roman" w:hAnsi="Times New Roman" w:cs="Times New Roman"/>
                <w:b/>
                <w:bCs/>
                <w:color w:val="000000"/>
                <w:sz w:val="20"/>
                <w:szCs w:val="20"/>
                <w:lang w:eastAsia="en-AU"/>
              </w:rPr>
            </w:pPr>
          </w:p>
        </w:tc>
      </w:tr>
    </w:tbl>
    <w:p w14:paraId="40C1D753" w14:textId="77777777" w:rsidR="003D5210" w:rsidRPr="00C1079C" w:rsidRDefault="003D5210" w:rsidP="003D5210">
      <w:pPr>
        <w:spacing w:line="240" w:lineRule="auto"/>
        <w:jc w:val="both"/>
        <w:rPr>
          <w:rFonts w:ascii="Times New Roman" w:hAnsi="Times New Roman" w:cs="Times New Roman"/>
          <w:sz w:val="20"/>
          <w:szCs w:val="20"/>
        </w:rPr>
      </w:pPr>
    </w:p>
    <w:p w14:paraId="676E5BD9" w14:textId="77777777" w:rsidR="003D5210" w:rsidRPr="003D5210" w:rsidRDefault="003D5210" w:rsidP="003D5210">
      <w:pPr>
        <w:spacing w:line="240" w:lineRule="auto"/>
        <w:jc w:val="both"/>
        <w:rPr>
          <w:rFonts w:cstheme="minorHAnsi"/>
          <w:sz w:val="20"/>
          <w:szCs w:val="20"/>
        </w:rPr>
      </w:pPr>
      <w:r w:rsidRPr="003D5210">
        <w:rPr>
          <w:rFonts w:cstheme="minorHAnsi"/>
          <w:sz w:val="20"/>
          <w:szCs w:val="20"/>
        </w:rPr>
        <w:t xml:space="preserve">*Bracketed number of accepted grain and OD values represent those obtained after the application of the </w:t>
      </w:r>
      <w:proofErr w:type="spellStart"/>
      <w:r w:rsidRPr="003D5210">
        <w:rPr>
          <w:rFonts w:cstheme="minorHAnsi"/>
          <w:sz w:val="20"/>
          <w:szCs w:val="20"/>
        </w:rPr>
        <w:t>nMAD</w:t>
      </w:r>
      <w:proofErr w:type="spellEnd"/>
      <w:r w:rsidRPr="003D5210">
        <w:rPr>
          <w:rFonts w:cstheme="minorHAnsi"/>
          <w:sz w:val="20"/>
          <w:szCs w:val="20"/>
        </w:rPr>
        <w:t>.</w:t>
      </w:r>
    </w:p>
    <w:p w14:paraId="0FC685BA" w14:textId="77777777" w:rsidR="003D5210" w:rsidRPr="003D5210" w:rsidRDefault="003D5210" w:rsidP="003D5210">
      <w:pPr>
        <w:spacing w:line="240" w:lineRule="auto"/>
        <w:jc w:val="both"/>
        <w:rPr>
          <w:rFonts w:cstheme="minorHAnsi"/>
          <w:sz w:val="20"/>
          <w:szCs w:val="20"/>
        </w:rPr>
      </w:pPr>
      <w:r w:rsidRPr="003D5210">
        <w:rPr>
          <w:rFonts w:cstheme="minorHAnsi"/>
          <w:b/>
          <w:sz w:val="20"/>
          <w:szCs w:val="20"/>
          <w:vertAlign w:val="superscript"/>
        </w:rPr>
        <w:lastRenderedPageBreak/>
        <w:t>#</w:t>
      </w:r>
      <w:r w:rsidRPr="003D5210">
        <w:rPr>
          <w:rFonts w:cstheme="minorHAnsi"/>
          <w:sz w:val="20"/>
          <w:szCs w:val="20"/>
        </w:rPr>
        <w:t>Finite D</w:t>
      </w:r>
      <w:r w:rsidRPr="003D5210">
        <w:rPr>
          <w:rFonts w:cstheme="minorHAnsi"/>
          <w:sz w:val="20"/>
          <w:szCs w:val="20"/>
          <w:vertAlign w:val="subscript"/>
        </w:rPr>
        <w:t>e</w:t>
      </w:r>
      <w:r w:rsidRPr="003D5210">
        <w:rPr>
          <w:rFonts w:cstheme="minorHAnsi"/>
          <w:sz w:val="20"/>
          <w:szCs w:val="20"/>
        </w:rPr>
        <w:t xml:space="preserve"> values were unable to be calculated for groups with L</w:t>
      </w:r>
      <w:r w:rsidRPr="003D5210">
        <w:rPr>
          <w:rFonts w:cstheme="minorHAnsi"/>
          <w:sz w:val="20"/>
          <w:szCs w:val="20"/>
          <w:vertAlign w:val="subscript"/>
        </w:rPr>
        <w:t>n</w:t>
      </w:r>
      <w:r w:rsidRPr="003D5210">
        <w:rPr>
          <w:rFonts w:cstheme="minorHAnsi"/>
          <w:sz w:val="20"/>
          <w:szCs w:val="20"/>
        </w:rPr>
        <w:t>/T</w:t>
      </w:r>
      <w:r w:rsidRPr="003D5210">
        <w:rPr>
          <w:rFonts w:cstheme="minorHAnsi"/>
          <w:sz w:val="20"/>
          <w:szCs w:val="20"/>
          <w:vertAlign w:val="subscript"/>
        </w:rPr>
        <w:t>n</w:t>
      </w:r>
      <w:r w:rsidRPr="003D5210">
        <w:rPr>
          <w:rFonts w:cstheme="minorHAnsi"/>
          <w:sz w:val="20"/>
          <w:szCs w:val="20"/>
        </w:rPr>
        <w:t xml:space="preserve"> values consistent with, or higher than, the saturation level of the corresponding SGCs (‘saturated’), and reliable estimates were unable to be determined for groups that contain &lt;10 grains (‘-’). D</w:t>
      </w:r>
      <w:r w:rsidRPr="003D5210">
        <w:rPr>
          <w:rFonts w:cstheme="minorHAnsi"/>
          <w:sz w:val="20"/>
          <w:szCs w:val="20"/>
          <w:vertAlign w:val="subscript"/>
        </w:rPr>
        <w:t>e</w:t>
      </w:r>
      <w:r w:rsidRPr="003D5210">
        <w:rPr>
          <w:rFonts w:cstheme="minorHAnsi"/>
          <w:sz w:val="20"/>
          <w:szCs w:val="20"/>
        </w:rPr>
        <w:t xml:space="preserve"> values highlighted in grey represent those that contributed towards the final calculation of D</w:t>
      </w:r>
      <w:r w:rsidRPr="003D5210">
        <w:rPr>
          <w:rFonts w:cstheme="minorHAnsi"/>
          <w:sz w:val="20"/>
          <w:szCs w:val="20"/>
          <w:vertAlign w:val="subscript"/>
        </w:rPr>
        <w:t>e</w:t>
      </w:r>
      <w:r w:rsidRPr="003D5210">
        <w:rPr>
          <w:rFonts w:cstheme="minorHAnsi"/>
          <w:sz w:val="20"/>
          <w:szCs w:val="20"/>
        </w:rPr>
        <w:t xml:space="preserve"> for the sample.</w:t>
      </w:r>
    </w:p>
    <w:p w14:paraId="4E04E7A4" w14:textId="77777777" w:rsidR="003D5210" w:rsidRPr="00772C90" w:rsidRDefault="003D5210" w:rsidP="003D5210">
      <w:pPr>
        <w:jc w:val="both"/>
        <w:rPr>
          <w:rFonts w:cstheme="minorHAnsi"/>
          <w:szCs w:val="24"/>
        </w:rPr>
      </w:pPr>
      <w:r w:rsidRPr="00772C90">
        <w:rPr>
          <w:rFonts w:cstheme="minorHAnsi"/>
          <w:b/>
          <w:szCs w:val="24"/>
        </w:rPr>
        <w:t>Table S4</w:t>
      </w:r>
      <w:r w:rsidRPr="00772C90">
        <w:rPr>
          <w:rFonts w:cstheme="minorHAnsi"/>
          <w:szCs w:val="24"/>
        </w:rPr>
        <w:t>. SGC group summary for the KFR1 samples, displaying the number of grains in each group, as well as their OD and D</w:t>
      </w:r>
      <w:r w:rsidRPr="00772C90">
        <w:rPr>
          <w:rFonts w:cstheme="minorHAnsi"/>
          <w:szCs w:val="24"/>
          <w:vertAlign w:val="subscript"/>
        </w:rPr>
        <w:t>e</w:t>
      </w:r>
      <w:r w:rsidRPr="00772C90">
        <w:rPr>
          <w:rFonts w:cstheme="minorHAnsi"/>
          <w:szCs w:val="24"/>
        </w:rPr>
        <w:t xml:space="preserve"> values. The final D</w:t>
      </w:r>
      <w:r w:rsidRPr="00772C90">
        <w:rPr>
          <w:rFonts w:cstheme="minorHAnsi"/>
          <w:szCs w:val="24"/>
          <w:vertAlign w:val="subscript"/>
        </w:rPr>
        <w:t>e</w:t>
      </w:r>
      <w:r w:rsidRPr="00772C90">
        <w:rPr>
          <w:rFonts w:cstheme="minorHAnsi"/>
          <w:szCs w:val="24"/>
        </w:rPr>
        <w:t xml:space="preserve"> value/s estimated for each sample using the </w:t>
      </w:r>
      <w:proofErr w:type="spellStart"/>
      <w:r w:rsidRPr="00772C90">
        <w:rPr>
          <w:rFonts w:cstheme="minorHAnsi"/>
          <w:szCs w:val="24"/>
        </w:rPr>
        <w:t>L</w:t>
      </w:r>
      <w:r w:rsidRPr="00772C90">
        <w:rPr>
          <w:rFonts w:cstheme="minorHAnsi"/>
          <w:szCs w:val="24"/>
          <w:vertAlign w:val="subscript"/>
        </w:rPr>
        <w:t>n</w:t>
      </w:r>
      <w:r w:rsidRPr="00772C90">
        <w:rPr>
          <w:rFonts w:cstheme="minorHAnsi"/>
          <w:szCs w:val="24"/>
        </w:rPr>
        <w:t>T</w:t>
      </w:r>
      <w:r w:rsidRPr="00772C90">
        <w:rPr>
          <w:rFonts w:cstheme="minorHAnsi"/>
          <w:szCs w:val="24"/>
          <w:vertAlign w:val="subscript"/>
        </w:rPr>
        <w:t>n</w:t>
      </w:r>
      <w:proofErr w:type="spellEnd"/>
      <w:r w:rsidRPr="00772C90">
        <w:rPr>
          <w:rFonts w:cstheme="minorHAnsi"/>
          <w:szCs w:val="24"/>
        </w:rPr>
        <w:t xml:space="preserve"> method are highlighted in bold.</w:t>
      </w:r>
    </w:p>
    <w:p w14:paraId="69ED713F" w14:textId="6D020635" w:rsidR="003D5210" w:rsidRDefault="003D5210" w:rsidP="005D66CB">
      <w:pPr>
        <w:jc w:val="both"/>
        <w:rPr>
          <w:rFonts w:ascii="Times New Roman" w:hAnsi="Times New Roman" w:cs="Times New Roman"/>
          <w:sz w:val="24"/>
          <w:szCs w:val="24"/>
        </w:rPr>
        <w:sectPr w:rsidR="003D5210">
          <w:pgSz w:w="11906" w:h="16838"/>
          <w:pgMar w:top="1440" w:right="1440" w:bottom="1440" w:left="1440" w:header="708" w:footer="708" w:gutter="0"/>
          <w:cols w:space="708"/>
          <w:docGrid w:linePitch="360"/>
        </w:sectPr>
      </w:pPr>
    </w:p>
    <w:p w14:paraId="551E680F" w14:textId="77777777" w:rsidR="00097D91" w:rsidRDefault="00097D91" w:rsidP="00097D91">
      <w:pPr>
        <w:ind w:firstLine="720"/>
        <w:jc w:val="both"/>
        <w:rPr>
          <w:rFonts w:ascii="Times New Roman" w:hAnsi="Times New Roman" w:cs="Times New Roman"/>
          <w:sz w:val="24"/>
          <w:szCs w:val="24"/>
        </w:rPr>
      </w:pPr>
      <w:r w:rsidRPr="00971B38">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88" behindDoc="0" locked="0" layoutInCell="1" allowOverlap="1" wp14:anchorId="3268AB28" wp14:editId="747AE0E4">
                <wp:simplePos x="0" y="0"/>
                <wp:positionH relativeFrom="column">
                  <wp:posOffset>6715125</wp:posOffset>
                </wp:positionH>
                <wp:positionV relativeFrom="paragraph">
                  <wp:posOffset>248285</wp:posOffset>
                </wp:positionV>
                <wp:extent cx="2535555" cy="14992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499235"/>
                        </a:xfrm>
                        <a:prstGeom prst="rect">
                          <a:avLst/>
                        </a:prstGeom>
                        <a:solidFill>
                          <a:srgbClr val="FFFFFF"/>
                        </a:solidFill>
                        <a:ln w="9525">
                          <a:noFill/>
                          <a:miter lim="800000"/>
                          <a:headEnd/>
                          <a:tailEnd/>
                        </a:ln>
                      </wps:spPr>
                      <wps:txbx>
                        <w:txbxContent>
                          <w:p w14:paraId="441A82DA" w14:textId="77777777" w:rsidR="00BD4B3C" w:rsidRPr="003D5210" w:rsidRDefault="00BD4B3C" w:rsidP="00097D91">
                            <w:pPr>
                              <w:rPr>
                                <w:rFonts w:cstheme="minorHAnsi"/>
                              </w:rPr>
                            </w:pPr>
                            <w:r w:rsidRPr="003D5210">
                              <w:rPr>
                                <w:rFonts w:cstheme="minorHAnsi"/>
                                <w:b/>
                              </w:rPr>
                              <w:t xml:space="preserve">Figure S1. </w:t>
                            </w:r>
                            <w:r w:rsidRPr="003D5210">
                              <w:rPr>
                                <w:rFonts w:cstheme="minorHAnsi"/>
                              </w:rPr>
                              <w:t>Examples of single-grain OSL DRC shapes, decay curve shapes and patterns of sensitivity change occurring during the SAR procedure measurement of grains from OSL6 at KFR1. Note that y-axis scales differ.</w:t>
                            </w:r>
                          </w:p>
                          <w:p w14:paraId="481ACC85" w14:textId="77777777" w:rsidR="00BD4B3C" w:rsidRPr="00971B38" w:rsidRDefault="00BD4B3C" w:rsidP="00097D91">
                            <w:pPr>
                              <w:rPr>
                                <w:rFonts w:ascii="Times New Roman" w:hAnsi="Times New Roman" w:cs="Times New Roman"/>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68AB28" id="_x0000_t202" coordsize="21600,21600" o:spt="202" path="m,l,21600r21600,l21600,xe">
                <v:stroke joinstyle="miter"/>
                <v:path gradientshapeok="t" o:connecttype="rect"/>
              </v:shapetype>
              <v:shape id="Text Box 2" o:spid="_x0000_s1026" type="#_x0000_t202" style="position:absolute;left:0;text-align:left;margin-left:528.75pt;margin-top:19.55pt;width:199.65pt;height:118.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" stroked="f">
                <v:textbox>
                  <w:txbxContent>
                    <w:p w14:paraId="441A82DA" w14:textId="77777777" w:rsidR="00BD4B3C" w:rsidRPr="003D5210" w:rsidRDefault="00BD4B3C" w:rsidP="00097D91">
                      <w:pPr>
                        <w:rPr>
                          <w:rFonts w:cstheme="minorHAnsi"/>
                        </w:rPr>
                      </w:pPr>
                      <w:r w:rsidRPr="003D5210">
                        <w:rPr>
                          <w:rFonts w:cstheme="minorHAnsi"/>
                          <w:b/>
                        </w:rPr>
                        <w:t xml:space="preserve">Figure S1. </w:t>
                      </w:r>
                      <w:r w:rsidRPr="003D5210">
                        <w:rPr>
                          <w:rFonts w:cstheme="minorHAnsi"/>
                        </w:rPr>
                        <w:t>Examples of single-grain OSL DRC shapes, decay curve shapes and patterns of sensitivity change occurring during the SAR procedure measurement of grains from OSL6 at KFR1. Note that y-axis scales differ.</w:t>
                      </w:r>
                    </w:p>
                    <w:p w14:paraId="481ACC85" w14:textId="77777777" w:rsidR="00BD4B3C" w:rsidRPr="00971B38" w:rsidRDefault="00BD4B3C" w:rsidP="00097D91">
                      <w:pPr>
                        <w:rPr>
                          <w:rFonts w:ascii="Times New Roman" w:hAnsi="Times New Roman" w:cs="Times New Roman"/>
                          <w:b/>
                          <w:sz w:val="24"/>
                        </w:rPr>
                      </w:pPr>
                    </w:p>
                  </w:txbxContent>
                </v:textbox>
                <w10:wrap type="square"/>
              </v:shape>
            </w:pict>
          </mc:Fallback>
        </mc:AlternateContent>
      </w:r>
      <w:r w:rsidRPr="00BE71C8">
        <w:rPr>
          <w:rFonts w:ascii="Times New Roman" w:hAnsi="Times New Roman" w:cs="Times New Roman"/>
          <w:noProof/>
          <w:sz w:val="24"/>
          <w:szCs w:val="24"/>
          <w:lang w:eastAsia="en-AU"/>
        </w:rPr>
        <w:drawing>
          <wp:anchor distT="0" distB="0" distL="114300" distR="114300" simplePos="0" relativeHeight="251659264" behindDoc="0" locked="0" layoutInCell="1" allowOverlap="1" wp14:anchorId="29126FFC" wp14:editId="435ED26A">
            <wp:simplePos x="0" y="0"/>
            <wp:positionH relativeFrom="column">
              <wp:posOffset>-241935</wp:posOffset>
            </wp:positionH>
            <wp:positionV relativeFrom="paragraph">
              <wp:posOffset>0</wp:posOffset>
            </wp:positionV>
            <wp:extent cx="6824345" cy="6049645"/>
            <wp:effectExtent l="0" t="0" r="0" b="8255"/>
            <wp:wrapSquare wrapText="bothSides"/>
            <wp:docPr id="1" name="Picture 1" descr="C:\Users\rk693\Dropbox\Ph.D\Sites\Doring\Klipfonteinrand Rockshelter (KFR)\2022\KFR example grains OS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k693\Dropbox\Ph.D\Sites\Doring\Klipfonteinrand Rockshelter (KFR)\2022\KFR example grains OSL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604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AF00D" w14:textId="77777777" w:rsidR="00097D91" w:rsidRDefault="00097D91" w:rsidP="00097D91">
      <w:pPr>
        <w:rPr>
          <w:rFonts w:ascii="Times New Roman" w:hAnsi="Times New Roman" w:cs="Times New Roman"/>
          <w:sz w:val="24"/>
          <w:szCs w:val="24"/>
        </w:rPr>
        <w:sectPr w:rsidR="00097D91" w:rsidSect="00BD4B3C">
          <w:pgSz w:w="16838" w:h="11906" w:orient="landscape"/>
          <w:pgMar w:top="1440" w:right="1440" w:bottom="1440" w:left="1440" w:header="708" w:footer="708" w:gutter="0"/>
          <w:cols w:space="708"/>
          <w:docGrid w:linePitch="360"/>
        </w:sectPr>
      </w:pPr>
    </w:p>
    <w:p w14:paraId="36438BC3" w14:textId="77777777" w:rsidR="00097D91" w:rsidRDefault="00097D91" w:rsidP="00097D91">
      <w:pPr>
        <w:ind w:firstLine="720"/>
        <w:jc w:val="both"/>
        <w:rPr>
          <w:rFonts w:ascii="Times New Roman" w:hAnsi="Times New Roman" w:cs="Times New Roman"/>
          <w:sz w:val="24"/>
          <w:szCs w:val="24"/>
        </w:rPr>
      </w:pPr>
    </w:p>
    <w:p w14:paraId="58558D1B" w14:textId="77777777" w:rsidR="00097D91" w:rsidRDefault="00097D91" w:rsidP="00097D91">
      <w:pPr>
        <w:ind w:firstLine="720"/>
        <w:jc w:val="both"/>
        <w:rPr>
          <w:rFonts w:ascii="Times New Roman" w:hAnsi="Times New Roman" w:cs="Times New Roman"/>
          <w:sz w:val="24"/>
          <w:szCs w:val="24"/>
        </w:rPr>
      </w:pPr>
    </w:p>
    <w:p w14:paraId="2D9C2929" w14:textId="77777777" w:rsidR="00097D91" w:rsidRPr="00EF6C20" w:rsidRDefault="00097D91" w:rsidP="00097D91">
      <w:pPr>
        <w:jc w:val="both"/>
        <w:rPr>
          <w:rFonts w:ascii="Times New Roman" w:hAnsi="Times New Roman" w:cs="Times New Roman"/>
          <w:sz w:val="24"/>
          <w:szCs w:val="24"/>
        </w:rPr>
      </w:pPr>
      <w:r>
        <w:rPr>
          <w:rFonts w:ascii="Times New Roman" w:hAnsi="Times New Roman" w:cs="Times New Roman"/>
          <w:noProof/>
          <w:sz w:val="24"/>
          <w:szCs w:val="24"/>
          <w:lang w:eastAsia="en-AU"/>
        </w:rPr>
        <w:drawing>
          <wp:inline distT="0" distB="0" distL="0" distR="0" wp14:anchorId="27BB0B5E" wp14:editId="4DAFED57">
            <wp:extent cx="5724939" cy="24427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9989" cy="2449189"/>
                    </a:xfrm>
                    <a:prstGeom prst="rect">
                      <a:avLst/>
                    </a:prstGeom>
                    <a:noFill/>
                  </pic:spPr>
                </pic:pic>
              </a:graphicData>
            </a:graphic>
          </wp:inline>
        </w:drawing>
      </w:r>
    </w:p>
    <w:p w14:paraId="47C02A17" w14:textId="77777777" w:rsidR="005D66CB" w:rsidRPr="003D5210" w:rsidRDefault="00097D91" w:rsidP="00097D91">
      <w:pPr>
        <w:jc w:val="both"/>
        <w:rPr>
          <w:rFonts w:cstheme="minorHAnsi"/>
        </w:rPr>
        <w:sectPr w:rsidR="005D66CB" w:rsidRPr="003D5210" w:rsidSect="00BD4B3C">
          <w:pgSz w:w="11906" w:h="16838"/>
          <w:pgMar w:top="1440" w:right="1440" w:bottom="1440" w:left="1440" w:header="708" w:footer="708" w:gutter="0"/>
          <w:cols w:space="708"/>
          <w:docGrid w:linePitch="360"/>
        </w:sectPr>
      </w:pPr>
      <w:r w:rsidRPr="003D5210">
        <w:rPr>
          <w:rFonts w:cstheme="minorHAnsi"/>
          <w:b/>
        </w:rPr>
        <w:t>Figure S2</w:t>
      </w:r>
      <w:r w:rsidRPr="003D5210">
        <w:rPr>
          <w:rFonts w:cstheme="minorHAnsi"/>
        </w:rPr>
        <w:t>. Average rate of grains failing criteria 4 (non-intersecting or saturated grains) for samples within each stratigraphic unit at KFR1.</w:t>
      </w:r>
    </w:p>
    <w:p w14:paraId="65D6C3BC" w14:textId="77777777" w:rsidR="00097D91" w:rsidRDefault="00097D91" w:rsidP="00097D91">
      <w:pPr>
        <w:jc w:val="both"/>
        <w:rPr>
          <w:rFonts w:ascii="Times New Roman" w:hAnsi="Times New Roman" w:cs="Times New Roman"/>
          <w:sz w:val="24"/>
          <w:szCs w:val="24"/>
        </w:rPr>
      </w:pPr>
      <w:r w:rsidRPr="00995A39">
        <w:rPr>
          <w:rFonts w:ascii="Times New Roman" w:hAnsi="Times New Roman" w:cs="Times New Roman"/>
          <w:noProof/>
          <w:sz w:val="24"/>
          <w:szCs w:val="24"/>
          <w:lang w:eastAsia="en-AU"/>
        </w:rPr>
        <w:lastRenderedPageBreak/>
        <w:drawing>
          <wp:inline distT="0" distB="0" distL="0" distR="0" wp14:anchorId="7130F46D" wp14:editId="7E1DE0EC">
            <wp:extent cx="8863330" cy="5960017"/>
            <wp:effectExtent l="0" t="0" r="0" b="3175"/>
            <wp:docPr id="6" name="Picture 6" descr="C:\Users\rk693\Dropbox\Ph.D\Sites\Doring\Klipfonteinrand Rockshelter (KFR)\2022\PNG files\De radial plots 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k693\Dropbox\Ph.D\Sites\Doring\Klipfonteinrand Rockshelter (KFR)\2022\PNG files\De radial plots part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3330" cy="5960017"/>
                    </a:xfrm>
                    <a:prstGeom prst="rect">
                      <a:avLst/>
                    </a:prstGeom>
                    <a:noFill/>
                    <a:ln>
                      <a:noFill/>
                    </a:ln>
                  </pic:spPr>
                </pic:pic>
              </a:graphicData>
            </a:graphic>
          </wp:inline>
        </w:drawing>
      </w:r>
    </w:p>
    <w:p w14:paraId="7B1FF7A8" w14:textId="77777777" w:rsidR="00097D91" w:rsidRDefault="00097D91" w:rsidP="00097D91">
      <w:pPr>
        <w:jc w:val="both"/>
        <w:rPr>
          <w:rFonts w:ascii="Times New Roman" w:hAnsi="Times New Roman" w:cs="Times New Roman"/>
          <w:sz w:val="24"/>
          <w:szCs w:val="24"/>
        </w:rPr>
      </w:pPr>
      <w:r w:rsidRPr="00995A39">
        <w:rPr>
          <w:rFonts w:ascii="Times New Roman" w:hAnsi="Times New Roman" w:cs="Times New Roman"/>
          <w:noProof/>
          <w:sz w:val="24"/>
          <w:szCs w:val="24"/>
          <w:lang w:eastAsia="en-AU"/>
        </w:rPr>
        <w:lastRenderedPageBreak/>
        <w:drawing>
          <wp:inline distT="0" distB="0" distL="0" distR="0" wp14:anchorId="5B4AAA27" wp14:editId="5A6E9413">
            <wp:extent cx="8863330" cy="5906366"/>
            <wp:effectExtent l="0" t="0" r="0" b="0"/>
            <wp:docPr id="7" name="Picture 7" descr="C:\Users\rk693\Dropbox\Ph.D\Sites\Doring\Klipfonteinrand Rockshelter (KFR)\2022\PNG files\De radial plots 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k693\Dropbox\Ph.D\Sites\Doring\Klipfonteinrand Rockshelter (KFR)\2022\PNG files\De radial plots part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63330" cy="5906366"/>
                    </a:xfrm>
                    <a:prstGeom prst="rect">
                      <a:avLst/>
                    </a:prstGeom>
                    <a:noFill/>
                    <a:ln>
                      <a:noFill/>
                    </a:ln>
                  </pic:spPr>
                </pic:pic>
              </a:graphicData>
            </a:graphic>
          </wp:inline>
        </w:drawing>
      </w:r>
      <w:r w:rsidRPr="00995A39">
        <w:rPr>
          <w:rFonts w:ascii="Times New Roman" w:hAnsi="Times New Roman" w:cs="Times New Roman"/>
          <w:noProof/>
          <w:sz w:val="24"/>
          <w:szCs w:val="24"/>
          <w:lang w:eastAsia="en-AU"/>
        </w:rPr>
        <w:lastRenderedPageBreak/>
        <w:drawing>
          <wp:inline distT="0" distB="0" distL="0" distR="0" wp14:anchorId="5F338B0C" wp14:editId="576A25A6">
            <wp:extent cx="8863330" cy="2927751"/>
            <wp:effectExtent l="0" t="0" r="0" b="6350"/>
            <wp:docPr id="8" name="Picture 8" descr="C:\Users\rk693\Dropbox\Ph.D\Sites\Doring\Klipfonteinrand Rockshelter (KFR)\2022\PNG files\De radial plots par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k693\Dropbox\Ph.D\Sites\Doring\Klipfonteinrand Rockshelter (KFR)\2022\PNG files\De radial plots part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63330" cy="2927751"/>
                    </a:xfrm>
                    <a:prstGeom prst="rect">
                      <a:avLst/>
                    </a:prstGeom>
                    <a:noFill/>
                    <a:ln>
                      <a:noFill/>
                    </a:ln>
                  </pic:spPr>
                </pic:pic>
              </a:graphicData>
            </a:graphic>
          </wp:inline>
        </w:drawing>
      </w:r>
    </w:p>
    <w:p w14:paraId="67B678DE" w14:textId="77777777" w:rsidR="003D5210" w:rsidRPr="003D5210" w:rsidRDefault="00097D91" w:rsidP="00097D91">
      <w:pPr>
        <w:jc w:val="both"/>
        <w:rPr>
          <w:rFonts w:cstheme="minorHAnsi"/>
        </w:rPr>
        <w:sectPr w:rsidR="003D5210" w:rsidRPr="003D5210" w:rsidSect="00BD4B3C">
          <w:pgSz w:w="16838" w:h="11906" w:orient="landscape"/>
          <w:pgMar w:top="1440" w:right="1440" w:bottom="1440" w:left="1440" w:header="708" w:footer="708" w:gutter="0"/>
          <w:cols w:space="708"/>
          <w:docGrid w:linePitch="360"/>
        </w:sectPr>
      </w:pPr>
      <w:r w:rsidRPr="003D5210">
        <w:rPr>
          <w:rFonts w:cstheme="minorHAnsi"/>
          <w:b/>
        </w:rPr>
        <w:t>Figure S</w:t>
      </w:r>
      <w:r w:rsidR="005D66CB" w:rsidRPr="003D5210">
        <w:rPr>
          <w:rFonts w:cstheme="minorHAnsi"/>
          <w:b/>
        </w:rPr>
        <w:t>3</w:t>
      </w:r>
      <w:r w:rsidRPr="003D5210">
        <w:rPr>
          <w:rFonts w:cstheme="minorHAnsi"/>
        </w:rPr>
        <w:t>. Single-grain quartz D</w:t>
      </w:r>
      <w:r w:rsidRPr="003D5210">
        <w:rPr>
          <w:rFonts w:cstheme="minorHAnsi"/>
          <w:vertAlign w:val="subscript"/>
        </w:rPr>
        <w:t>e</w:t>
      </w:r>
      <w:r w:rsidRPr="003D5210">
        <w:rPr>
          <w:rFonts w:cstheme="minorHAnsi"/>
        </w:rPr>
        <w:t xml:space="preserve"> distributions for all KFR1 samples. Note that radial axis scales differ. Values &lt;5 Gy excluded for the clarity of display. </w:t>
      </w:r>
    </w:p>
    <w:p w14:paraId="1F9ABDE6" w14:textId="77777777" w:rsidR="00097D91" w:rsidRDefault="00097D91" w:rsidP="00097D91">
      <w:pPr>
        <w:jc w:val="both"/>
        <w:rPr>
          <w:rFonts w:ascii="Times New Roman" w:hAnsi="Times New Roman" w:cs="Times New Roman"/>
          <w:sz w:val="24"/>
          <w:szCs w:val="24"/>
        </w:rPr>
      </w:pPr>
      <w:r w:rsidRPr="001355F1">
        <w:rPr>
          <w:rFonts w:ascii="Times New Roman" w:hAnsi="Times New Roman" w:cs="Times New Roman"/>
          <w:noProof/>
          <w:sz w:val="24"/>
          <w:szCs w:val="24"/>
          <w:lang w:eastAsia="en-AU"/>
        </w:rPr>
        <w:lastRenderedPageBreak/>
        <w:drawing>
          <wp:inline distT="0" distB="0" distL="0" distR="0" wp14:anchorId="1E33266D" wp14:editId="2B55E443">
            <wp:extent cx="5731510" cy="9442480"/>
            <wp:effectExtent l="0" t="0" r="2540" b="6350"/>
            <wp:docPr id="9" name="Picture 9" descr="C:\Users\rk693\Dropbox\Ph.D\Sites\Doring\Klipfonteinrand Rockshelter (KFR)\2022\PNG files\LxTx 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k693\Dropbox\Ph.D\Sites\Doring\Klipfonteinrand Rockshelter (KFR)\2022\PNG files\LxTx part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9442480"/>
                    </a:xfrm>
                    <a:prstGeom prst="rect">
                      <a:avLst/>
                    </a:prstGeom>
                    <a:noFill/>
                    <a:ln>
                      <a:noFill/>
                    </a:ln>
                  </pic:spPr>
                </pic:pic>
              </a:graphicData>
            </a:graphic>
          </wp:inline>
        </w:drawing>
      </w:r>
    </w:p>
    <w:p w14:paraId="0E73E74A" w14:textId="77777777" w:rsidR="00097D91" w:rsidRDefault="00097D91" w:rsidP="00097D91">
      <w:pPr>
        <w:jc w:val="both"/>
        <w:rPr>
          <w:rFonts w:ascii="Times New Roman" w:hAnsi="Times New Roman" w:cs="Times New Roman"/>
          <w:sz w:val="24"/>
          <w:szCs w:val="24"/>
        </w:rPr>
      </w:pPr>
      <w:r w:rsidRPr="001355F1">
        <w:rPr>
          <w:rFonts w:ascii="Times New Roman" w:hAnsi="Times New Roman" w:cs="Times New Roman"/>
          <w:noProof/>
          <w:sz w:val="24"/>
          <w:szCs w:val="24"/>
          <w:lang w:eastAsia="en-AU"/>
        </w:rPr>
        <w:lastRenderedPageBreak/>
        <w:drawing>
          <wp:inline distT="0" distB="0" distL="0" distR="0" wp14:anchorId="1922AED1" wp14:editId="62993E8C">
            <wp:extent cx="5731510" cy="4646523"/>
            <wp:effectExtent l="0" t="0" r="2540" b="1905"/>
            <wp:docPr id="10" name="Picture 10" descr="C:\Users\rk693\Dropbox\Ph.D\Sites\Doring\Klipfonteinrand Rockshelter (KFR)\2022\PNG files\LxTx 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k693\Dropbox\Ph.D\Sites\Doring\Klipfonteinrand Rockshelter (KFR)\2022\PNG files\LxTx part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646523"/>
                    </a:xfrm>
                    <a:prstGeom prst="rect">
                      <a:avLst/>
                    </a:prstGeom>
                    <a:noFill/>
                    <a:ln>
                      <a:noFill/>
                    </a:ln>
                  </pic:spPr>
                </pic:pic>
              </a:graphicData>
            </a:graphic>
          </wp:inline>
        </w:drawing>
      </w:r>
    </w:p>
    <w:p w14:paraId="441F657D" w14:textId="77777777" w:rsidR="003D5210" w:rsidRPr="003D5210" w:rsidRDefault="00097D91" w:rsidP="00097D91">
      <w:pPr>
        <w:jc w:val="both"/>
        <w:rPr>
          <w:rFonts w:cstheme="minorHAnsi"/>
        </w:rPr>
        <w:sectPr w:rsidR="003D5210" w:rsidRPr="003D5210" w:rsidSect="003D5210">
          <w:pgSz w:w="11906" w:h="16838"/>
          <w:pgMar w:top="1440" w:right="1440" w:bottom="1440" w:left="1440" w:header="708" w:footer="708" w:gutter="0"/>
          <w:cols w:space="708"/>
          <w:docGrid w:linePitch="360"/>
        </w:sectPr>
      </w:pPr>
      <w:r w:rsidRPr="003D5210">
        <w:rPr>
          <w:rFonts w:cstheme="minorHAnsi"/>
          <w:b/>
        </w:rPr>
        <w:t>Figure S</w:t>
      </w:r>
      <w:r w:rsidR="005D66CB" w:rsidRPr="003D5210">
        <w:rPr>
          <w:rFonts w:cstheme="minorHAnsi"/>
          <w:b/>
        </w:rPr>
        <w:t>4</w:t>
      </w:r>
      <w:r w:rsidRPr="003D5210">
        <w:rPr>
          <w:rFonts w:cstheme="minorHAnsi"/>
          <w:b/>
        </w:rPr>
        <w:t xml:space="preserve">. </w:t>
      </w:r>
      <w:r w:rsidRPr="003D5210">
        <w:rPr>
          <w:rFonts w:cstheme="minorHAnsi"/>
        </w:rPr>
        <w:t>Comparison of the L</w:t>
      </w:r>
      <w:r w:rsidRPr="003D5210">
        <w:rPr>
          <w:rFonts w:cstheme="minorHAnsi"/>
          <w:vertAlign w:val="subscript"/>
        </w:rPr>
        <w:t>x</w:t>
      </w:r>
      <w:r w:rsidRPr="003D5210">
        <w:rPr>
          <w:rFonts w:cstheme="minorHAnsi"/>
        </w:rPr>
        <w:t>/T</w:t>
      </w:r>
      <w:r w:rsidRPr="003D5210">
        <w:rPr>
          <w:rFonts w:cstheme="minorHAnsi"/>
          <w:vertAlign w:val="subscript"/>
        </w:rPr>
        <w:t>x</w:t>
      </w:r>
      <w:r w:rsidRPr="003D5210">
        <w:rPr>
          <w:rFonts w:cstheme="minorHAnsi"/>
        </w:rPr>
        <w:t xml:space="preserve"> values for different SGC groups, before (left) and after (right) LS-normalisation. A general-order kinetic function (full lines) was used for fitting the data and then normalised to unity at 60 Gy (40 Gy for OSL1). </w:t>
      </w:r>
    </w:p>
    <w:p w14:paraId="0F7CC758" w14:textId="7E6CD2FE" w:rsidR="00097D91" w:rsidRPr="0098467C" w:rsidRDefault="00097D91" w:rsidP="00097D91">
      <w:pPr>
        <w:jc w:val="both"/>
        <w:rPr>
          <w:rFonts w:ascii="Times New Roman" w:hAnsi="Times New Roman" w:cs="Times New Roman"/>
          <w:b/>
          <w:sz w:val="24"/>
          <w:szCs w:val="24"/>
        </w:rPr>
      </w:pPr>
    </w:p>
    <w:p w14:paraId="37B451FB" w14:textId="77777777" w:rsidR="00097D91" w:rsidRDefault="00097D91" w:rsidP="00097D91">
      <w:pPr>
        <w:jc w:val="both"/>
        <w:rPr>
          <w:rFonts w:ascii="Times New Roman" w:hAnsi="Times New Roman" w:cs="Times New Roman"/>
          <w:sz w:val="24"/>
          <w:szCs w:val="24"/>
        </w:rPr>
      </w:pPr>
      <w:r w:rsidRPr="002B0858">
        <w:rPr>
          <w:rFonts w:ascii="Times New Roman" w:hAnsi="Times New Roman" w:cs="Times New Roman"/>
          <w:noProof/>
          <w:sz w:val="24"/>
          <w:szCs w:val="24"/>
          <w:lang w:eastAsia="en-AU"/>
        </w:rPr>
        <w:drawing>
          <wp:inline distT="0" distB="0" distL="0" distR="0" wp14:anchorId="2C016AA9" wp14:editId="4D659B27">
            <wp:extent cx="8863330" cy="5256795"/>
            <wp:effectExtent l="0" t="0" r="0" b="1270"/>
            <wp:docPr id="11" name="Picture 11" descr="C:\Users\rk693\Dropbox\Ph.D\Sites\Doring\Klipfonteinrand Rockshelter (KFR)\2022\PNG files\LnTn radial plots OS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k693\Dropbox\Ph.D\Sites\Doring\Klipfonteinrand Rockshelter (KFR)\2022\PNG files\LnTn radial plots OSL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330" cy="5256795"/>
                    </a:xfrm>
                    <a:prstGeom prst="rect">
                      <a:avLst/>
                    </a:prstGeom>
                    <a:noFill/>
                    <a:ln>
                      <a:noFill/>
                    </a:ln>
                  </pic:spPr>
                </pic:pic>
              </a:graphicData>
            </a:graphic>
          </wp:inline>
        </w:drawing>
      </w:r>
    </w:p>
    <w:p w14:paraId="1BB9ED64" w14:textId="77777777" w:rsidR="00097D91" w:rsidRDefault="00097D91" w:rsidP="00097D91">
      <w:pPr>
        <w:jc w:val="both"/>
        <w:rPr>
          <w:rFonts w:ascii="Times New Roman" w:hAnsi="Times New Roman" w:cs="Times New Roman"/>
          <w:sz w:val="24"/>
          <w:szCs w:val="24"/>
        </w:rPr>
      </w:pPr>
    </w:p>
    <w:p w14:paraId="46D4DBB0"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drawing>
          <wp:inline distT="0" distB="0" distL="0" distR="0" wp14:anchorId="4DFE0521" wp14:editId="2517944A">
            <wp:extent cx="8863330" cy="5297890"/>
            <wp:effectExtent l="0" t="0" r="0" b="0"/>
            <wp:docPr id="12" name="Picture 12" descr="C:\Users\rk693\Dropbox\Ph.D\Sites\Doring\Klipfonteinrand Rockshelter (KFR)\2022\PNG files\LnTn radial plots OS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k693\Dropbox\Ph.D\Sites\Doring\Klipfonteinrand Rockshelter (KFR)\2022\PNG files\LnTn radial plots OSL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3330" cy="5297890"/>
                    </a:xfrm>
                    <a:prstGeom prst="rect">
                      <a:avLst/>
                    </a:prstGeom>
                    <a:noFill/>
                    <a:ln>
                      <a:noFill/>
                    </a:ln>
                  </pic:spPr>
                </pic:pic>
              </a:graphicData>
            </a:graphic>
          </wp:inline>
        </w:drawing>
      </w:r>
    </w:p>
    <w:p w14:paraId="6EFCB7EA" w14:textId="77777777" w:rsidR="00097D91" w:rsidRDefault="00097D91" w:rsidP="00097D91">
      <w:pPr>
        <w:jc w:val="both"/>
        <w:rPr>
          <w:rFonts w:ascii="Times New Roman" w:hAnsi="Times New Roman" w:cs="Times New Roman"/>
          <w:sz w:val="24"/>
          <w:szCs w:val="24"/>
        </w:rPr>
      </w:pPr>
    </w:p>
    <w:p w14:paraId="7028890F"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drawing>
          <wp:inline distT="0" distB="0" distL="0" distR="0" wp14:anchorId="14A0916F" wp14:editId="6EF80BCA">
            <wp:extent cx="8863330" cy="5363656"/>
            <wp:effectExtent l="0" t="0" r="0" b="8890"/>
            <wp:docPr id="13" name="Picture 13" descr="C:\Users\rk693\Dropbox\Ph.D\Sites\Doring\Klipfonteinrand Rockshelter (KFR)\2022\PNG files\LnTn radial plots OS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k693\Dropbox\Ph.D\Sites\Doring\Klipfonteinrand Rockshelter (KFR)\2022\PNG files\LnTn radial plots OSL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3330" cy="5363656"/>
                    </a:xfrm>
                    <a:prstGeom prst="rect">
                      <a:avLst/>
                    </a:prstGeom>
                    <a:noFill/>
                    <a:ln>
                      <a:noFill/>
                    </a:ln>
                  </pic:spPr>
                </pic:pic>
              </a:graphicData>
            </a:graphic>
          </wp:inline>
        </w:drawing>
      </w:r>
    </w:p>
    <w:p w14:paraId="5E1F0ACB" w14:textId="77777777" w:rsidR="00097D91" w:rsidRDefault="00097D91" w:rsidP="00097D91">
      <w:pPr>
        <w:jc w:val="both"/>
        <w:rPr>
          <w:rFonts w:ascii="Times New Roman" w:hAnsi="Times New Roman" w:cs="Times New Roman"/>
          <w:sz w:val="24"/>
          <w:szCs w:val="24"/>
        </w:rPr>
      </w:pPr>
    </w:p>
    <w:p w14:paraId="67EE01CF"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drawing>
          <wp:inline distT="0" distB="0" distL="0" distR="0" wp14:anchorId="3CE934A0" wp14:editId="5994BBDC">
            <wp:extent cx="8863330" cy="5299215"/>
            <wp:effectExtent l="0" t="0" r="0" b="0"/>
            <wp:docPr id="14" name="Picture 14" descr="C:\Users\rk693\Dropbox\Ph.D\Sites\Doring\Klipfonteinrand Rockshelter (KFR)\2022\PNG files\LnTn radial plots OS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693\Dropbox\Ph.D\Sites\Doring\Klipfonteinrand Rockshelter (KFR)\2022\PNG files\LnTn radial plots OSL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63330" cy="5299215"/>
                    </a:xfrm>
                    <a:prstGeom prst="rect">
                      <a:avLst/>
                    </a:prstGeom>
                    <a:noFill/>
                    <a:ln>
                      <a:noFill/>
                    </a:ln>
                  </pic:spPr>
                </pic:pic>
              </a:graphicData>
            </a:graphic>
          </wp:inline>
        </w:drawing>
      </w:r>
    </w:p>
    <w:p w14:paraId="0EC7E562" w14:textId="77777777" w:rsidR="00097D91" w:rsidRDefault="00097D91" w:rsidP="00097D91">
      <w:pPr>
        <w:jc w:val="both"/>
        <w:rPr>
          <w:rFonts w:ascii="Times New Roman" w:hAnsi="Times New Roman" w:cs="Times New Roman"/>
          <w:sz w:val="24"/>
          <w:szCs w:val="24"/>
        </w:rPr>
      </w:pPr>
    </w:p>
    <w:p w14:paraId="25B79880"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drawing>
          <wp:inline distT="0" distB="0" distL="0" distR="0" wp14:anchorId="39F7C9AE" wp14:editId="7200DB1F">
            <wp:extent cx="8863330" cy="5310340"/>
            <wp:effectExtent l="0" t="0" r="0" b="5080"/>
            <wp:docPr id="15" name="Picture 15" descr="C:\Users\rk693\Dropbox\Ph.D\Sites\Doring\Klipfonteinrand Rockshelter (KFR)\2022\PNG files\LnTn radial plots OSL9 (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k693\Dropbox\Ph.D\Sites\Doring\Klipfonteinrand Rockshelter (KFR)\2022\PNG files\LnTn radial plots OSL9 (part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63330" cy="5310340"/>
                    </a:xfrm>
                    <a:prstGeom prst="rect">
                      <a:avLst/>
                    </a:prstGeom>
                    <a:noFill/>
                    <a:ln>
                      <a:noFill/>
                    </a:ln>
                  </pic:spPr>
                </pic:pic>
              </a:graphicData>
            </a:graphic>
          </wp:inline>
        </w:drawing>
      </w:r>
    </w:p>
    <w:p w14:paraId="0F622D4F"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lastRenderedPageBreak/>
        <w:drawing>
          <wp:inline distT="0" distB="0" distL="0" distR="0" wp14:anchorId="25E315F8" wp14:editId="13CE9F8A">
            <wp:extent cx="8863330" cy="2786436"/>
            <wp:effectExtent l="0" t="0" r="0" b="0"/>
            <wp:docPr id="16" name="Picture 16" descr="C:\Users\rk693\Dropbox\Ph.D\Sites\Doring\Klipfonteinrand Rockshelter (KFR)\2022\PNG files\LnTn radial plots OSL9 (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k693\Dropbox\Ph.D\Sites\Doring\Klipfonteinrand Rockshelter (KFR)\2022\PNG files\LnTn radial plots OSL9 (part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2786436"/>
                    </a:xfrm>
                    <a:prstGeom prst="rect">
                      <a:avLst/>
                    </a:prstGeom>
                    <a:noFill/>
                    <a:ln>
                      <a:noFill/>
                    </a:ln>
                  </pic:spPr>
                </pic:pic>
              </a:graphicData>
            </a:graphic>
          </wp:inline>
        </w:drawing>
      </w:r>
    </w:p>
    <w:p w14:paraId="4470FC20" w14:textId="77777777" w:rsidR="00097D91" w:rsidRDefault="00097D91" w:rsidP="00097D91">
      <w:pPr>
        <w:jc w:val="both"/>
        <w:rPr>
          <w:rFonts w:ascii="Times New Roman" w:hAnsi="Times New Roman" w:cs="Times New Roman"/>
          <w:sz w:val="24"/>
          <w:szCs w:val="24"/>
        </w:rPr>
      </w:pPr>
    </w:p>
    <w:p w14:paraId="3D853BF4" w14:textId="77777777" w:rsidR="00097D91" w:rsidRDefault="00097D91" w:rsidP="00097D91">
      <w:pPr>
        <w:jc w:val="both"/>
        <w:rPr>
          <w:rFonts w:ascii="Times New Roman" w:hAnsi="Times New Roman" w:cs="Times New Roman"/>
          <w:sz w:val="24"/>
          <w:szCs w:val="24"/>
        </w:rPr>
      </w:pPr>
    </w:p>
    <w:p w14:paraId="3B59E1CC" w14:textId="77777777" w:rsidR="00097D91" w:rsidRDefault="00097D91" w:rsidP="00097D91">
      <w:pPr>
        <w:jc w:val="both"/>
        <w:rPr>
          <w:rFonts w:ascii="Times New Roman" w:hAnsi="Times New Roman" w:cs="Times New Roman"/>
          <w:sz w:val="24"/>
          <w:szCs w:val="24"/>
        </w:rPr>
      </w:pPr>
    </w:p>
    <w:p w14:paraId="02382701" w14:textId="77777777" w:rsidR="00097D91" w:rsidRDefault="00097D91" w:rsidP="00097D91">
      <w:pPr>
        <w:jc w:val="both"/>
        <w:rPr>
          <w:rFonts w:ascii="Times New Roman" w:hAnsi="Times New Roman" w:cs="Times New Roman"/>
          <w:sz w:val="24"/>
          <w:szCs w:val="24"/>
        </w:rPr>
      </w:pPr>
    </w:p>
    <w:p w14:paraId="3F3D0750" w14:textId="77777777" w:rsidR="00097D91" w:rsidRDefault="00097D91" w:rsidP="00097D91">
      <w:pPr>
        <w:jc w:val="both"/>
        <w:rPr>
          <w:rFonts w:ascii="Times New Roman" w:hAnsi="Times New Roman" w:cs="Times New Roman"/>
          <w:sz w:val="24"/>
          <w:szCs w:val="24"/>
        </w:rPr>
      </w:pPr>
    </w:p>
    <w:p w14:paraId="234E5984" w14:textId="77777777" w:rsidR="00097D91" w:rsidRDefault="00097D91" w:rsidP="00097D91">
      <w:pPr>
        <w:jc w:val="both"/>
        <w:rPr>
          <w:rFonts w:ascii="Times New Roman" w:hAnsi="Times New Roman" w:cs="Times New Roman"/>
          <w:sz w:val="24"/>
          <w:szCs w:val="24"/>
        </w:rPr>
      </w:pPr>
    </w:p>
    <w:p w14:paraId="0FCCD215" w14:textId="77777777" w:rsidR="00097D91" w:rsidRDefault="00097D91" w:rsidP="00097D91">
      <w:pPr>
        <w:jc w:val="both"/>
        <w:rPr>
          <w:rFonts w:ascii="Times New Roman" w:hAnsi="Times New Roman" w:cs="Times New Roman"/>
          <w:sz w:val="24"/>
          <w:szCs w:val="24"/>
        </w:rPr>
      </w:pPr>
    </w:p>
    <w:p w14:paraId="3FA41ACA" w14:textId="77777777" w:rsidR="00097D91" w:rsidRDefault="00097D91" w:rsidP="00097D91">
      <w:pPr>
        <w:jc w:val="both"/>
        <w:rPr>
          <w:rFonts w:ascii="Times New Roman" w:hAnsi="Times New Roman" w:cs="Times New Roman"/>
          <w:sz w:val="24"/>
          <w:szCs w:val="24"/>
        </w:rPr>
      </w:pPr>
    </w:p>
    <w:p w14:paraId="15A482D7" w14:textId="77777777" w:rsidR="00097D91" w:rsidRDefault="00097D91" w:rsidP="00097D91">
      <w:pPr>
        <w:jc w:val="both"/>
        <w:rPr>
          <w:rFonts w:ascii="Times New Roman" w:hAnsi="Times New Roman" w:cs="Times New Roman"/>
          <w:sz w:val="24"/>
          <w:szCs w:val="24"/>
        </w:rPr>
      </w:pPr>
    </w:p>
    <w:p w14:paraId="633C2235" w14:textId="77777777" w:rsidR="00097D91" w:rsidRDefault="00097D91" w:rsidP="00097D91">
      <w:pPr>
        <w:jc w:val="both"/>
        <w:rPr>
          <w:rFonts w:ascii="Times New Roman" w:hAnsi="Times New Roman" w:cs="Times New Roman"/>
          <w:sz w:val="24"/>
          <w:szCs w:val="24"/>
        </w:rPr>
      </w:pPr>
    </w:p>
    <w:p w14:paraId="14F93CA0" w14:textId="77777777" w:rsidR="00097D91" w:rsidRDefault="00097D91" w:rsidP="00097D91">
      <w:pPr>
        <w:jc w:val="both"/>
        <w:rPr>
          <w:rFonts w:ascii="Times New Roman" w:hAnsi="Times New Roman" w:cs="Times New Roman"/>
          <w:sz w:val="24"/>
          <w:szCs w:val="24"/>
        </w:rPr>
      </w:pPr>
      <w:r w:rsidRPr="001B78A3">
        <w:rPr>
          <w:rFonts w:ascii="Times New Roman" w:hAnsi="Times New Roman" w:cs="Times New Roman"/>
          <w:noProof/>
          <w:sz w:val="24"/>
          <w:szCs w:val="24"/>
          <w:lang w:eastAsia="en-AU"/>
        </w:rPr>
        <w:lastRenderedPageBreak/>
        <w:drawing>
          <wp:inline distT="0" distB="0" distL="0" distR="0" wp14:anchorId="78CB3FCE" wp14:editId="285BB766">
            <wp:extent cx="8863330" cy="5284722"/>
            <wp:effectExtent l="0" t="0" r="0" b="0"/>
            <wp:docPr id="17" name="Picture 17" descr="C:\Users\rk693\Dropbox\Ph.D\Sites\Doring\Klipfonteinrand Rockshelter (KFR)\2022\PNG files\LnTn radial plots OSL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k693\Dropbox\Ph.D\Sites\Doring\Klipfonteinrand Rockshelter (KFR)\2022\PNG files\LnTn radial plots OSL1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3330" cy="5284722"/>
                    </a:xfrm>
                    <a:prstGeom prst="rect">
                      <a:avLst/>
                    </a:prstGeom>
                    <a:noFill/>
                    <a:ln>
                      <a:noFill/>
                    </a:ln>
                  </pic:spPr>
                </pic:pic>
              </a:graphicData>
            </a:graphic>
          </wp:inline>
        </w:drawing>
      </w:r>
    </w:p>
    <w:p w14:paraId="389772C8" w14:textId="77777777" w:rsidR="00097D91" w:rsidRDefault="00097D91" w:rsidP="00097D91">
      <w:pPr>
        <w:jc w:val="both"/>
        <w:rPr>
          <w:rFonts w:ascii="Times New Roman" w:hAnsi="Times New Roman" w:cs="Times New Roman"/>
          <w:sz w:val="24"/>
          <w:szCs w:val="24"/>
        </w:rPr>
      </w:pPr>
    </w:p>
    <w:p w14:paraId="251B4663" w14:textId="77777777" w:rsidR="00097D91" w:rsidRPr="003D5210" w:rsidRDefault="00097D91" w:rsidP="00097D91">
      <w:pPr>
        <w:jc w:val="both"/>
        <w:rPr>
          <w:rFonts w:cstheme="minorHAnsi"/>
        </w:rPr>
      </w:pPr>
      <w:r w:rsidRPr="003D5210">
        <w:rPr>
          <w:rFonts w:cstheme="minorHAnsi"/>
          <w:b/>
        </w:rPr>
        <w:lastRenderedPageBreak/>
        <w:t xml:space="preserve">Figure S5. </w:t>
      </w:r>
      <w:r w:rsidRPr="003D5210">
        <w:rPr>
          <w:rFonts w:cstheme="minorHAnsi"/>
        </w:rPr>
        <w:t>Radial plots showing the LS-normalised L</w:t>
      </w:r>
      <w:r w:rsidRPr="003D5210">
        <w:rPr>
          <w:rFonts w:cstheme="minorHAnsi"/>
          <w:vertAlign w:val="subscript"/>
        </w:rPr>
        <w:t>n</w:t>
      </w:r>
      <w:r w:rsidRPr="003D5210">
        <w:rPr>
          <w:rFonts w:cstheme="minorHAnsi"/>
        </w:rPr>
        <w:t>/T</w:t>
      </w:r>
      <w:r w:rsidRPr="003D5210">
        <w:rPr>
          <w:rFonts w:cstheme="minorHAnsi"/>
          <w:vertAlign w:val="subscript"/>
        </w:rPr>
        <w:t>n</w:t>
      </w:r>
      <w:r w:rsidRPr="003D5210">
        <w:rPr>
          <w:rFonts w:cstheme="minorHAnsi"/>
        </w:rPr>
        <w:t xml:space="preserve"> values obtained for different groups from the KFR1 samples. Unfilled circles represent data points rejected as outliers using the </w:t>
      </w:r>
      <w:proofErr w:type="spellStart"/>
      <w:r w:rsidRPr="003D5210">
        <w:rPr>
          <w:rFonts w:cstheme="minorHAnsi"/>
        </w:rPr>
        <w:t>nMAD</w:t>
      </w:r>
      <w:proofErr w:type="spellEnd"/>
      <w:r w:rsidRPr="003D5210">
        <w:rPr>
          <w:rFonts w:cstheme="minorHAnsi"/>
        </w:rPr>
        <w:t xml:space="preserve"> method. The grey bars represent the weighted mean LS-normalised L</w:t>
      </w:r>
      <w:r w:rsidRPr="003D5210">
        <w:rPr>
          <w:rFonts w:cstheme="minorHAnsi"/>
          <w:vertAlign w:val="subscript"/>
        </w:rPr>
        <w:t>n</w:t>
      </w:r>
      <w:r w:rsidRPr="003D5210">
        <w:rPr>
          <w:rFonts w:cstheme="minorHAnsi"/>
        </w:rPr>
        <w:t>/T</w:t>
      </w:r>
      <w:r w:rsidRPr="003D5210">
        <w:rPr>
          <w:rFonts w:cstheme="minorHAnsi"/>
          <w:vertAlign w:val="subscript"/>
        </w:rPr>
        <w:t>n</w:t>
      </w:r>
      <w:r w:rsidRPr="003D5210">
        <w:rPr>
          <w:rFonts w:cstheme="minorHAnsi"/>
        </w:rPr>
        <w:t xml:space="preserve"> value of the filled circles (calculated using the CAM), used for D</w:t>
      </w:r>
      <w:r w:rsidRPr="003D5210">
        <w:rPr>
          <w:rFonts w:cstheme="minorHAnsi"/>
          <w:vertAlign w:val="subscript"/>
        </w:rPr>
        <w:t>e</w:t>
      </w:r>
      <w:r w:rsidRPr="003D5210">
        <w:rPr>
          <w:rFonts w:cstheme="minorHAnsi"/>
        </w:rPr>
        <w:t xml:space="preserve"> determination. The straight, colour-coded lines shown for OSL7 (Figure S5-C) are centred on the weighted mean value for each component identified using the FMM, based on the data points of the matching colour. A reliable L</w:t>
      </w:r>
      <w:r w:rsidRPr="003D5210">
        <w:rPr>
          <w:rFonts w:cstheme="minorHAnsi"/>
          <w:vertAlign w:val="subscript"/>
        </w:rPr>
        <w:t>n</w:t>
      </w:r>
      <w:r w:rsidRPr="003D5210">
        <w:rPr>
          <w:rFonts w:cstheme="minorHAnsi"/>
        </w:rPr>
        <w:t>/T</w:t>
      </w:r>
      <w:r w:rsidRPr="003D5210">
        <w:rPr>
          <w:rFonts w:cstheme="minorHAnsi"/>
          <w:vertAlign w:val="subscript"/>
        </w:rPr>
        <w:t>n</w:t>
      </w:r>
      <w:r w:rsidRPr="003D5210">
        <w:rPr>
          <w:rFonts w:cstheme="minorHAnsi"/>
        </w:rPr>
        <w:t xml:space="preserve"> value for D</w:t>
      </w:r>
      <w:r w:rsidRPr="003D5210">
        <w:rPr>
          <w:rFonts w:cstheme="minorHAnsi"/>
          <w:vertAlign w:val="subscript"/>
        </w:rPr>
        <w:t>e</w:t>
      </w:r>
      <w:r w:rsidRPr="003D5210">
        <w:rPr>
          <w:rFonts w:cstheme="minorHAnsi"/>
        </w:rPr>
        <w:t xml:space="preserve"> determination was unable to be calculated for groups with less than 10 grains.</w:t>
      </w:r>
    </w:p>
    <w:p w14:paraId="226814BD" w14:textId="77777777" w:rsidR="00097D91" w:rsidRDefault="00097D91" w:rsidP="00097D91">
      <w:pPr>
        <w:jc w:val="both"/>
        <w:rPr>
          <w:rFonts w:ascii="Times New Roman" w:hAnsi="Times New Roman" w:cs="Times New Roman"/>
          <w:sz w:val="24"/>
          <w:szCs w:val="24"/>
        </w:rPr>
      </w:pPr>
    </w:p>
    <w:p w14:paraId="0DF06929" w14:textId="77777777" w:rsidR="00097D91" w:rsidRDefault="00097D91" w:rsidP="00097D91">
      <w:pPr>
        <w:jc w:val="both"/>
        <w:rPr>
          <w:rFonts w:ascii="Times New Roman" w:hAnsi="Times New Roman" w:cs="Times New Roman"/>
          <w:sz w:val="24"/>
          <w:szCs w:val="24"/>
        </w:rPr>
      </w:pPr>
    </w:p>
    <w:p w14:paraId="5AFEFCD8" w14:textId="77777777" w:rsidR="00097D91" w:rsidRDefault="00097D91" w:rsidP="00097D91">
      <w:pPr>
        <w:jc w:val="both"/>
        <w:rPr>
          <w:rFonts w:ascii="Times New Roman" w:hAnsi="Times New Roman" w:cs="Times New Roman"/>
          <w:sz w:val="24"/>
          <w:szCs w:val="24"/>
        </w:rPr>
        <w:sectPr w:rsidR="00097D91" w:rsidSect="00BD4B3C">
          <w:pgSz w:w="16838" w:h="11906" w:orient="landscape"/>
          <w:pgMar w:top="1440" w:right="1440" w:bottom="1440" w:left="1440" w:header="708" w:footer="708" w:gutter="0"/>
          <w:cols w:space="708"/>
          <w:docGrid w:linePitch="360"/>
        </w:sectPr>
      </w:pPr>
    </w:p>
    <w:p w14:paraId="391D8EE9" w14:textId="77777777" w:rsidR="00727156" w:rsidRPr="00DE0AC8" w:rsidRDefault="00727156" w:rsidP="00727156">
      <w:pPr>
        <w:rPr>
          <w:b/>
          <w:bCs/>
          <w:lang w:val="en-US"/>
        </w:rPr>
      </w:pPr>
      <w:r w:rsidRPr="00DE0AC8">
        <w:rPr>
          <w:b/>
          <w:bCs/>
          <w:lang w:val="en-US"/>
        </w:rPr>
        <w:lastRenderedPageBreak/>
        <w:t>References</w:t>
      </w:r>
    </w:p>
    <w:p w14:paraId="1EEF2200" w14:textId="0654ABEC" w:rsidR="008252DA" w:rsidRPr="00CD4392" w:rsidRDefault="00DE0AC8" w:rsidP="00CD4392">
      <w:pPr>
        <w:pStyle w:val="EndNoteBibliography"/>
        <w:spacing w:after="0"/>
        <w:ind w:left="720" w:hanging="720"/>
      </w:pPr>
      <w:r w:rsidRPr="00CD4392">
        <w:t>Ames, C. J., Gliganic, L. A., Cordova, C., Boyd, K., Jones, B. G., Maher, L., &amp; Collins, B. (2020). Chronostratigraphy, site formation, and palaeoenvironmental context of late Pleistocene and Holocene occupations at Grassridge rock shelter (Eastern Cape, South Africa).</w:t>
      </w:r>
      <w:r w:rsidR="008252DA" w:rsidRPr="008252DA">
        <w:t xml:space="preserve"> Open Quaternary</w:t>
      </w:r>
      <w:r w:rsidR="008252DA">
        <w:t xml:space="preserve"> 6, 1–19. DOI: https://doi.org/10.5334/oq.77</w:t>
      </w:r>
    </w:p>
    <w:p w14:paraId="6BA7D8C3" w14:textId="75A6E77E" w:rsidR="00DE0AC8" w:rsidRPr="00CD4392" w:rsidRDefault="00DE0AC8" w:rsidP="00CD4392">
      <w:pPr>
        <w:pStyle w:val="EndNoteBibliography"/>
        <w:spacing w:after="0"/>
        <w:ind w:left="720" w:hanging="720"/>
      </w:pPr>
      <w:r w:rsidRPr="00CD4392">
        <w:t xml:space="preserve">Cordova, C. E. (2013). C3 Poaceae and Restionaceae phytoliths as potential proxies for reconstructing winter rainfall in South Africa. Quaternary International 287, 121–140. </w:t>
      </w:r>
    </w:p>
    <w:p w14:paraId="213399BE" w14:textId="77777777" w:rsidR="00DE0AC8" w:rsidRPr="00CD4392" w:rsidRDefault="00DE0AC8" w:rsidP="00CD4392">
      <w:pPr>
        <w:pStyle w:val="EndNoteBibliography"/>
        <w:spacing w:after="0"/>
        <w:ind w:left="720" w:hanging="720"/>
      </w:pPr>
      <w:r w:rsidRPr="00CD4392">
        <w:t>Barker, B., Lamb, L. Delannoy, J-J., David, B. Gunn, R.G., Chalmin, E., Castets, G., Aplin, K., Sadier, B., Moffat, I., Mialanes, J., Katherine, M., Geneste, J-M. and Hoerlé, S., 2017, Archaeology of JSARN-124 site 3, central western Arnhem Land: determining the age of the so-called “Genyornis” painting in David, B., Tacon, P., Delannoy, J.-J. and Geneste, J.-M. (eds.) The Archaeology of Rock Art in Western Arnhem Land, Terra Australis 48, ANU Press, Canberra. 423-496.</w:t>
      </w:r>
    </w:p>
    <w:p w14:paraId="539DCCE3" w14:textId="77777777" w:rsidR="00DE0AC8" w:rsidRPr="00CD4392" w:rsidRDefault="00DE0AC8" w:rsidP="00CD4392">
      <w:pPr>
        <w:pStyle w:val="EndNoteBibliography"/>
        <w:spacing w:after="0"/>
        <w:ind w:left="720" w:hanging="720"/>
      </w:pPr>
      <w:r w:rsidRPr="00CD4392">
        <w:t>Conyers, L.B., 2013. Ground-penetrating Radar for Archaeology. Alta Mira, Lanham.</w:t>
      </w:r>
    </w:p>
    <w:p w14:paraId="67CA0983" w14:textId="77777777" w:rsidR="00DE0AC8" w:rsidRPr="00CD4392" w:rsidRDefault="00DE0AC8" w:rsidP="00CD4392">
      <w:pPr>
        <w:pStyle w:val="EndNoteBibliography"/>
        <w:spacing w:after="0"/>
        <w:ind w:left="720" w:hanging="720"/>
      </w:pPr>
      <w:r w:rsidRPr="00CD4392">
        <w:t>Cordova, C. E., &amp; Scott, L. (2010). The potential of Poaceae, Cyperaceae and Restionaceae phytoliths to reflect past environmental conditions in South Africa. In African palaeoenvironments and geomorphic landscape evolution (pp. 133–160). CRC Press.</w:t>
      </w:r>
    </w:p>
    <w:p w14:paraId="4CDBD9C1" w14:textId="1D82FCD8" w:rsidR="00DE0AC8" w:rsidRPr="00CD4392" w:rsidRDefault="00DE0AC8" w:rsidP="00CD4392">
      <w:pPr>
        <w:pStyle w:val="EndNoteBibliography"/>
        <w:spacing w:after="0"/>
        <w:ind w:left="720" w:hanging="720"/>
      </w:pPr>
      <w:r w:rsidRPr="00CD4392">
        <w:t>Cordova, C. E., &amp; Johnson, W. C. (2019). An 18 ka to present pollen-and phytolith-based vegetation reconstruction from Hall's Cave, south-central Texas, USA. Quaternary Research 92, 497-518.</w:t>
      </w:r>
    </w:p>
    <w:p w14:paraId="293DA1EC" w14:textId="77777777" w:rsidR="00DE0AC8" w:rsidRPr="00CD4392" w:rsidRDefault="00DE0AC8" w:rsidP="00CD4392">
      <w:pPr>
        <w:pStyle w:val="EndNoteBibliography"/>
        <w:spacing w:after="0"/>
        <w:ind w:left="720" w:hanging="720"/>
      </w:pPr>
      <w:r w:rsidRPr="00CD4392">
        <w:t>David, B., Delannoy, J-J., Gunn, R.G., Brady, L.M., Petchey, F., Mialanes, J., Chalmin, E., Geneste, J-M., Moffat, I., Aplin, K. and Katherine, M., 2017, Determining the age of a paintings at JSARN-113/23, Jawoyn country, western Arnhem Land, in David, B., Tacon, P., Delannoy, J.-J. and Geneste, J.-M. (eds.) The Archaeology of Rock Art in Western Arnhem Land, Terra Australis 48, ANU Press, Canberra. 371-422.</w:t>
      </w:r>
    </w:p>
    <w:p w14:paraId="3C79A849" w14:textId="77777777" w:rsidR="00DE0AC8" w:rsidRPr="00CD4392" w:rsidRDefault="00DE0AC8" w:rsidP="00CD4392">
      <w:pPr>
        <w:pStyle w:val="EndNoteBibliography"/>
        <w:spacing w:after="0"/>
        <w:ind w:left="720" w:hanging="720"/>
      </w:pPr>
      <w:r w:rsidRPr="00CD4392">
        <w:t>David, B., Delannoy, J-J., Gunn, R., Calmin, E., Castets, G., Petchey, F., Aplin, K., O’Farrell, M., Moffat, I., Mialanes, J., Geneste, J-M., Barker, B., Sadier, B., Katherine, M., Manataki, M. and Pietrzak, U., 2017, Dating painted Panel E1 at Nawarla Gabarnmang, central-western Arnhem Land plateau, in David, B., Tacon, P., Delannoy, J.-J. and Geneste, J.-M. (eds.) The Archaeology of Rock Art in Western Arnhem Land, Terra Australis 48, ANU Press, Canberra. 245-302.</w:t>
      </w:r>
    </w:p>
    <w:p w14:paraId="35343EDF" w14:textId="4DA66583" w:rsidR="008252DA" w:rsidRPr="00CD4392" w:rsidRDefault="008252DA" w:rsidP="00CD4392">
      <w:pPr>
        <w:pStyle w:val="EndNoteBibliography"/>
        <w:spacing w:after="0"/>
        <w:ind w:left="720" w:hanging="720"/>
      </w:pPr>
      <w:r w:rsidRPr="00CD4392">
        <w:t>Duller, G.A.T. 2003. Distinguishing quartz and feldspar in single grain luminescence measurements. Radiation Measurements 37 161–165.</w:t>
      </w:r>
    </w:p>
    <w:p w14:paraId="2239D249" w14:textId="1C84214A" w:rsidR="00DE0AC8" w:rsidRPr="00CD4392" w:rsidRDefault="00DE0AC8" w:rsidP="00CD4392">
      <w:pPr>
        <w:pStyle w:val="EndNoteBibliography"/>
        <w:spacing w:after="0"/>
        <w:ind w:left="720" w:hanging="720"/>
      </w:pPr>
      <w:r w:rsidRPr="00CD4392">
        <w:t xml:space="preserve">Esteban, I., Vlok, J., Kotina, E. L., Bamford, M. K., Cowling, R. M., Cabanes, D., &amp; Albert, R. M. (2017a). Phytoliths in plants from the south coast of the Greater Cape Floristic Region (South Africa). Review of Palaeobotany and Palynology 245, 69–84. </w:t>
      </w:r>
    </w:p>
    <w:p w14:paraId="1F45053A" w14:textId="737F7C6E" w:rsidR="00DE0AC8" w:rsidRPr="00CD4392" w:rsidRDefault="00DE0AC8" w:rsidP="00CD4392">
      <w:pPr>
        <w:pStyle w:val="EndNoteBibliography"/>
        <w:spacing w:after="0"/>
        <w:ind w:left="720" w:hanging="720"/>
      </w:pPr>
      <w:r w:rsidRPr="00CD4392">
        <w:t xml:space="preserve">Esteban, I., De Vynck, J. C., Singels, E., Vlok, J., Marean, C. W., Cowling, R. M., Fisher, E. C., Cabanes, D., &amp; Albert, R. M. (2017b). Modern soil phytolith assemblages used as proxies for Paleoscape reconstruction on the south coast of South Africa. Quaternary International 434, 160–179. </w:t>
      </w:r>
    </w:p>
    <w:p w14:paraId="5248236D" w14:textId="77777777" w:rsidR="008252DA" w:rsidRPr="00CD4392" w:rsidRDefault="008252DA" w:rsidP="00CD4392">
      <w:pPr>
        <w:pStyle w:val="EndNoteBibliography"/>
        <w:spacing w:after="0"/>
        <w:ind w:left="720" w:hanging="720"/>
      </w:pPr>
      <w:r w:rsidRPr="00CD4392">
        <w:t xml:space="preserve">Galbraith. R. F., Roberts, R. G., Laslett, G.M., Yoshida, H. &amp; Olley, J. M. 1999. Optical dating of single and multiple grains of quartz from Jinmium rock shelter, northern Australia: Part I, experimental design and statistical models. Archaeometry 41, 339–364. </w:t>
      </w:r>
      <w:hyperlink r:id="rId23" w:history="1">
        <w:r w:rsidRPr="00CD4392">
          <w:t>https://doi.org/10.1111/j.1475-4754.1999.tb00987.x</w:t>
        </w:r>
      </w:hyperlink>
      <w:r w:rsidRPr="00CD4392">
        <w:t xml:space="preserve"> </w:t>
      </w:r>
    </w:p>
    <w:p w14:paraId="3483F7E5" w14:textId="77777777" w:rsidR="008252DA" w:rsidRPr="00CD4392" w:rsidRDefault="008252DA" w:rsidP="00CD4392">
      <w:pPr>
        <w:pStyle w:val="EndNoteBibliography"/>
        <w:spacing w:after="0"/>
        <w:ind w:left="720" w:hanging="720"/>
      </w:pPr>
      <w:r w:rsidRPr="00CD4392">
        <w:t xml:space="preserve">Galbraith, R. F. &amp; Roberts, R. G. 2012. Statistical aspects of equivalent dose and error calculation and display in OSL dating: an overview and some recommendations. Quaternary Geochronology 11, 1–27. </w:t>
      </w:r>
      <w:hyperlink r:id="rId24" w:history="1">
        <w:r w:rsidRPr="00CD4392">
          <w:t>https://doi.org/10.1016/j.quageo.2012.04.020</w:t>
        </w:r>
      </w:hyperlink>
      <w:r w:rsidRPr="00CD4392">
        <w:t xml:space="preserve"> </w:t>
      </w:r>
    </w:p>
    <w:p w14:paraId="0D7B6491" w14:textId="7C0B8C69" w:rsidR="008252DA" w:rsidRPr="00CD4392" w:rsidRDefault="008252DA" w:rsidP="00CD4392">
      <w:pPr>
        <w:pStyle w:val="EndNoteBibliography"/>
        <w:spacing w:after="0"/>
        <w:ind w:left="720" w:hanging="720"/>
      </w:pPr>
      <w:r w:rsidRPr="00CD4392">
        <w:t>Guralnik, B., Li, B., Jain, M., Chen. R., Paris, R.B., Murray. A.S., Li S-H., Pagonis, V., Valla, P.G., Herman, F. 2015. Radiation-induced growth and isothermal decay of infrared-stimulated luminescence from feldspar. Radiation Measurements 81 224–231.</w:t>
      </w:r>
    </w:p>
    <w:p w14:paraId="178D3580" w14:textId="77777777" w:rsidR="008252DA" w:rsidRPr="00CD4392" w:rsidRDefault="008252DA" w:rsidP="00CD4392">
      <w:pPr>
        <w:pStyle w:val="EndNoteBibliography"/>
        <w:spacing w:after="0"/>
        <w:ind w:left="720" w:hanging="720"/>
      </w:pPr>
      <w:r w:rsidRPr="00CD4392">
        <w:lastRenderedPageBreak/>
        <w:t xml:space="preserve">Hu, Y., Ruan, Q., Liu, J., Marwick, B. &amp; Li, B. 2019b. Luminescence chronology and lithic technology of Tianhuadong Cave, an early Upper Pleistocene Paleolithic site in southwest China. Quaternary Research 94, 121–136. </w:t>
      </w:r>
      <w:hyperlink r:id="rId25" w:history="1">
        <w:r w:rsidRPr="00CD4392">
          <w:t>https://doi.org/10.1017/qua.2019.67</w:t>
        </w:r>
      </w:hyperlink>
      <w:r w:rsidRPr="00CD4392">
        <w:t xml:space="preserve"> </w:t>
      </w:r>
    </w:p>
    <w:p w14:paraId="1F4A3CC1" w14:textId="77777777" w:rsidR="008252DA" w:rsidRPr="00CD4392" w:rsidRDefault="008252DA" w:rsidP="00CD4392">
      <w:pPr>
        <w:pStyle w:val="EndNoteBibliography"/>
        <w:spacing w:after="0"/>
        <w:ind w:left="720" w:hanging="720"/>
      </w:pPr>
      <w:r w:rsidRPr="00CD4392">
        <w:t xml:space="preserve">Hu, Y., Marwick, B., Zhang, JF. et al. 2019a. Late Middle Pleistocene Levallois stone-tool technology in southwest China. Nature 565, 82–85. </w:t>
      </w:r>
      <w:hyperlink r:id="rId26" w:history="1">
        <w:r w:rsidRPr="00CD4392">
          <w:t>https://doi.org/10.1038/s41586-018-0710-1</w:t>
        </w:r>
      </w:hyperlink>
      <w:r w:rsidRPr="00CD4392">
        <w:t xml:space="preserve"> </w:t>
      </w:r>
    </w:p>
    <w:p w14:paraId="4C2BA9DD" w14:textId="7F3072BC" w:rsidR="008252DA" w:rsidRPr="00CD4392" w:rsidRDefault="008252DA" w:rsidP="00CD4392">
      <w:pPr>
        <w:pStyle w:val="EndNoteBibliography"/>
        <w:spacing w:after="0"/>
        <w:ind w:left="720" w:hanging="720"/>
      </w:pPr>
      <w:r w:rsidRPr="00CD4392">
        <w:t>Jacobs, Z., Jones, B.G., Cawthra, H.C., Henshilwood, C.S., Roberts, R.G. 2020. The chronological, sedimentary and environmental context for the archaeological deposits at Blombos Cave, South Africa. Quaternary Science Reviews 235, 105850.</w:t>
      </w:r>
    </w:p>
    <w:p w14:paraId="42206DE9" w14:textId="6AD9E905" w:rsidR="008252DA" w:rsidRPr="00CD4392" w:rsidRDefault="008252DA" w:rsidP="00CD4392">
      <w:pPr>
        <w:pStyle w:val="EndNoteBibliography"/>
        <w:spacing w:after="0"/>
        <w:ind w:left="720" w:hanging="720"/>
      </w:pPr>
      <w:r w:rsidRPr="00CD4392">
        <w:t>Jacobs, Z., Duller, G.A.T., Wintle, A.G. 2006. Interpretation of single grain De distributions and calculation of De. Radiation Measurements 41, 264–277.</w:t>
      </w:r>
    </w:p>
    <w:p w14:paraId="35E63938" w14:textId="77777777" w:rsidR="00DE0AC8" w:rsidRPr="00CD4392" w:rsidRDefault="00DE0AC8" w:rsidP="00CD4392">
      <w:pPr>
        <w:pStyle w:val="EndNoteBibliography"/>
        <w:spacing w:after="0"/>
        <w:ind w:left="720" w:hanging="720"/>
      </w:pPr>
      <w:r w:rsidRPr="00CD4392">
        <w:t>Joines, J., 2011. 17,000 Years of Climate Change: The Phytolith Record from Hall's Cave, Texas. Master's thesis. Oklahoma State University, Stillwater.</w:t>
      </w:r>
    </w:p>
    <w:p w14:paraId="5C2DE731" w14:textId="4E359B90" w:rsidR="00DE0AC8" w:rsidRPr="00CD4392" w:rsidRDefault="00DE0AC8" w:rsidP="00CD4392">
      <w:pPr>
        <w:pStyle w:val="EndNoteBibliography"/>
        <w:spacing w:after="0"/>
        <w:ind w:left="720" w:hanging="720"/>
      </w:pPr>
      <w:r w:rsidRPr="00CD4392">
        <w:t>Kopper, S. (1972). Geophysical Surveying of Cave Sites. Pyrenae 8, 7-16.</w:t>
      </w:r>
    </w:p>
    <w:p w14:paraId="1DD73584" w14:textId="77777777" w:rsidR="008252DA" w:rsidRPr="00CD4392" w:rsidRDefault="008252DA" w:rsidP="00CD4392">
      <w:pPr>
        <w:pStyle w:val="EndNoteBibliography"/>
        <w:spacing w:after="0"/>
        <w:ind w:left="720" w:hanging="720"/>
      </w:pPr>
      <w:bookmarkStart w:id="3" w:name="_Hlk124842391"/>
      <w:r w:rsidRPr="00CD4392">
        <w:t xml:space="preserve">Kreutzer, S., Schmidt, S., Fuchs, M. C., Dietze, M., Fischer, M. &amp; Fuchs, M. 2012. Introducing an R package for luminescence dating analysis. Ancient TL 30, 1–8. </w:t>
      </w:r>
    </w:p>
    <w:p w14:paraId="642CCBCA" w14:textId="77777777" w:rsidR="008252DA" w:rsidRPr="00CD4392" w:rsidRDefault="008252DA" w:rsidP="00CD4392">
      <w:pPr>
        <w:pStyle w:val="EndNoteBibliography"/>
        <w:spacing w:after="0"/>
        <w:ind w:left="720" w:hanging="720"/>
      </w:pPr>
      <w:r w:rsidRPr="00CD4392">
        <w:t xml:space="preserve">Kreutzer, S., Burow, C., Dietze, M., Fuchs, M., Schmidt, C., Fischer, M., Friedrich, J., Mercier, N., Philippe, A., Riedesel, S., Autzen, M., Mittelstrass, D. &amp; Gray, H. 2021. Luminescence: Comprehensive Luminescence Dating Data Analysis. R package version 0.9.15, </w:t>
      </w:r>
      <w:hyperlink r:id="rId27" w:history="1">
        <w:r w:rsidRPr="00CD4392">
          <w:t>https://CRAN.R-project.org/package=Luminescence</w:t>
        </w:r>
      </w:hyperlink>
      <w:r w:rsidRPr="00CD4392">
        <w:t xml:space="preserve"> </w:t>
      </w:r>
      <w:bookmarkEnd w:id="3"/>
    </w:p>
    <w:p w14:paraId="680B3870" w14:textId="1C037876" w:rsidR="00DE0AC8" w:rsidRPr="00CD4392" w:rsidRDefault="00DE0AC8" w:rsidP="00CD4392">
      <w:pPr>
        <w:pStyle w:val="EndNoteBibliography"/>
        <w:spacing w:after="0"/>
        <w:ind w:left="720" w:hanging="720"/>
      </w:pPr>
      <w:r w:rsidRPr="00CD4392">
        <w:t xml:space="preserve">Lentfer, C.J., Boyd, W.E., 1998. A comparison of three methods for the extraction of phytoliths from sediments. Journal of Archaeological Science 25, 1159–1183Neumann, K., Strömberg, C. A. E., Ball, T., Albert, R. M., Vrydaghs, L., &amp; Cummings, L. S. (2019). International Code for Phytolith Nomenclature (ICPN) 2.0. Annals of Botany 124(2), 189–199. </w:t>
      </w:r>
    </w:p>
    <w:p w14:paraId="7EE329C1" w14:textId="77777777" w:rsidR="008252DA" w:rsidRPr="00CD4392" w:rsidRDefault="008252DA" w:rsidP="00CD4392">
      <w:pPr>
        <w:pStyle w:val="EndNoteBibliography"/>
        <w:spacing w:after="0"/>
        <w:ind w:left="720" w:hanging="720"/>
      </w:pPr>
      <w:r w:rsidRPr="00CD4392">
        <w:t xml:space="preserve">Li, B., Jacobs, Z. &amp; Roberts, R. G. 2016. Investigation of the applicability of standardised growth curves for OSL dating of quartz from Haua Fteah cave, Libya. Quaternary Geochronology 35, 1–15. </w:t>
      </w:r>
      <w:hyperlink r:id="rId28" w:history="1">
        <w:r w:rsidRPr="00CD4392">
          <w:t>https://doi.org/10.1016/j.quageo.2016.05.001</w:t>
        </w:r>
      </w:hyperlink>
      <w:r w:rsidRPr="00CD4392">
        <w:t xml:space="preserve"> </w:t>
      </w:r>
    </w:p>
    <w:p w14:paraId="6BC5E039" w14:textId="77777777" w:rsidR="008252DA" w:rsidRPr="00CD4392" w:rsidRDefault="008252DA" w:rsidP="00CD4392">
      <w:pPr>
        <w:pStyle w:val="EndNoteBibliography"/>
        <w:spacing w:after="0"/>
        <w:ind w:left="720" w:hanging="720"/>
      </w:pPr>
      <w:r w:rsidRPr="00CD4392">
        <w:t xml:space="preserve">Li, B., Jacobs, Z., Roberts, R. G., Galbraith, R. &amp; Peng, J. 2017. Variability in quartz OSL signals caused by measurement uncertainties: problems and solutions. Quaternary Geochronology 41, 11–25. </w:t>
      </w:r>
      <w:hyperlink r:id="rId29" w:history="1">
        <w:r w:rsidRPr="00CD4392">
          <w:t>https://doi.org/10.1016/j.quageo.2017.05.006</w:t>
        </w:r>
      </w:hyperlink>
      <w:r w:rsidRPr="00CD4392">
        <w:t xml:space="preserve"> </w:t>
      </w:r>
    </w:p>
    <w:p w14:paraId="2137E884" w14:textId="77777777" w:rsidR="008252DA" w:rsidRPr="00CD4392" w:rsidRDefault="008252DA" w:rsidP="00CD4392">
      <w:pPr>
        <w:pStyle w:val="EndNoteBibliography"/>
        <w:spacing w:after="0"/>
        <w:ind w:left="720" w:hanging="720"/>
      </w:pPr>
      <w:r w:rsidRPr="00CD4392">
        <w:t xml:space="preserve">Li, B., Jacobs, Z. &amp; Roberts, R. G. 2020. Validation of the LnTn method for De determination in optical dating of K-feldspar and quartz. Quaternary Geochronology 58, 101066. </w:t>
      </w:r>
      <w:hyperlink r:id="rId30" w:history="1">
        <w:r w:rsidRPr="00CD4392">
          <w:t>https://doi.org/10.1016/j.quageo.2020.101066</w:t>
        </w:r>
      </w:hyperlink>
      <w:r w:rsidRPr="00CD4392">
        <w:t xml:space="preserve"> </w:t>
      </w:r>
    </w:p>
    <w:p w14:paraId="11810146" w14:textId="77777777" w:rsidR="00DE0AC8" w:rsidRPr="00CD4392" w:rsidRDefault="00DE0AC8" w:rsidP="00CD4392">
      <w:pPr>
        <w:pStyle w:val="EndNoteBibliography"/>
        <w:spacing w:after="0"/>
        <w:ind w:left="720" w:hanging="720"/>
      </w:pPr>
      <w:r w:rsidRPr="00CD4392">
        <w:t xml:space="preserve">Loke, M.H., Chambers, J.E., Rucker, D.F., Kuras, O., Wilkinson, P.B., 2013. Recent developments in the direct-current geoelectrical imaging method. Journal of Applied Geophysics 95, 135–156. </w:t>
      </w:r>
    </w:p>
    <w:p w14:paraId="1D031583" w14:textId="74F7B2D8" w:rsidR="004A33DD" w:rsidRDefault="004A33DD" w:rsidP="004A33DD">
      <w:pPr>
        <w:pStyle w:val="EndNoteBibliography"/>
        <w:spacing w:after="0"/>
        <w:ind w:left="720" w:hanging="720"/>
      </w:pPr>
      <w:r>
        <w:t xml:space="preserve">Maloney, T.R., Dilkes-Hall, I.E., Setiawan, P. </w:t>
      </w:r>
      <w:proofErr w:type="spellStart"/>
      <w:r>
        <w:t>Oktaviana</w:t>
      </w:r>
      <w:proofErr w:type="spellEnd"/>
      <w:r>
        <w:t xml:space="preserve">, A.A., </w:t>
      </w:r>
      <w:proofErr w:type="spellStart"/>
      <w:r>
        <w:t>Geria</w:t>
      </w:r>
      <w:proofErr w:type="spellEnd"/>
      <w:r>
        <w:t xml:space="preserve">, I.M., Effendy, M., </w:t>
      </w:r>
      <w:proofErr w:type="spellStart"/>
      <w:r>
        <w:t>Ririmasse</w:t>
      </w:r>
      <w:proofErr w:type="spellEnd"/>
      <w:r>
        <w:t xml:space="preserve">, M., </w:t>
      </w:r>
      <w:proofErr w:type="spellStart"/>
      <w:r>
        <w:t>Febryanto</w:t>
      </w:r>
      <w:proofErr w:type="spellEnd"/>
      <w:r>
        <w:t xml:space="preserve">, </w:t>
      </w:r>
      <w:proofErr w:type="spellStart"/>
      <w:r>
        <w:t>Sriputri</w:t>
      </w:r>
      <w:proofErr w:type="spellEnd"/>
      <w:r>
        <w:t xml:space="preserve">, E., </w:t>
      </w:r>
      <w:proofErr w:type="spellStart"/>
      <w:r>
        <w:t>Priyatno</w:t>
      </w:r>
      <w:proofErr w:type="spellEnd"/>
      <w:r>
        <w:t xml:space="preserve">, A. </w:t>
      </w:r>
      <w:proofErr w:type="spellStart"/>
      <w:r>
        <w:t>Atmoko</w:t>
      </w:r>
      <w:proofErr w:type="spellEnd"/>
      <w:r>
        <w:t xml:space="preserve">, F.T., Moffat, I., Brumm, A. and Aubert, M., 2022, A late Pleistocene to Holocene archaeological record from East Kalimantan, </w:t>
      </w:r>
      <w:proofErr w:type="spellStart"/>
      <w:r>
        <w:t>borneo</w:t>
      </w:r>
      <w:proofErr w:type="spellEnd"/>
      <w:r>
        <w:t>, Quaternary Science Reviews, 277: 107313</w:t>
      </w:r>
      <w:r>
        <w:t>.</w:t>
      </w:r>
      <w:r>
        <w:t xml:space="preserve"> DOI: </w:t>
      </w:r>
      <w:hyperlink r:id="rId31" w:history="1">
        <w:r w:rsidRPr="004A33DD">
          <w:t>https://doi.org/10.1016/j.quascirev.2021.107313</w:t>
        </w:r>
      </w:hyperlink>
      <w:r>
        <w:t xml:space="preserve"> </w:t>
      </w:r>
    </w:p>
    <w:p w14:paraId="1A5CFA57" w14:textId="0B24DE2D" w:rsidR="004A33DD" w:rsidRDefault="004A33DD" w:rsidP="004A33DD">
      <w:pPr>
        <w:pStyle w:val="EndNoteBibliography"/>
        <w:spacing w:after="0"/>
        <w:ind w:left="720" w:hanging="720"/>
      </w:pPr>
      <w:r>
        <w:t xml:space="preserve">Maloney, T., Dilkes-Hall, I., </w:t>
      </w:r>
      <w:proofErr w:type="spellStart"/>
      <w:r>
        <w:t>Vlok</w:t>
      </w:r>
      <w:proofErr w:type="spellEnd"/>
      <w:r>
        <w:t xml:space="preserve">, M., </w:t>
      </w:r>
      <w:proofErr w:type="spellStart"/>
      <w:r>
        <w:t>Oktaviana</w:t>
      </w:r>
      <w:proofErr w:type="spellEnd"/>
      <w:r>
        <w:t xml:space="preserve">, A., Setiawan, P., </w:t>
      </w:r>
      <w:proofErr w:type="spellStart"/>
      <w:r>
        <w:t>Priyatno</w:t>
      </w:r>
      <w:proofErr w:type="spellEnd"/>
      <w:r>
        <w:t xml:space="preserve">, A., </w:t>
      </w:r>
      <w:proofErr w:type="spellStart"/>
      <w:r>
        <w:t>Ririmasse</w:t>
      </w:r>
      <w:proofErr w:type="spellEnd"/>
      <w:r>
        <w:t xml:space="preserve">, M., </w:t>
      </w:r>
      <w:proofErr w:type="spellStart"/>
      <w:r>
        <w:t>Geria</w:t>
      </w:r>
      <w:proofErr w:type="spellEnd"/>
      <w:r>
        <w:t xml:space="preserve">, I.M., Effendy, M., </w:t>
      </w:r>
      <w:proofErr w:type="spellStart"/>
      <w:r>
        <w:t>Istiawan</w:t>
      </w:r>
      <w:proofErr w:type="spellEnd"/>
      <w:r>
        <w:t xml:space="preserve">, B., </w:t>
      </w:r>
      <w:proofErr w:type="spellStart"/>
      <w:r>
        <w:t>Atmoko</w:t>
      </w:r>
      <w:proofErr w:type="spellEnd"/>
      <w:r>
        <w:t xml:space="preserve">, F., </w:t>
      </w:r>
      <w:proofErr w:type="spellStart"/>
      <w:r>
        <w:t>Adhityatama</w:t>
      </w:r>
      <w:proofErr w:type="spellEnd"/>
      <w:r>
        <w:t xml:space="preserve">, S., Moffat, I., </w:t>
      </w:r>
      <w:proofErr w:type="spellStart"/>
      <w:r>
        <w:t>Joannes-Boyau</w:t>
      </w:r>
      <w:proofErr w:type="spellEnd"/>
      <w:r>
        <w:t>, R., Brumm, A., and Aubert, M., 2022, Surgical amputation of a limb 31,000 years ago in Borneo, Nature 609: 547-551</w:t>
      </w:r>
      <w:r>
        <w:t xml:space="preserve">. </w:t>
      </w:r>
      <w:r>
        <w:t xml:space="preserve">DOI: </w:t>
      </w:r>
      <w:hyperlink r:id="rId32" w:history="1">
        <w:r w:rsidRPr="004A33DD">
          <w:t>https://doi.org/10.1038/s41586-022-05160-8</w:t>
        </w:r>
      </w:hyperlink>
      <w:r>
        <w:t xml:space="preserve"> </w:t>
      </w:r>
    </w:p>
    <w:p w14:paraId="1D1A9314" w14:textId="62CDE8C9" w:rsidR="00DE0AC8" w:rsidRPr="00CD4392" w:rsidRDefault="00DE0AC8" w:rsidP="00CD4392">
      <w:pPr>
        <w:pStyle w:val="EndNoteBibliography"/>
        <w:spacing w:after="0"/>
        <w:ind w:left="720" w:hanging="720"/>
      </w:pPr>
      <w:r w:rsidRPr="00CD4392">
        <w:t xml:space="preserve">Novello, A., Bamford, M. K., van Wijk, Y., &amp; Wurz, S. (2018). Phytoliths in modern plants and soils from Klasies River, Cape Region (South Africa). Quaternary International 464, 440–459. </w:t>
      </w:r>
    </w:p>
    <w:p w14:paraId="21D2EB1F" w14:textId="77777777" w:rsidR="008252DA" w:rsidRPr="00CD4392" w:rsidRDefault="008252DA" w:rsidP="00CD4392">
      <w:pPr>
        <w:pStyle w:val="EndNoteBibliography"/>
        <w:spacing w:after="0"/>
        <w:ind w:left="720" w:hanging="720"/>
      </w:pPr>
      <w:r w:rsidRPr="00CD4392">
        <w:t>Peng, J., Dong, Z. B., Han, F. Q., Long, H. &amp; Liu, X. J. 2013. R package numOSL: numeric routines for optically stimulated luminescence dating. Ancient TL 31, 41-48</w:t>
      </w:r>
    </w:p>
    <w:p w14:paraId="3392BEEF" w14:textId="2FC15B0C" w:rsidR="008252DA" w:rsidRPr="00CD4392" w:rsidRDefault="008252DA" w:rsidP="00CD4392">
      <w:pPr>
        <w:pStyle w:val="EndNoteBibliography"/>
        <w:spacing w:after="0"/>
        <w:ind w:left="720" w:hanging="720"/>
      </w:pPr>
      <w:r w:rsidRPr="00CD4392">
        <w:t>Peng, J., Pagonis, V., Li B. 2016. On the intrinsic accuracy and precision of the standardised growth curve (SGC) and global-SGC (gSGC) methods for equivalent dose determination: a simulation study. Radiation Measurements 94, 53–64.</w:t>
      </w:r>
    </w:p>
    <w:p w14:paraId="1FB392EB" w14:textId="77777777" w:rsidR="008252DA" w:rsidRPr="00CD4392" w:rsidRDefault="008252DA" w:rsidP="00CD4392">
      <w:pPr>
        <w:pStyle w:val="EndNoteBibliography"/>
        <w:spacing w:after="0"/>
        <w:ind w:left="720" w:hanging="720"/>
      </w:pPr>
      <w:r w:rsidRPr="00CD4392">
        <w:lastRenderedPageBreak/>
        <w:t>Peng, J. &amp; Li, B. 2017. Single-aliquot Regenerative-Dose (SAR) and Standardised Growth Curve (SGC) Equivalent Dose Determination in a Batch Model Using the R Package 'numOSL'. Ancient TL 35, 32-53.</w:t>
      </w:r>
    </w:p>
    <w:p w14:paraId="47180EC6" w14:textId="77777777" w:rsidR="008252DA" w:rsidRPr="00CD4392" w:rsidRDefault="008252DA" w:rsidP="00CD4392">
      <w:pPr>
        <w:pStyle w:val="EndNoteBibliography"/>
        <w:spacing w:after="0"/>
        <w:ind w:left="720" w:hanging="720"/>
      </w:pPr>
      <w:r w:rsidRPr="00CD4392">
        <w:t xml:space="preserve">Powell, R., Hergt, J. &amp; Woodhead, J. 2002. Improving isochron calculations with robust statistics and the bootstrap. Chemical Geology 185, 191–204. </w:t>
      </w:r>
      <w:hyperlink r:id="rId33" w:history="1">
        <w:r w:rsidRPr="00CD4392">
          <w:t>https://doi.org/10.1016/S0009-2541(01)00403-X</w:t>
        </w:r>
      </w:hyperlink>
      <w:r w:rsidRPr="00CD4392">
        <w:t xml:space="preserve"> </w:t>
      </w:r>
    </w:p>
    <w:p w14:paraId="1F892608" w14:textId="77777777" w:rsidR="00DE0AC8" w:rsidRPr="00CD4392" w:rsidRDefault="00DE0AC8" w:rsidP="00CD4392">
      <w:pPr>
        <w:pStyle w:val="EndNoteBibliography"/>
        <w:spacing w:after="0"/>
        <w:ind w:left="720" w:hanging="720"/>
      </w:pPr>
      <w:r w:rsidRPr="00CD4392">
        <w:t xml:space="preserve">Putiška, R., Sabol, M., Kušnirák, D., Dostál, I., 2017. Geophysical Research at the Prepoštská Cave and Čertova Pec Cave Neanderthal Sites (Western Slovakia): Geophysical research at Neanderthal sites of western Slovakia. Archaeological Prospection 24, 119–131. </w:t>
      </w:r>
    </w:p>
    <w:p w14:paraId="00E24F3B" w14:textId="77777777" w:rsidR="008252DA" w:rsidRPr="00CD4392" w:rsidRDefault="008252DA" w:rsidP="00CD4392">
      <w:pPr>
        <w:pStyle w:val="EndNoteBibliography"/>
        <w:spacing w:after="0"/>
        <w:ind w:left="720" w:hanging="720"/>
      </w:pPr>
      <w:bookmarkStart w:id="4" w:name="_Hlk517432850"/>
      <w:r w:rsidRPr="00CD4392">
        <w:t xml:space="preserve">R Core Team. 2020. R: a language and environment for statistical computing, Vienna, Austria. URL: </w:t>
      </w:r>
      <w:hyperlink r:id="rId34" w:history="1">
        <w:r w:rsidRPr="00CD4392">
          <w:t>https://www.R-project.org/</w:t>
        </w:r>
      </w:hyperlink>
      <w:r w:rsidRPr="00CD4392">
        <w:t xml:space="preserve"> </w:t>
      </w:r>
    </w:p>
    <w:p w14:paraId="06315063" w14:textId="77777777" w:rsidR="008252DA" w:rsidRPr="00CD4392" w:rsidRDefault="008252DA" w:rsidP="00CD4392">
      <w:pPr>
        <w:pStyle w:val="EndNoteBibliography"/>
        <w:spacing w:after="0"/>
        <w:ind w:left="720" w:hanging="720"/>
      </w:pPr>
      <w:r w:rsidRPr="00CD4392">
        <w:t xml:space="preserve">Rousseeuw, P. J., Debruyne, M., Engelen, S. &amp; Hubert, M. 2006. Robustness and outlier detection in chemometrics. Critical Reviews in Analytical Chemistry 36, 221–242. </w:t>
      </w:r>
      <w:hyperlink r:id="rId35" w:history="1">
        <w:r w:rsidRPr="00CD4392">
          <w:t>https://doi.org/10.1080/10408340600969403</w:t>
        </w:r>
      </w:hyperlink>
      <w:r w:rsidRPr="00CD4392">
        <w:t xml:space="preserve"> </w:t>
      </w:r>
    </w:p>
    <w:p w14:paraId="6B84CA7C" w14:textId="43EF7A83" w:rsidR="00DE0AC8" w:rsidRPr="00CD4392" w:rsidRDefault="00DE0AC8" w:rsidP="00CD4392">
      <w:pPr>
        <w:pStyle w:val="EndNoteBibliography"/>
        <w:spacing w:after="0"/>
        <w:ind w:left="720" w:hanging="720"/>
      </w:pPr>
      <w:r w:rsidRPr="00CD4392">
        <w:t>Samouëlian</w:t>
      </w:r>
      <w:bookmarkEnd w:id="4"/>
      <w:r w:rsidRPr="00CD4392">
        <w:t xml:space="preserve">, A., Cousin, I., Tabbagh, A., Bruand, A., Richard, G., 2005. Electrical resistivity survey in soil science: a review. Soil and Tillage Research 83, 173–193. </w:t>
      </w:r>
    </w:p>
    <w:p w14:paraId="6058DF1F" w14:textId="77777777" w:rsidR="00DE0AC8" w:rsidRPr="00CD4392" w:rsidRDefault="00DE0AC8" w:rsidP="00CD4392">
      <w:pPr>
        <w:pStyle w:val="EndNoteBibliography"/>
        <w:spacing w:after="0"/>
        <w:ind w:left="720" w:hanging="720"/>
      </w:pPr>
      <w:r w:rsidRPr="00CD4392">
        <w:t>Schmidt, A., 2013. Earth Resistance for Archaeologists. AltaMira Press,U.S., Lanham, Maryland.</w:t>
      </w:r>
    </w:p>
    <w:p w14:paraId="4C748DA4" w14:textId="5C129708" w:rsidR="00DE0AC8" w:rsidRPr="00CD4392" w:rsidRDefault="00DE0AC8" w:rsidP="00CD4392">
      <w:pPr>
        <w:pStyle w:val="EndNoteBibliography"/>
        <w:spacing w:after="0"/>
        <w:ind w:left="720" w:hanging="720"/>
      </w:pPr>
      <w:r w:rsidRPr="00CD4392">
        <w:t xml:space="preserve">Scott, L., Manzano, S., Carr, A. S., Cordova, C., Ochando, J., Bateman, M. D., &amp; Carrión, J. S. (2021). A 14000 year multi-proxy alluvial record of ecotone changes in a Fynbos-Succulent Karoo transition in South Africa. Palaeogeography, Palaeoclimatology, Palaeoecology 569, 110331. </w:t>
      </w:r>
    </w:p>
    <w:p w14:paraId="2E6A9D34" w14:textId="77777777" w:rsidR="00DE0AC8" w:rsidRPr="00CD4392" w:rsidRDefault="00DE0AC8" w:rsidP="00CD4392">
      <w:pPr>
        <w:pStyle w:val="EndNoteBibliography"/>
        <w:spacing w:after="0"/>
        <w:ind w:left="720" w:hanging="720"/>
      </w:pPr>
      <w:r w:rsidRPr="00CD4392">
        <w:t>Weinstein-Evron, M., Mart, Y., Beck, A., 1991. Geophysical investigations in the El-Wad Cave, MT. Carmel, Israel. Geoarchaeology 6, 355–365</w:t>
      </w:r>
    </w:p>
    <w:p w14:paraId="077BC3DD" w14:textId="681907F8" w:rsidR="00DE0AC8" w:rsidRPr="00CD4392" w:rsidRDefault="00DE0AC8" w:rsidP="00CD4392">
      <w:pPr>
        <w:pStyle w:val="EndNoteBibliography"/>
        <w:spacing w:after="0"/>
        <w:ind w:left="720" w:hanging="720"/>
      </w:pPr>
      <w:r w:rsidRPr="00CD4392">
        <w:t>Zhao, Z., Pearsall, D.M., 1998. Experiments for improving phytolith extraction from soils. Journal of Archaeological Science 25, 587–598</w:t>
      </w:r>
    </w:p>
    <w:p w14:paraId="709EF5C8" w14:textId="77777777" w:rsidR="00727156" w:rsidRPr="00D516BB" w:rsidRDefault="00727156" w:rsidP="00DE0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u w:val="single"/>
          <w:lang w:val="en-US"/>
        </w:rPr>
      </w:pPr>
    </w:p>
    <w:sectPr w:rsidR="00727156" w:rsidRPr="00D516BB" w:rsidSect="00727156">
      <w:headerReference w:type="default" r:id="rId36"/>
      <w:footerReference w:type="default" r:id="rId37"/>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CB7B0" w14:textId="77777777" w:rsidR="0006310A" w:rsidRDefault="0006310A" w:rsidP="00727156">
      <w:pPr>
        <w:spacing w:after="0" w:line="240" w:lineRule="auto"/>
      </w:pPr>
      <w:r>
        <w:separator/>
      </w:r>
    </w:p>
  </w:endnote>
  <w:endnote w:type="continuationSeparator" w:id="0">
    <w:p w14:paraId="6AB44D73" w14:textId="77777777" w:rsidR="0006310A" w:rsidRDefault="0006310A" w:rsidP="00727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PS4C9543">
    <w:altName w:val="Yu Gothic"/>
    <w:charset w:val="80"/>
    <w:family w:val="auto"/>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9DBE" w14:textId="77777777" w:rsidR="00BD4B3C" w:rsidRDefault="00BD4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085855"/>
      <w:docPartObj>
        <w:docPartGallery w:val="Page Numbers (Bottom of Page)"/>
        <w:docPartUnique/>
      </w:docPartObj>
    </w:sdtPr>
    <w:sdtEndPr>
      <w:rPr>
        <w:noProof/>
      </w:rPr>
    </w:sdtEndPr>
    <w:sdtContent>
      <w:p w14:paraId="0309623F" w14:textId="78529AAB" w:rsidR="00BD4B3C" w:rsidRDefault="00BD4B3C">
        <w:pPr>
          <w:pStyle w:val="Footer"/>
          <w:jc w:val="center"/>
        </w:pPr>
        <w:r>
          <w:fldChar w:fldCharType="begin"/>
        </w:r>
        <w:r>
          <w:instrText xml:space="preserve"> PAGE   \* MERGEFORMAT </w:instrText>
        </w:r>
        <w:r>
          <w:fldChar w:fldCharType="separate"/>
        </w:r>
        <w:r w:rsidR="00676A7D">
          <w:rPr>
            <w:noProof/>
          </w:rPr>
          <w:t>29</w:t>
        </w:r>
        <w:r>
          <w:rPr>
            <w:noProof/>
          </w:rPr>
          <w:fldChar w:fldCharType="end"/>
        </w:r>
      </w:p>
    </w:sdtContent>
  </w:sdt>
  <w:p w14:paraId="1A0ACC4D" w14:textId="77777777" w:rsidR="00BD4B3C" w:rsidRDefault="00BD4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CA66" w14:textId="77777777" w:rsidR="0006310A" w:rsidRDefault="0006310A" w:rsidP="00727156">
      <w:pPr>
        <w:spacing w:after="0" w:line="240" w:lineRule="auto"/>
      </w:pPr>
      <w:r>
        <w:separator/>
      </w:r>
    </w:p>
  </w:footnote>
  <w:footnote w:type="continuationSeparator" w:id="0">
    <w:p w14:paraId="0D92EA96" w14:textId="77777777" w:rsidR="0006310A" w:rsidRDefault="0006310A" w:rsidP="00727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8C16" w14:textId="77777777" w:rsidR="00BD4B3C" w:rsidRDefault="00BD4B3C" w:rsidP="00727156">
    <w:pPr>
      <w:pStyle w:val="Header"/>
      <w:jc w:val="center"/>
    </w:pPr>
    <w:r>
      <w:t>Saktura et al – KFR1 MSA sequence – Journal of Archaeological Science, Reports</w:t>
    </w:r>
  </w:p>
  <w:p w14:paraId="4CD2EFEC" w14:textId="77777777" w:rsidR="00BD4B3C" w:rsidRDefault="00BD4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E4A97"/>
    <w:multiLevelType w:val="hybridMultilevel"/>
    <w:tmpl w:val="B48C0C1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41A02D9"/>
    <w:multiLevelType w:val="hybridMultilevel"/>
    <w:tmpl w:val="F41EB3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14B363F"/>
    <w:multiLevelType w:val="hybridMultilevel"/>
    <w:tmpl w:val="F8CE96FA"/>
    <w:lvl w:ilvl="0" w:tplc="F642E4A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4EA35F3"/>
    <w:multiLevelType w:val="hybridMultilevel"/>
    <w:tmpl w:val="EBDE5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7688181">
    <w:abstractNumId w:val="0"/>
  </w:num>
  <w:num w:numId="2" w16cid:durableId="1911959684">
    <w:abstractNumId w:val="1"/>
  </w:num>
  <w:num w:numId="3" w16cid:durableId="541946402">
    <w:abstractNumId w:val="3"/>
  </w:num>
  <w:num w:numId="4" w16cid:durableId="101569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A8"/>
    <w:rsid w:val="00000264"/>
    <w:rsid w:val="0006310A"/>
    <w:rsid w:val="00097D91"/>
    <w:rsid w:val="000D351D"/>
    <w:rsid w:val="000F511B"/>
    <w:rsid w:val="00130FAA"/>
    <w:rsid w:val="0016146C"/>
    <w:rsid w:val="0016666B"/>
    <w:rsid w:val="0028071C"/>
    <w:rsid w:val="002B1B56"/>
    <w:rsid w:val="00367FC0"/>
    <w:rsid w:val="00384CEB"/>
    <w:rsid w:val="003A3951"/>
    <w:rsid w:val="003B4F30"/>
    <w:rsid w:val="003D227D"/>
    <w:rsid w:val="003D5210"/>
    <w:rsid w:val="003D7D79"/>
    <w:rsid w:val="003F41CB"/>
    <w:rsid w:val="00455BD0"/>
    <w:rsid w:val="00462BB8"/>
    <w:rsid w:val="004A33DD"/>
    <w:rsid w:val="004F5F95"/>
    <w:rsid w:val="00525007"/>
    <w:rsid w:val="005D66CB"/>
    <w:rsid w:val="005D7BB8"/>
    <w:rsid w:val="00623CDB"/>
    <w:rsid w:val="00676A7D"/>
    <w:rsid w:val="006E5577"/>
    <w:rsid w:val="00711B48"/>
    <w:rsid w:val="00727156"/>
    <w:rsid w:val="00772C90"/>
    <w:rsid w:val="00774FA8"/>
    <w:rsid w:val="007B2C32"/>
    <w:rsid w:val="008252DA"/>
    <w:rsid w:val="00923509"/>
    <w:rsid w:val="009B2F58"/>
    <w:rsid w:val="009B4309"/>
    <w:rsid w:val="00A90365"/>
    <w:rsid w:val="00AA4B3A"/>
    <w:rsid w:val="00AB2BD5"/>
    <w:rsid w:val="00B47C57"/>
    <w:rsid w:val="00B678CF"/>
    <w:rsid w:val="00BD4B3C"/>
    <w:rsid w:val="00C13ED1"/>
    <w:rsid w:val="00C427D4"/>
    <w:rsid w:val="00C94608"/>
    <w:rsid w:val="00CA35CD"/>
    <w:rsid w:val="00CD4392"/>
    <w:rsid w:val="00DE0AC8"/>
    <w:rsid w:val="00DE4E5B"/>
    <w:rsid w:val="00EE0DEB"/>
    <w:rsid w:val="00F06EB8"/>
    <w:rsid w:val="00F0749A"/>
    <w:rsid w:val="00F76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E9AB0"/>
  <w15:chartTrackingRefBased/>
  <w15:docId w15:val="{0B63508E-612A-46AD-AE08-9459712B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156"/>
  </w:style>
  <w:style w:type="paragraph" w:styleId="Heading1">
    <w:name w:val="heading 1"/>
    <w:basedOn w:val="Normal"/>
    <w:next w:val="Normal"/>
    <w:link w:val="Heading1Char"/>
    <w:uiPriority w:val="9"/>
    <w:qFormat/>
    <w:rsid w:val="003D5210"/>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156"/>
  </w:style>
  <w:style w:type="paragraph" w:styleId="Footer">
    <w:name w:val="footer"/>
    <w:basedOn w:val="Normal"/>
    <w:link w:val="FooterChar"/>
    <w:uiPriority w:val="99"/>
    <w:unhideWhenUsed/>
    <w:rsid w:val="00727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156"/>
  </w:style>
  <w:style w:type="character" w:styleId="LineNumber">
    <w:name w:val="line number"/>
    <w:basedOn w:val="DefaultParagraphFont"/>
    <w:uiPriority w:val="99"/>
    <w:semiHidden/>
    <w:unhideWhenUsed/>
    <w:rsid w:val="00727156"/>
  </w:style>
  <w:style w:type="character" w:styleId="Hyperlink">
    <w:name w:val="Hyperlink"/>
    <w:basedOn w:val="DefaultParagraphFont"/>
    <w:uiPriority w:val="99"/>
    <w:unhideWhenUsed/>
    <w:rsid w:val="00727156"/>
    <w:rPr>
      <w:color w:val="0563C1" w:themeColor="hyperlink"/>
      <w:u w:val="single"/>
    </w:rPr>
  </w:style>
  <w:style w:type="paragraph" w:styleId="ListParagraph">
    <w:name w:val="List Paragraph"/>
    <w:basedOn w:val="Normal"/>
    <w:uiPriority w:val="34"/>
    <w:qFormat/>
    <w:rsid w:val="00097D91"/>
    <w:pPr>
      <w:ind w:left="720"/>
      <w:contextualSpacing/>
    </w:pPr>
  </w:style>
  <w:style w:type="character" w:customStyle="1" w:styleId="Heading1Char">
    <w:name w:val="Heading 1 Char"/>
    <w:basedOn w:val="DefaultParagraphFont"/>
    <w:link w:val="Heading1"/>
    <w:uiPriority w:val="9"/>
    <w:rsid w:val="003D5210"/>
    <w:rPr>
      <w:b/>
      <w:bCs/>
    </w:rPr>
  </w:style>
  <w:style w:type="paragraph" w:customStyle="1" w:styleId="EndNoteBibliography">
    <w:name w:val="EndNote Bibliography"/>
    <w:basedOn w:val="Normal"/>
    <w:link w:val="EndNoteBibliographyChar"/>
    <w:rsid w:val="00CD439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D4392"/>
    <w:rPr>
      <w:rFonts w:ascii="Calibri" w:hAnsi="Calibri" w:cs="Calibri"/>
      <w:noProof/>
      <w:lang w:val="en-US"/>
    </w:rPr>
  </w:style>
  <w:style w:type="paragraph" w:styleId="PlainText">
    <w:name w:val="Plain Text"/>
    <w:basedOn w:val="Normal"/>
    <w:link w:val="PlainTextChar"/>
    <w:uiPriority w:val="99"/>
    <w:semiHidden/>
    <w:unhideWhenUsed/>
    <w:rsid w:val="004A33D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A33D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45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038/s41586-018-0710-1" TargetMode="External"/><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hyperlink" Target="https://www.R-project.org/" TargetMode="External"/><Relationship Id="rId7" Type="http://schemas.openxmlformats.org/officeDocument/2006/relationships/hyperlink" Target="mailto:amackay@uow.edu.au"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7/qua.2019.67" TargetMode="External"/><Relationship Id="rId33" Type="http://schemas.openxmlformats.org/officeDocument/2006/relationships/hyperlink" Target="https://doi.org/10.1016/S0009-2541(01)00403-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1016/j.quageo.2017.05.0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16/j.quageo.2012.04.020" TargetMode="External"/><Relationship Id="rId32" Type="http://schemas.openxmlformats.org/officeDocument/2006/relationships/hyperlink" Target="https://doi.org/10.1038/s41586-022-05160-8"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111/j.1475-4754.1999.tb00987.x" TargetMode="External"/><Relationship Id="rId28" Type="http://schemas.openxmlformats.org/officeDocument/2006/relationships/hyperlink" Target="https://doi.org/10.1016/j.quageo.2016.05.001"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quascirev.2021.107313"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CRAN.R-project.org/package=Luminescence" TargetMode="External"/><Relationship Id="rId30" Type="http://schemas.openxmlformats.org/officeDocument/2006/relationships/hyperlink" Target="https://doi.org/10.1016/j.quageo.2020.101066" TargetMode="External"/><Relationship Id="rId35" Type="http://schemas.openxmlformats.org/officeDocument/2006/relationships/hyperlink" Target="https://doi.org/10.1080/10408340600969403"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29</Pages>
  <Words>5457</Words>
  <Characters>31108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36493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Mackay</dc:creator>
  <cp:keywords/>
  <dc:description/>
  <cp:lastModifiedBy>Alexander Mackay</cp:lastModifiedBy>
  <cp:revision>29</cp:revision>
  <dcterms:created xsi:type="dcterms:W3CDTF">2023-01-16T23:18:00Z</dcterms:created>
  <dcterms:modified xsi:type="dcterms:W3CDTF">2023-01-23T02:33:00Z</dcterms:modified>
</cp:coreProperties>
</file>