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051"/>
        <w:tblW w:w="5014" w:type="pct"/>
        <w:tblLook w:val="04A0" w:firstRow="1" w:lastRow="0" w:firstColumn="1" w:lastColumn="0" w:noHBand="0" w:noVBand="1"/>
      </w:tblPr>
      <w:tblGrid>
        <w:gridCol w:w="3044"/>
        <w:gridCol w:w="1055"/>
        <w:gridCol w:w="858"/>
        <w:gridCol w:w="1250"/>
        <w:gridCol w:w="1139"/>
        <w:gridCol w:w="1259"/>
        <w:gridCol w:w="1160"/>
        <w:gridCol w:w="1284"/>
        <w:gridCol w:w="1929"/>
        <w:gridCol w:w="1518"/>
        <w:gridCol w:w="935"/>
      </w:tblGrid>
      <w:tr w:rsidR="00D045EC" w14:paraId="21680CF3" w14:textId="77777777" w:rsidTr="00D045EC">
        <w:trPr>
          <w:trHeight w:val="486"/>
        </w:trPr>
        <w:tc>
          <w:tcPr>
            <w:tcW w:w="3580" w:type="pct"/>
            <w:gridSpan w:val="8"/>
            <w:vAlign w:val="center"/>
          </w:tcPr>
          <w:p w14:paraId="7769A431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Certainty assessment</w:t>
            </w:r>
          </w:p>
        </w:tc>
        <w:tc>
          <w:tcPr>
            <w:tcW w:w="625" w:type="pct"/>
            <w:vMerge w:val="restart"/>
            <w:vAlign w:val="center"/>
          </w:tcPr>
          <w:p w14:paraId="2ACCDF31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Population size</w:t>
            </w:r>
          </w:p>
        </w:tc>
        <w:tc>
          <w:tcPr>
            <w:tcW w:w="492" w:type="pct"/>
            <w:vAlign w:val="center"/>
          </w:tcPr>
          <w:p w14:paraId="109B2A27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Effect</w:t>
            </w:r>
          </w:p>
        </w:tc>
        <w:tc>
          <w:tcPr>
            <w:tcW w:w="303" w:type="pct"/>
            <w:vMerge w:val="restart"/>
            <w:vAlign w:val="center"/>
          </w:tcPr>
          <w:p w14:paraId="2BACDB5B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Quality</w:t>
            </w:r>
          </w:p>
        </w:tc>
      </w:tr>
      <w:tr w:rsidR="00D045EC" w14:paraId="045FC3A4" w14:textId="77777777" w:rsidTr="001E4ED8">
        <w:trPr>
          <w:trHeight w:val="486"/>
        </w:trPr>
        <w:tc>
          <w:tcPr>
            <w:tcW w:w="986" w:type="pct"/>
            <w:vAlign w:val="center"/>
          </w:tcPr>
          <w:p w14:paraId="2FC5866B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Outcome</w:t>
            </w:r>
          </w:p>
        </w:tc>
        <w:tc>
          <w:tcPr>
            <w:tcW w:w="342" w:type="pct"/>
            <w:vAlign w:val="center"/>
          </w:tcPr>
          <w:p w14:paraId="47C27CEE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Number of studies</w:t>
            </w:r>
          </w:p>
        </w:tc>
        <w:tc>
          <w:tcPr>
            <w:tcW w:w="278" w:type="pct"/>
            <w:vAlign w:val="center"/>
          </w:tcPr>
          <w:p w14:paraId="0B3F89EF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Study design</w:t>
            </w:r>
          </w:p>
        </w:tc>
        <w:tc>
          <w:tcPr>
            <w:tcW w:w="405" w:type="pct"/>
            <w:vAlign w:val="center"/>
          </w:tcPr>
          <w:p w14:paraId="1F9B56A4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Risk of bias</w:t>
            </w:r>
          </w:p>
        </w:tc>
        <w:tc>
          <w:tcPr>
            <w:tcW w:w="369" w:type="pct"/>
            <w:vAlign w:val="center"/>
          </w:tcPr>
          <w:p w14:paraId="255789A0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Imprecision</w:t>
            </w:r>
          </w:p>
        </w:tc>
        <w:tc>
          <w:tcPr>
            <w:tcW w:w="408" w:type="pct"/>
            <w:vAlign w:val="center"/>
          </w:tcPr>
          <w:p w14:paraId="2A4793DF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Inconsistency</w:t>
            </w:r>
          </w:p>
        </w:tc>
        <w:tc>
          <w:tcPr>
            <w:tcW w:w="376" w:type="pct"/>
            <w:vAlign w:val="center"/>
          </w:tcPr>
          <w:p w14:paraId="17009633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Indirectness</w:t>
            </w:r>
          </w:p>
        </w:tc>
        <w:tc>
          <w:tcPr>
            <w:tcW w:w="416" w:type="pct"/>
            <w:vAlign w:val="center"/>
          </w:tcPr>
          <w:p w14:paraId="0C8EE13F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Publication bias</w:t>
            </w:r>
          </w:p>
        </w:tc>
        <w:tc>
          <w:tcPr>
            <w:tcW w:w="625" w:type="pct"/>
            <w:vMerge/>
            <w:vAlign w:val="center"/>
          </w:tcPr>
          <w:p w14:paraId="72FA5C41" w14:textId="0A5C7106" w:rsidR="00D045EC" w:rsidRPr="00D045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492" w:type="pct"/>
            <w:vAlign w:val="center"/>
          </w:tcPr>
          <w:p w14:paraId="09B2300A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Pooled HR (95%CI)</w:t>
            </w:r>
          </w:p>
        </w:tc>
        <w:tc>
          <w:tcPr>
            <w:tcW w:w="303" w:type="pct"/>
            <w:vMerge/>
            <w:vAlign w:val="center"/>
          </w:tcPr>
          <w:p w14:paraId="13E99E04" w14:textId="77777777" w:rsidR="00D045EC" w:rsidRPr="001D7CEC" w:rsidRDefault="00D045EC" w:rsidP="00D045EC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128AE" w14:paraId="75640B48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68E1294A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-All-cause mortality</w:t>
            </w:r>
          </w:p>
          <w:p w14:paraId="20F9FD5C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-Categorical (highest/ lowest level)</w:t>
            </w:r>
          </w:p>
          <w:p w14:paraId="31798777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-General population</w:t>
            </w:r>
          </w:p>
        </w:tc>
        <w:tc>
          <w:tcPr>
            <w:tcW w:w="342" w:type="pct"/>
            <w:vAlign w:val="center"/>
          </w:tcPr>
          <w:p w14:paraId="1E4EC04A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278" w:type="pct"/>
            <w:vAlign w:val="center"/>
          </w:tcPr>
          <w:p w14:paraId="4E33AB7A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2F4643EF" w14:textId="5E466CC9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35A8EEC8" w14:textId="4EB74AA5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2CDD4905" w14:textId="75EB4B95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r w:rsidR="00C128AE">
              <w:rPr>
                <w:rFonts w:asciiTheme="majorBidi" w:hAnsiTheme="majorBidi" w:cstheme="majorBidi"/>
                <w:sz w:val="18"/>
                <w:szCs w:val="18"/>
              </w:rPr>
              <w:t>erious</w:t>
            </w:r>
          </w:p>
        </w:tc>
        <w:tc>
          <w:tcPr>
            <w:tcW w:w="376" w:type="pct"/>
            <w:vAlign w:val="center"/>
          </w:tcPr>
          <w:p w14:paraId="404720E7" w14:textId="6E514CED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03C620D4" w14:textId="3E3D7540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28AE">
              <w:rPr>
                <w:rFonts w:asciiTheme="majorBidi" w:hAnsiTheme="majorBidi" w:cstheme="majorBidi"/>
                <w:sz w:val="18"/>
                <w:szCs w:val="18"/>
              </w:rPr>
              <w:t>Serious</w:t>
            </w:r>
          </w:p>
        </w:tc>
        <w:tc>
          <w:tcPr>
            <w:tcW w:w="625" w:type="pct"/>
            <w:vAlign w:val="center"/>
          </w:tcPr>
          <w:p w14:paraId="2EED7AF7" w14:textId="176514BF" w:rsidR="00C128AE" w:rsidRPr="003A06F5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06F5">
              <w:rPr>
                <w:rFonts w:asciiTheme="majorBidi" w:hAnsiTheme="majorBidi" w:cstheme="majorBidi"/>
                <w:sz w:val="18"/>
                <w:szCs w:val="18"/>
              </w:rPr>
              <w:t>205,554</w:t>
            </w:r>
          </w:p>
        </w:tc>
        <w:tc>
          <w:tcPr>
            <w:tcW w:w="492" w:type="pct"/>
            <w:vAlign w:val="center"/>
          </w:tcPr>
          <w:p w14:paraId="67932AEC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1.23 (1.04, 1.41)</w:t>
            </w:r>
          </w:p>
        </w:tc>
        <w:tc>
          <w:tcPr>
            <w:tcW w:w="303" w:type="pct"/>
            <w:vAlign w:val="center"/>
          </w:tcPr>
          <w:p w14:paraId="13E28DBB" w14:textId="0CF26462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Low</w:t>
            </w:r>
          </w:p>
        </w:tc>
      </w:tr>
      <w:tr w:rsidR="00C128AE" w14:paraId="68FEEB51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1A11CCE2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-All-cause mortality</w:t>
            </w:r>
          </w:p>
          <w:p w14:paraId="37EDBA2B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-Continuous (per 1 SD increment)</w:t>
            </w:r>
          </w:p>
          <w:p w14:paraId="360BC2B6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-General population</w:t>
            </w:r>
          </w:p>
        </w:tc>
        <w:tc>
          <w:tcPr>
            <w:tcW w:w="342" w:type="pct"/>
            <w:vAlign w:val="center"/>
          </w:tcPr>
          <w:p w14:paraId="7C3997B4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278" w:type="pct"/>
            <w:vAlign w:val="center"/>
          </w:tcPr>
          <w:p w14:paraId="487DE18E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2042E685" w14:textId="4EC8336F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41923F4D" w14:textId="68B781EB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229355A6" w14:textId="5B430DF6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r w:rsidR="00C128AE">
              <w:rPr>
                <w:rFonts w:asciiTheme="majorBidi" w:hAnsiTheme="majorBidi" w:cstheme="majorBidi"/>
                <w:sz w:val="18"/>
                <w:szCs w:val="18"/>
              </w:rPr>
              <w:t>erious</w:t>
            </w:r>
          </w:p>
        </w:tc>
        <w:tc>
          <w:tcPr>
            <w:tcW w:w="376" w:type="pct"/>
            <w:vAlign w:val="center"/>
          </w:tcPr>
          <w:p w14:paraId="094991A2" w14:textId="400110F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66649C89" w14:textId="56C7DD68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625" w:type="pct"/>
            <w:vAlign w:val="center"/>
          </w:tcPr>
          <w:p w14:paraId="7E756191" w14:textId="19E1F58B" w:rsidR="00C128AE" w:rsidRPr="00C128AE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28AE">
              <w:rPr>
                <w:rFonts w:asciiTheme="majorBidi" w:hAnsiTheme="majorBidi" w:cstheme="majorBidi"/>
                <w:sz w:val="18"/>
                <w:szCs w:val="18"/>
              </w:rPr>
              <w:t>263,188</w:t>
            </w:r>
          </w:p>
        </w:tc>
        <w:tc>
          <w:tcPr>
            <w:tcW w:w="492" w:type="pct"/>
            <w:vAlign w:val="center"/>
          </w:tcPr>
          <w:p w14:paraId="782D030A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1.16 (1.07, 1.25)</w:t>
            </w:r>
          </w:p>
        </w:tc>
        <w:tc>
          <w:tcPr>
            <w:tcW w:w="303" w:type="pct"/>
            <w:vAlign w:val="center"/>
          </w:tcPr>
          <w:p w14:paraId="71DA9123" w14:textId="5275CDCE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Moderate</w:t>
            </w:r>
          </w:p>
        </w:tc>
      </w:tr>
      <w:tr w:rsidR="00C128AE" w14:paraId="12C1074E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16966928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-CVD mortality</w:t>
            </w:r>
          </w:p>
          <w:p w14:paraId="234CD822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-Categorical (highest/ lowest level)</w:t>
            </w:r>
          </w:p>
          <w:p w14:paraId="560C5775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-General population</w:t>
            </w:r>
          </w:p>
        </w:tc>
        <w:tc>
          <w:tcPr>
            <w:tcW w:w="342" w:type="pct"/>
            <w:vAlign w:val="center"/>
          </w:tcPr>
          <w:p w14:paraId="32840BCE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278" w:type="pct"/>
            <w:vAlign w:val="center"/>
          </w:tcPr>
          <w:p w14:paraId="0EC5B1AF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513E43DD" w14:textId="716A100C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5CBE6574" w14:textId="62FFF660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0F46E9C3" w14:textId="474DD816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28AE">
              <w:rPr>
                <w:rFonts w:asciiTheme="majorBidi" w:hAnsiTheme="majorBidi" w:cstheme="majorBidi"/>
                <w:sz w:val="18"/>
                <w:szCs w:val="18"/>
              </w:rPr>
              <w:t>Serious</w:t>
            </w:r>
          </w:p>
        </w:tc>
        <w:tc>
          <w:tcPr>
            <w:tcW w:w="376" w:type="pct"/>
            <w:vAlign w:val="center"/>
          </w:tcPr>
          <w:p w14:paraId="2E82906B" w14:textId="03F3B64F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61EB23A6" w14:textId="4C85D1B9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625" w:type="pct"/>
            <w:vAlign w:val="center"/>
          </w:tcPr>
          <w:p w14:paraId="2A7097C0" w14:textId="6B0BCC00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226,594</w:t>
            </w:r>
          </w:p>
        </w:tc>
        <w:tc>
          <w:tcPr>
            <w:tcW w:w="492" w:type="pct"/>
            <w:vAlign w:val="center"/>
          </w:tcPr>
          <w:p w14:paraId="3C7A7066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1.39 (1.18, 1.59)</w:t>
            </w:r>
          </w:p>
        </w:tc>
        <w:tc>
          <w:tcPr>
            <w:tcW w:w="303" w:type="pct"/>
            <w:vAlign w:val="center"/>
          </w:tcPr>
          <w:p w14:paraId="4036D61E" w14:textId="5E628923" w:rsidR="00C128AE" w:rsidRPr="001D7CEC" w:rsidRDefault="004926F3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Moderate</w:t>
            </w:r>
          </w:p>
        </w:tc>
      </w:tr>
      <w:tr w:rsidR="00C128AE" w14:paraId="67E300DB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1241FCFA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-CVD mortality</w:t>
            </w:r>
          </w:p>
          <w:p w14:paraId="0892BACC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-Continuous (per 1 SD increment)</w:t>
            </w:r>
          </w:p>
          <w:p w14:paraId="0014CB87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-General population</w:t>
            </w:r>
          </w:p>
        </w:tc>
        <w:tc>
          <w:tcPr>
            <w:tcW w:w="342" w:type="pct"/>
            <w:vAlign w:val="center"/>
          </w:tcPr>
          <w:p w14:paraId="38D09BFC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278" w:type="pct"/>
            <w:vAlign w:val="center"/>
          </w:tcPr>
          <w:p w14:paraId="35FCF741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44A63E85" w14:textId="0CF69DB0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38B96037" w14:textId="109BB132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3AACE709" w14:textId="32178FCA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r w:rsidR="00C128AE" w:rsidRPr="00BB7B18">
              <w:rPr>
                <w:rFonts w:asciiTheme="majorBidi" w:hAnsiTheme="majorBidi" w:cstheme="majorBidi"/>
                <w:sz w:val="18"/>
                <w:szCs w:val="18"/>
              </w:rPr>
              <w:t>erious</w:t>
            </w:r>
          </w:p>
        </w:tc>
        <w:tc>
          <w:tcPr>
            <w:tcW w:w="376" w:type="pct"/>
            <w:vAlign w:val="center"/>
          </w:tcPr>
          <w:p w14:paraId="162821EF" w14:textId="37A5B67D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1CAA8340" w14:textId="44CB721C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625" w:type="pct"/>
            <w:vAlign w:val="center"/>
          </w:tcPr>
          <w:p w14:paraId="65C3AC7C" w14:textId="4F72B645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242914</w:t>
            </w:r>
          </w:p>
        </w:tc>
        <w:tc>
          <w:tcPr>
            <w:tcW w:w="492" w:type="pct"/>
            <w:vAlign w:val="center"/>
          </w:tcPr>
          <w:p w14:paraId="1EBD0F61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1.19 (1.07, 1.31)</w:t>
            </w:r>
          </w:p>
        </w:tc>
        <w:tc>
          <w:tcPr>
            <w:tcW w:w="303" w:type="pct"/>
            <w:vAlign w:val="center"/>
          </w:tcPr>
          <w:p w14:paraId="5603B927" w14:textId="3F49B1F7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Moderate</w:t>
            </w:r>
          </w:p>
        </w:tc>
      </w:tr>
      <w:tr w:rsidR="00C128AE" w14:paraId="05B533D0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0AA4BCC9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-All-cause mortality</w:t>
            </w:r>
          </w:p>
          <w:p w14:paraId="6CEB1BB8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-Categorical (highest/ lowest level)</w:t>
            </w:r>
          </w:p>
          <w:p w14:paraId="12936499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 studies</w:t>
            </w:r>
          </w:p>
        </w:tc>
        <w:tc>
          <w:tcPr>
            <w:tcW w:w="342" w:type="pct"/>
            <w:vAlign w:val="center"/>
          </w:tcPr>
          <w:p w14:paraId="3B86F3B6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278" w:type="pct"/>
            <w:vAlign w:val="center"/>
          </w:tcPr>
          <w:p w14:paraId="43405473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15F4969F" w14:textId="6C0C303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6343193E" w14:textId="3FE9895B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202C444E" w14:textId="47C99939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r w:rsidR="00C128AE">
              <w:rPr>
                <w:rFonts w:asciiTheme="majorBidi" w:hAnsiTheme="majorBidi" w:cstheme="majorBidi"/>
                <w:sz w:val="18"/>
                <w:szCs w:val="18"/>
              </w:rPr>
              <w:t>erious</w:t>
            </w:r>
          </w:p>
        </w:tc>
        <w:tc>
          <w:tcPr>
            <w:tcW w:w="376" w:type="pct"/>
            <w:vAlign w:val="center"/>
          </w:tcPr>
          <w:p w14:paraId="5D452393" w14:textId="6B569F5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4072A3EE" w14:textId="4BE57616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28AE">
              <w:rPr>
                <w:rFonts w:asciiTheme="majorBidi" w:hAnsiTheme="majorBidi" w:cstheme="majorBidi"/>
                <w:sz w:val="18"/>
                <w:szCs w:val="18"/>
              </w:rPr>
              <w:t>Serious</w:t>
            </w:r>
          </w:p>
        </w:tc>
        <w:tc>
          <w:tcPr>
            <w:tcW w:w="625" w:type="pct"/>
            <w:vAlign w:val="center"/>
          </w:tcPr>
          <w:p w14:paraId="095E6280" w14:textId="0969C9AE" w:rsidR="00C128AE" w:rsidRPr="003A06F5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06F5">
              <w:rPr>
                <w:rFonts w:asciiTheme="majorBidi" w:hAnsiTheme="majorBidi" w:cstheme="majorBidi"/>
                <w:sz w:val="18"/>
                <w:szCs w:val="18"/>
              </w:rPr>
              <w:t>215,106</w:t>
            </w:r>
          </w:p>
        </w:tc>
        <w:tc>
          <w:tcPr>
            <w:tcW w:w="492" w:type="pct"/>
            <w:vAlign w:val="center"/>
          </w:tcPr>
          <w:p w14:paraId="04F58472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1.16 (0.99, 1.32)</w:t>
            </w:r>
          </w:p>
        </w:tc>
        <w:tc>
          <w:tcPr>
            <w:tcW w:w="303" w:type="pct"/>
            <w:vAlign w:val="center"/>
          </w:tcPr>
          <w:p w14:paraId="59E6C8E1" w14:textId="278D0754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Low</w:t>
            </w:r>
          </w:p>
        </w:tc>
      </w:tr>
      <w:tr w:rsidR="00C128AE" w14:paraId="2BB28632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13915E66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-All-cause mortality</w:t>
            </w:r>
          </w:p>
          <w:p w14:paraId="4ADF2C7F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-Continuous (per 1 SD increment)</w:t>
            </w:r>
          </w:p>
          <w:p w14:paraId="6EBADBE0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 studies</w:t>
            </w:r>
          </w:p>
        </w:tc>
        <w:tc>
          <w:tcPr>
            <w:tcW w:w="342" w:type="pct"/>
            <w:vAlign w:val="center"/>
          </w:tcPr>
          <w:p w14:paraId="1192151E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278" w:type="pct"/>
            <w:vAlign w:val="center"/>
          </w:tcPr>
          <w:p w14:paraId="2C40D360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4DF9DB8C" w14:textId="2AA1BE0A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05686341" w14:textId="7D4738C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10B45C7A" w14:textId="1F76242F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r w:rsidR="00C128AE">
              <w:rPr>
                <w:rFonts w:asciiTheme="majorBidi" w:hAnsiTheme="majorBidi" w:cstheme="majorBidi"/>
                <w:sz w:val="18"/>
                <w:szCs w:val="18"/>
              </w:rPr>
              <w:t>erious</w:t>
            </w:r>
          </w:p>
        </w:tc>
        <w:tc>
          <w:tcPr>
            <w:tcW w:w="376" w:type="pct"/>
            <w:vAlign w:val="center"/>
          </w:tcPr>
          <w:p w14:paraId="724C8012" w14:textId="752AD252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7BDA24E0" w14:textId="3CF002A2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625" w:type="pct"/>
            <w:vAlign w:val="center"/>
          </w:tcPr>
          <w:p w14:paraId="0C81E41A" w14:textId="7156E826" w:rsidR="00C128AE" w:rsidRPr="00C128AE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28AE">
              <w:rPr>
                <w:rFonts w:asciiTheme="majorBidi" w:hAnsiTheme="majorBidi" w:cstheme="majorBidi"/>
                <w:sz w:val="18"/>
                <w:szCs w:val="18"/>
              </w:rPr>
              <w:t>272,524</w:t>
            </w:r>
          </w:p>
        </w:tc>
        <w:tc>
          <w:tcPr>
            <w:tcW w:w="492" w:type="pct"/>
            <w:vAlign w:val="center"/>
          </w:tcPr>
          <w:p w14:paraId="6E186786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1.18 (1.09, 1.26)</w:t>
            </w:r>
          </w:p>
        </w:tc>
        <w:tc>
          <w:tcPr>
            <w:tcW w:w="303" w:type="pct"/>
            <w:vAlign w:val="center"/>
          </w:tcPr>
          <w:p w14:paraId="394874B8" w14:textId="353F3932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Moderate</w:t>
            </w:r>
          </w:p>
        </w:tc>
      </w:tr>
      <w:tr w:rsidR="00C128AE" w14:paraId="54DCE711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7AD2ED59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-CVD mortality</w:t>
            </w:r>
          </w:p>
          <w:p w14:paraId="08E87096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-Categorical (highest/ lowest level)</w:t>
            </w:r>
          </w:p>
          <w:p w14:paraId="5833EAB4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 studies</w:t>
            </w:r>
          </w:p>
        </w:tc>
        <w:tc>
          <w:tcPr>
            <w:tcW w:w="342" w:type="pct"/>
            <w:vAlign w:val="center"/>
          </w:tcPr>
          <w:p w14:paraId="5ABFEEC7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278" w:type="pct"/>
            <w:vAlign w:val="center"/>
          </w:tcPr>
          <w:p w14:paraId="10383E02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58AF93EA" w14:textId="1A045163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62CA52E5" w14:textId="3059360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06DB01B2" w14:textId="46500FF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28AE">
              <w:rPr>
                <w:rFonts w:asciiTheme="majorBidi" w:hAnsiTheme="majorBidi" w:cstheme="majorBidi"/>
                <w:sz w:val="18"/>
                <w:szCs w:val="18"/>
              </w:rPr>
              <w:t>Serious</w:t>
            </w:r>
          </w:p>
        </w:tc>
        <w:tc>
          <w:tcPr>
            <w:tcW w:w="376" w:type="pct"/>
            <w:vAlign w:val="center"/>
          </w:tcPr>
          <w:p w14:paraId="1ADCCFBA" w14:textId="06D38336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2419BFAE" w14:textId="5EA1D61E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625" w:type="pct"/>
            <w:vAlign w:val="center"/>
          </w:tcPr>
          <w:p w14:paraId="16DABF98" w14:textId="1596332D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244,344</w:t>
            </w:r>
          </w:p>
        </w:tc>
        <w:tc>
          <w:tcPr>
            <w:tcW w:w="492" w:type="pct"/>
            <w:vAlign w:val="center"/>
          </w:tcPr>
          <w:p w14:paraId="60F4D899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1.28 (1.10, 1.46)</w:t>
            </w:r>
          </w:p>
        </w:tc>
        <w:tc>
          <w:tcPr>
            <w:tcW w:w="303" w:type="pct"/>
            <w:vAlign w:val="center"/>
          </w:tcPr>
          <w:p w14:paraId="2C265022" w14:textId="379D351C" w:rsidR="00C128AE" w:rsidRPr="001D7CEC" w:rsidRDefault="004926F3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Moderate</w:t>
            </w:r>
          </w:p>
        </w:tc>
      </w:tr>
      <w:tr w:rsidR="00C128AE" w14:paraId="0B7DCEE0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3999524A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-CVD mortality</w:t>
            </w:r>
          </w:p>
          <w:p w14:paraId="49F6B5ED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-Continuous (per 1 SD increment)</w:t>
            </w:r>
          </w:p>
          <w:p w14:paraId="18AE2529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 studies</w:t>
            </w:r>
          </w:p>
        </w:tc>
        <w:tc>
          <w:tcPr>
            <w:tcW w:w="342" w:type="pct"/>
            <w:vAlign w:val="center"/>
          </w:tcPr>
          <w:p w14:paraId="6BD4441F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278" w:type="pct"/>
            <w:vAlign w:val="center"/>
          </w:tcPr>
          <w:p w14:paraId="49465C3C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2B4D571E" w14:textId="32B30EF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5113F443" w14:textId="6979A1CC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08" w:type="pct"/>
            <w:vAlign w:val="center"/>
          </w:tcPr>
          <w:p w14:paraId="058E8A6E" w14:textId="64FD0C84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r w:rsidR="00C128AE" w:rsidRPr="00BB7B18">
              <w:rPr>
                <w:rFonts w:asciiTheme="majorBidi" w:hAnsiTheme="majorBidi" w:cstheme="majorBidi"/>
                <w:sz w:val="18"/>
                <w:szCs w:val="18"/>
              </w:rPr>
              <w:t>erious</w:t>
            </w:r>
          </w:p>
        </w:tc>
        <w:tc>
          <w:tcPr>
            <w:tcW w:w="376" w:type="pct"/>
            <w:vAlign w:val="center"/>
          </w:tcPr>
          <w:p w14:paraId="48615A81" w14:textId="7B5D65FC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59D9D7B6" w14:textId="01A031DE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625" w:type="pct"/>
            <w:vAlign w:val="center"/>
          </w:tcPr>
          <w:p w14:paraId="36153B53" w14:textId="54C5F448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252,250</w:t>
            </w:r>
          </w:p>
        </w:tc>
        <w:tc>
          <w:tcPr>
            <w:tcW w:w="492" w:type="pct"/>
            <w:vAlign w:val="center"/>
          </w:tcPr>
          <w:p w14:paraId="6791A6C8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1.21 (1.10, 1.32)</w:t>
            </w:r>
          </w:p>
        </w:tc>
        <w:tc>
          <w:tcPr>
            <w:tcW w:w="303" w:type="pct"/>
            <w:vAlign w:val="center"/>
          </w:tcPr>
          <w:p w14:paraId="59B8395F" w14:textId="5597F387" w:rsidR="00C128AE" w:rsidRPr="001D7CEC" w:rsidRDefault="006668F9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Moderate</w:t>
            </w:r>
          </w:p>
        </w:tc>
      </w:tr>
      <w:tr w:rsidR="00C128AE" w14:paraId="2DF3A3D0" w14:textId="77777777" w:rsidTr="001E4ED8">
        <w:trPr>
          <w:trHeight w:val="865"/>
        </w:trPr>
        <w:tc>
          <w:tcPr>
            <w:tcW w:w="986" w:type="pct"/>
            <w:vAlign w:val="center"/>
          </w:tcPr>
          <w:p w14:paraId="74762749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-Cancer mortality</w:t>
            </w:r>
          </w:p>
          <w:p w14:paraId="73CE1965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-Categorical (highest/ lowest level)</w:t>
            </w:r>
          </w:p>
          <w:p w14:paraId="44B13DE3" w14:textId="77777777" w:rsidR="00C128AE" w:rsidRPr="001D7CEC" w:rsidRDefault="00C128AE" w:rsidP="00C128AE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-All studies</w:t>
            </w:r>
          </w:p>
        </w:tc>
        <w:tc>
          <w:tcPr>
            <w:tcW w:w="342" w:type="pct"/>
            <w:vAlign w:val="center"/>
          </w:tcPr>
          <w:p w14:paraId="5EA01397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7CEC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278" w:type="pct"/>
            <w:vAlign w:val="center"/>
          </w:tcPr>
          <w:p w14:paraId="3E1C77CC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30DF1">
              <w:rPr>
                <w:rFonts w:asciiTheme="majorBidi" w:hAnsiTheme="majorBidi" w:cstheme="majorBidi"/>
                <w:sz w:val="18"/>
                <w:szCs w:val="18"/>
              </w:rPr>
              <w:t>Cohort</w:t>
            </w:r>
          </w:p>
        </w:tc>
        <w:tc>
          <w:tcPr>
            <w:tcW w:w="405" w:type="pct"/>
            <w:vAlign w:val="center"/>
          </w:tcPr>
          <w:p w14:paraId="652CB52F" w14:textId="4B79A161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7B18"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369" w:type="pct"/>
            <w:vAlign w:val="center"/>
          </w:tcPr>
          <w:p w14:paraId="7F2FB160" w14:textId="2B6E6D57" w:rsidR="00C128AE" w:rsidRPr="00C128AE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28AE">
              <w:rPr>
                <w:rFonts w:asciiTheme="majorBidi" w:hAnsiTheme="majorBidi" w:cstheme="majorBidi"/>
                <w:sz w:val="18"/>
                <w:szCs w:val="18"/>
              </w:rPr>
              <w:t>Serious</w:t>
            </w:r>
          </w:p>
        </w:tc>
        <w:tc>
          <w:tcPr>
            <w:tcW w:w="408" w:type="pct"/>
            <w:vAlign w:val="center"/>
          </w:tcPr>
          <w:p w14:paraId="63B49FE4" w14:textId="744B57D8" w:rsidR="00C128AE" w:rsidRPr="00C128AE" w:rsidRDefault="00DF5455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r w:rsidR="00C128AE" w:rsidRPr="00C128AE">
              <w:rPr>
                <w:rFonts w:asciiTheme="majorBidi" w:hAnsiTheme="majorBidi" w:cstheme="majorBidi"/>
                <w:sz w:val="18"/>
                <w:szCs w:val="18"/>
              </w:rPr>
              <w:t>erious</w:t>
            </w:r>
          </w:p>
        </w:tc>
        <w:tc>
          <w:tcPr>
            <w:tcW w:w="376" w:type="pct"/>
            <w:vAlign w:val="center"/>
          </w:tcPr>
          <w:p w14:paraId="2366DCF3" w14:textId="43CFD029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416" w:type="pct"/>
            <w:vAlign w:val="center"/>
          </w:tcPr>
          <w:p w14:paraId="3C371811" w14:textId="79A5B383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Not serious</w:t>
            </w:r>
          </w:p>
        </w:tc>
        <w:tc>
          <w:tcPr>
            <w:tcW w:w="625" w:type="pct"/>
            <w:vAlign w:val="center"/>
          </w:tcPr>
          <w:p w14:paraId="11C6B387" w14:textId="7F019172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39,004</w:t>
            </w:r>
          </w:p>
        </w:tc>
        <w:tc>
          <w:tcPr>
            <w:tcW w:w="492" w:type="pct"/>
            <w:vAlign w:val="center"/>
          </w:tcPr>
          <w:p w14:paraId="0EE20B1A" w14:textId="77777777" w:rsidR="00C128AE" w:rsidRPr="001D7CEC" w:rsidRDefault="00C128AE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45EC">
              <w:rPr>
                <w:rFonts w:asciiTheme="majorBidi" w:hAnsiTheme="majorBidi" w:cstheme="majorBidi"/>
                <w:sz w:val="18"/>
                <w:szCs w:val="18"/>
              </w:rPr>
              <w:t>1.21 (0.97, 1.45)</w:t>
            </w:r>
          </w:p>
        </w:tc>
        <w:tc>
          <w:tcPr>
            <w:tcW w:w="303" w:type="pct"/>
            <w:vAlign w:val="center"/>
          </w:tcPr>
          <w:p w14:paraId="10D09BBF" w14:textId="7B484C6B" w:rsidR="00C128AE" w:rsidRPr="001D7CEC" w:rsidRDefault="004926F3" w:rsidP="00C128AE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Low</w:t>
            </w:r>
          </w:p>
        </w:tc>
      </w:tr>
    </w:tbl>
    <w:p w14:paraId="6951C75F" w14:textId="4947774E" w:rsidR="00E60CE9" w:rsidRPr="0067021E" w:rsidRDefault="001D7CEC" w:rsidP="00D045EC">
      <w:pPr>
        <w:pStyle w:val="Caption"/>
        <w:keepNext/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</w:pPr>
      <w:r w:rsidRPr="0067021E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2"/>
          <w:szCs w:val="22"/>
        </w:rPr>
        <w:t>Supplementary table 2</w:t>
      </w:r>
      <w:r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 xml:space="preserve">. GRADE evidence profile: </w:t>
      </w:r>
      <w:r w:rsidR="00D045EC"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>The association between</w:t>
      </w:r>
      <w:r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 xml:space="preserve"> </w:t>
      </w:r>
      <w:r w:rsidR="00D045EC"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>central obesity</w:t>
      </w:r>
      <w:r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 xml:space="preserve"> </w:t>
      </w:r>
      <w:r w:rsidR="00D045EC"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>and</w:t>
      </w:r>
      <w:r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 xml:space="preserve"> </w:t>
      </w:r>
      <w:r w:rsidR="00D045EC" w:rsidRP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>mortality hazard</w:t>
      </w:r>
      <w:r w:rsidR="0067021E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>.</w:t>
      </w:r>
    </w:p>
    <w:p w14:paraId="74A889F3" w14:textId="00C11D6D" w:rsidR="00D045EC" w:rsidRPr="00D045EC" w:rsidRDefault="00D045EC" w:rsidP="00D045EC">
      <w:pPr>
        <w:bidi w:val="0"/>
      </w:pPr>
      <w:r>
        <w:rPr>
          <w:rFonts w:asciiTheme="majorBidi" w:hAnsiTheme="majorBidi" w:cstheme="majorBidi"/>
          <w:sz w:val="20"/>
          <w:szCs w:val="20"/>
        </w:rPr>
        <w:t>HR: Hazard Ratio, CI: confidence interval, CVD: cardiovascular diseases</w:t>
      </w:r>
    </w:p>
    <w:sectPr w:rsidR="00D045EC" w:rsidRPr="00D045EC" w:rsidSect="001D7CEC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WxMDA1NzK2MDK0MDVX0lEKTi0uzszPAykwrgUAV3ZEyCwAAAA="/>
  </w:docVars>
  <w:rsids>
    <w:rsidRoot w:val="005A07D0"/>
    <w:rsid w:val="001D7CEC"/>
    <w:rsid w:val="001E4ED8"/>
    <w:rsid w:val="002D0AD4"/>
    <w:rsid w:val="003A06F5"/>
    <w:rsid w:val="004926F3"/>
    <w:rsid w:val="005A07D0"/>
    <w:rsid w:val="006668F9"/>
    <w:rsid w:val="0067021E"/>
    <w:rsid w:val="008E121E"/>
    <w:rsid w:val="00A345B7"/>
    <w:rsid w:val="00B94E4A"/>
    <w:rsid w:val="00C128AE"/>
    <w:rsid w:val="00C310E4"/>
    <w:rsid w:val="00CD3408"/>
    <w:rsid w:val="00D045EC"/>
    <w:rsid w:val="00DA0585"/>
    <w:rsid w:val="00DF5455"/>
    <w:rsid w:val="00DF70A0"/>
    <w:rsid w:val="00E60CE9"/>
    <w:rsid w:val="00EB7006"/>
    <w:rsid w:val="00F3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497A401"/>
  <w15:chartTrackingRefBased/>
  <w15:docId w15:val="{E48AD408-C84E-49BE-869B-BBBE434A7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CE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1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E121E"/>
    <w:pPr>
      <w:bidi w:val="0"/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Fujitsu</cp:lastModifiedBy>
  <cp:revision>9</cp:revision>
  <dcterms:created xsi:type="dcterms:W3CDTF">2022-12-14T08:36:00Z</dcterms:created>
  <dcterms:modified xsi:type="dcterms:W3CDTF">2022-12-15T09:03:00Z</dcterms:modified>
</cp:coreProperties>
</file>