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8C2" w:rsidRDefault="000258C2" w:rsidP="000258C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Supplementary </w:t>
      </w:r>
    </w:p>
    <w:p w:rsidR="000258C2" w:rsidRDefault="000258C2" w:rsidP="000258C2">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S1</w:t>
      </w:r>
      <w:r>
        <w:rPr>
          <w:rFonts w:ascii="Times New Roman" w:eastAsia="Times New Roman" w:hAnsi="Times New Roman" w:cs="Times New Roman"/>
          <w:sz w:val="24"/>
          <w:szCs w:val="24"/>
        </w:rPr>
        <w:t>. Lists of the Atlantic Niño/Niña, El Niño/La Niña and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AMM years used in this study. Atlantic Niño events are identified based on the criterion that the area-averaged SSTA over the ATL3 Atlantic Niño 3 region (ATL3, 3S° - 3°N, 20°W - 0°) exceeds one standard deviation (σ = 0.32 K) during JJASON. Atlantic Niña events are defined using the criterion that ATL3 SSTA is less than -σ. The same criteria are applied for ENSO based on the area-</w:t>
      </w:r>
      <w:proofErr w:type="spellStart"/>
      <w:r>
        <w:rPr>
          <w:rFonts w:ascii="Times New Roman" w:eastAsia="Times New Roman" w:hAnsi="Times New Roman" w:cs="Times New Roman"/>
          <w:sz w:val="24"/>
          <w:szCs w:val="24"/>
        </w:rPr>
        <w:t>averged</w:t>
      </w:r>
      <w:proofErr w:type="spellEnd"/>
      <w:r>
        <w:rPr>
          <w:rFonts w:ascii="Times New Roman" w:eastAsia="Times New Roman" w:hAnsi="Times New Roman" w:cs="Times New Roman"/>
          <w:sz w:val="24"/>
          <w:szCs w:val="24"/>
        </w:rPr>
        <w:t xml:space="preserve"> SSTA over the NINO3.4 region (σ = 0.50 K; 5S° - 5°N, 170°E - 120W°). Similarly, (+)/(-) AMM years are identified when the normalized AMM index during JJASON exceeds one standard deviation (positive AMM) or is less than negative one standard deviation (negative AMM).</w:t>
      </w:r>
    </w:p>
    <w:tbl>
      <w:tblPr>
        <w:tblW w:w="9435" w:type="dxa"/>
        <w:tblBorders>
          <w:top w:val="nil"/>
          <w:left w:val="nil"/>
          <w:bottom w:val="nil"/>
          <w:right w:val="nil"/>
          <w:insideH w:val="nil"/>
          <w:insideV w:val="nil"/>
        </w:tblBorders>
        <w:tblLayout w:type="fixed"/>
        <w:tblLook w:val="0600" w:firstRow="0" w:lastRow="0" w:firstColumn="0" w:lastColumn="0" w:noHBand="1" w:noVBand="1"/>
      </w:tblPr>
      <w:tblGrid>
        <w:gridCol w:w="1575"/>
        <w:gridCol w:w="1575"/>
        <w:gridCol w:w="1575"/>
        <w:gridCol w:w="1575"/>
        <w:gridCol w:w="1575"/>
        <w:gridCol w:w="1560"/>
      </w:tblGrid>
      <w:tr w:rsidR="000258C2" w:rsidTr="0014068C">
        <w:trPr>
          <w:trHeight w:val="814"/>
        </w:trPr>
        <w:tc>
          <w:tcPr>
            <w:tcW w:w="1575" w:type="dxa"/>
            <w:tcBorders>
              <w:top w:val="single" w:sz="8" w:space="0" w:color="000000"/>
              <w:left w:val="nil"/>
              <w:bottom w:val="single" w:sz="12" w:space="0" w:color="000000"/>
              <w:right w:val="single" w:sz="8" w:space="0" w:color="000000"/>
            </w:tcBorders>
            <w:tcMar>
              <w:top w:w="100" w:type="dxa"/>
              <w:left w:w="100" w:type="dxa"/>
              <w:bottom w:w="100" w:type="dxa"/>
              <w:right w:w="100" w:type="dxa"/>
            </w:tcMar>
          </w:tcPr>
          <w:p w:rsidR="000258C2" w:rsidRDefault="000258C2" w:rsidP="0014068C">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Atlantic Niño (n=19)</w:t>
            </w:r>
          </w:p>
        </w:tc>
        <w:tc>
          <w:tcPr>
            <w:tcW w:w="1575" w:type="dxa"/>
            <w:tcBorders>
              <w:top w:val="single" w:sz="8" w:space="0" w:color="000000"/>
              <w:left w:val="nil"/>
              <w:bottom w:val="single" w:sz="12" w:space="0" w:color="000000"/>
              <w:right w:val="single" w:sz="8" w:space="0" w:color="000000"/>
            </w:tcBorders>
            <w:tcMar>
              <w:top w:w="100" w:type="dxa"/>
              <w:left w:w="100" w:type="dxa"/>
              <w:bottom w:w="100" w:type="dxa"/>
              <w:right w:w="100" w:type="dxa"/>
            </w:tcMar>
          </w:tcPr>
          <w:p w:rsidR="000258C2" w:rsidRDefault="000258C2" w:rsidP="0014068C">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Atlantic Niña (n=14)</w:t>
            </w:r>
          </w:p>
        </w:tc>
        <w:tc>
          <w:tcPr>
            <w:tcW w:w="1575" w:type="dxa"/>
            <w:tcBorders>
              <w:top w:val="single" w:sz="8" w:space="0" w:color="000000"/>
              <w:left w:val="nil"/>
              <w:bottom w:val="single" w:sz="12" w:space="0" w:color="000000"/>
              <w:right w:val="single" w:sz="8" w:space="0" w:color="000000"/>
            </w:tcBorders>
            <w:tcMar>
              <w:top w:w="100" w:type="dxa"/>
              <w:left w:w="100" w:type="dxa"/>
              <w:bottom w:w="100" w:type="dxa"/>
              <w:right w:w="100" w:type="dxa"/>
            </w:tcMar>
          </w:tcPr>
          <w:p w:rsidR="000258C2" w:rsidRDefault="000258C2" w:rsidP="0014068C">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El Niño (n=17)</w:t>
            </w:r>
          </w:p>
        </w:tc>
        <w:tc>
          <w:tcPr>
            <w:tcW w:w="1575" w:type="dxa"/>
            <w:tcBorders>
              <w:top w:val="single" w:sz="8" w:space="0" w:color="000000"/>
              <w:left w:val="nil"/>
              <w:bottom w:val="single" w:sz="12" w:space="0" w:color="000000"/>
              <w:right w:val="nil"/>
            </w:tcBorders>
            <w:tcMar>
              <w:top w:w="100" w:type="dxa"/>
              <w:left w:w="100" w:type="dxa"/>
              <w:bottom w:w="100" w:type="dxa"/>
              <w:right w:w="100" w:type="dxa"/>
            </w:tcMar>
          </w:tcPr>
          <w:p w:rsidR="000258C2" w:rsidRDefault="000258C2" w:rsidP="0014068C">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 Niña (n=21)</w:t>
            </w:r>
          </w:p>
        </w:tc>
        <w:tc>
          <w:tcPr>
            <w:tcW w:w="1575"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tcPr>
          <w:p w:rsidR="000258C2" w:rsidRDefault="000258C2" w:rsidP="0014068C">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AMM (n=15)</w:t>
            </w:r>
          </w:p>
        </w:tc>
        <w:tc>
          <w:tcPr>
            <w:tcW w:w="1560" w:type="dxa"/>
            <w:tcBorders>
              <w:top w:val="single" w:sz="8" w:space="0" w:color="000000"/>
              <w:left w:val="nil"/>
              <w:bottom w:val="single" w:sz="12" w:space="0" w:color="000000"/>
              <w:right w:val="nil"/>
            </w:tcBorders>
            <w:tcMar>
              <w:top w:w="100" w:type="dxa"/>
              <w:left w:w="100" w:type="dxa"/>
              <w:bottom w:w="100" w:type="dxa"/>
              <w:right w:w="100" w:type="dxa"/>
            </w:tcMar>
          </w:tcPr>
          <w:p w:rsidR="000258C2" w:rsidRDefault="000258C2" w:rsidP="0014068C">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AMM (n=18)</w:t>
            </w:r>
          </w:p>
        </w:tc>
      </w:tr>
      <w:tr w:rsidR="000258C2" w:rsidTr="0014068C">
        <w:trPr>
          <w:trHeight w:val="3195"/>
        </w:trPr>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rsidR="000258C2" w:rsidRDefault="000258C2" w:rsidP="0014068C">
            <w:p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1949, 1951, 1960, 1963, 1966, 1968, 1973, 1981, 1984, 1987, 1988, 1995, 1998, 1999, 2003, 2008, 2010, 2016, 2021</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rsidR="000258C2" w:rsidRDefault="000258C2" w:rsidP="0014068C">
            <w:p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1958, 1964, 1965, 1967, 1969, 1971, 1976, 1978, 1982, 1983, 1992, 1994, 2005, 2013</w:t>
            </w: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rsidR="000258C2" w:rsidRDefault="000258C2" w:rsidP="0014068C">
            <w:p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1951, 1953, 1957, 1963, 1965, 1969, 1972, 1976, 1977, 1982, 1987, 1991, 1994, 1997, 2002, 2009, 2015</w:t>
            </w:r>
          </w:p>
        </w:tc>
        <w:tc>
          <w:tcPr>
            <w:tcW w:w="1575" w:type="dxa"/>
            <w:tcBorders>
              <w:top w:val="nil"/>
              <w:left w:val="nil"/>
              <w:bottom w:val="single" w:sz="8" w:space="0" w:color="000000"/>
              <w:right w:val="nil"/>
            </w:tcBorders>
            <w:tcMar>
              <w:top w:w="100" w:type="dxa"/>
              <w:left w:w="100" w:type="dxa"/>
              <w:bottom w:w="100" w:type="dxa"/>
              <w:right w:w="100" w:type="dxa"/>
            </w:tcMar>
          </w:tcPr>
          <w:p w:rsidR="000258C2" w:rsidRDefault="000258C2" w:rsidP="0014068C">
            <w:p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1950, 1954, 1955, 1956, 1964, 1970, 1971, 1973, 1975, 1984, 1985, 1988, 1998, 1999, 2000, 2007, 2010, 2011, 2016, 2020, 2021</w:t>
            </w:r>
          </w:p>
        </w:tc>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258C2" w:rsidRDefault="000258C2" w:rsidP="0014068C">
            <w:p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1952, 1955, 1958, 1980, 1995, 1998, 2001, 2004, 2005, 2006, 2010, 2011, 2012, 2013, 2017 </w:t>
            </w:r>
          </w:p>
        </w:tc>
        <w:tc>
          <w:tcPr>
            <w:tcW w:w="1560" w:type="dxa"/>
            <w:tcBorders>
              <w:top w:val="nil"/>
              <w:left w:val="nil"/>
              <w:bottom w:val="single" w:sz="8" w:space="0" w:color="000000"/>
              <w:right w:val="nil"/>
            </w:tcBorders>
            <w:tcMar>
              <w:top w:w="100" w:type="dxa"/>
              <w:left w:w="100" w:type="dxa"/>
              <w:bottom w:w="100" w:type="dxa"/>
              <w:right w:w="100" w:type="dxa"/>
            </w:tcMar>
          </w:tcPr>
          <w:p w:rsidR="000258C2" w:rsidRDefault="000258C2" w:rsidP="0014068C">
            <w:p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1963, 1965, 1968, 1971, 1972, 1973, 1974, 1975, 1977, 1982, 1984, 1986, 1991, 1993, 1994, 2000, 2002, 2018</w:t>
            </w:r>
          </w:p>
        </w:tc>
      </w:tr>
    </w:tbl>
    <w:p w:rsidR="000258C2" w:rsidRDefault="000258C2" w:rsidP="000258C2">
      <w:pPr>
        <w:spacing w:before="240" w:after="240"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539F32D4" wp14:editId="1D6DC4C6">
            <wp:extent cx="5943600" cy="17526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943600" cy="1752600"/>
                    </a:xfrm>
                    <a:prstGeom prst="rect">
                      <a:avLst/>
                    </a:prstGeom>
                    <a:ln/>
                  </pic:spPr>
                </pic:pic>
              </a:graphicData>
            </a:graphic>
          </wp:inline>
        </w:drawing>
      </w:r>
    </w:p>
    <w:p w:rsidR="000258C2" w:rsidRDefault="000258C2" w:rsidP="000258C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 S1. </w:t>
      </w:r>
      <w:r>
        <w:rPr>
          <w:rFonts w:ascii="Times New Roman" w:eastAsia="Times New Roman" w:hAnsi="Times New Roman" w:cs="Times New Roman"/>
          <w:sz w:val="24"/>
          <w:szCs w:val="24"/>
        </w:rPr>
        <w:t xml:space="preserve">Same as Fig. 2a-b but for the post-satellite period (1979-2021).  </w:t>
      </w:r>
    </w:p>
    <w:p w:rsidR="000258C2" w:rsidRDefault="000258C2" w:rsidP="000258C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58C2" w:rsidRDefault="000258C2" w:rsidP="000258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722A252" wp14:editId="26B9D4B8">
            <wp:extent cx="5943600" cy="39497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3949700"/>
                    </a:xfrm>
                    <a:prstGeom prst="rect">
                      <a:avLst/>
                    </a:prstGeom>
                    <a:ln/>
                  </pic:spPr>
                </pic:pic>
              </a:graphicData>
            </a:graphic>
          </wp:inline>
        </w:drawing>
      </w:r>
    </w:p>
    <w:p w:rsidR="000258C2" w:rsidRDefault="000258C2" w:rsidP="000258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 S2.</w:t>
      </w:r>
      <w:r>
        <w:rPr>
          <w:rFonts w:ascii="Times New Roman" w:eastAsia="Times New Roman" w:hAnsi="Times New Roman" w:cs="Times New Roman"/>
          <w:sz w:val="24"/>
          <w:szCs w:val="24"/>
        </w:rPr>
        <w:t xml:space="preserve"> Partial regressions of wind at 850 </w:t>
      </w:r>
      <w:proofErr w:type="spellStart"/>
      <w:r>
        <w:rPr>
          <w:rFonts w:ascii="Times New Roman" w:eastAsia="Times New Roman" w:hAnsi="Times New Roman" w:cs="Times New Roman"/>
          <w:sz w:val="24"/>
          <w:szCs w:val="24"/>
        </w:rPr>
        <w:t>hPa</w:t>
      </w:r>
      <w:proofErr w:type="spellEnd"/>
      <w:r>
        <w:rPr>
          <w:rFonts w:ascii="Times New Roman" w:eastAsia="Times New Roman" w:hAnsi="Times New Roman" w:cs="Times New Roman"/>
          <w:sz w:val="24"/>
          <w:szCs w:val="24"/>
        </w:rPr>
        <w:t xml:space="preserve"> onto (a) ATL3 and (b) NINO3.4 indices. (</w:t>
      </w:r>
      <w:proofErr w:type="gramStart"/>
      <w:r>
        <w:rPr>
          <w:rFonts w:ascii="Times New Roman" w:eastAsia="Times New Roman" w:hAnsi="Times New Roman" w:cs="Times New Roman"/>
          <w:sz w:val="24"/>
          <w:szCs w:val="24"/>
        </w:rPr>
        <w:t>c</w:t>
      </w:r>
      <w:proofErr w:type="gramEnd"/>
      <w:r>
        <w:rPr>
          <w:rFonts w:ascii="Times New Roman" w:eastAsia="Times New Roman" w:hAnsi="Times New Roman" w:cs="Times New Roman"/>
          <w:sz w:val="24"/>
          <w:szCs w:val="24"/>
        </w:rPr>
        <w:t xml:space="preserve">) and (d) are the same as (a) and (b) but for wind at 200 </w:t>
      </w:r>
      <w:proofErr w:type="spellStart"/>
      <w:r>
        <w:rPr>
          <w:rFonts w:ascii="Times New Roman" w:eastAsia="Times New Roman" w:hAnsi="Times New Roman" w:cs="Times New Roman"/>
          <w:sz w:val="24"/>
          <w:szCs w:val="24"/>
        </w:rPr>
        <w:t>hPa</w:t>
      </w:r>
      <w:proofErr w:type="spellEnd"/>
      <w:r>
        <w:rPr>
          <w:rFonts w:ascii="Times New Roman" w:eastAsia="Times New Roman" w:hAnsi="Times New Roman" w:cs="Times New Roman"/>
          <w:sz w:val="24"/>
          <w:szCs w:val="24"/>
        </w:rPr>
        <w:t xml:space="preserve">. The sign of NINO3.4 is reversed, and the regressed wind vectors over the Americas and Pacific Ocean are masked out. </w:t>
      </w:r>
    </w:p>
    <w:p w:rsidR="000258C2" w:rsidRDefault="000258C2" w:rsidP="000258C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58C2" w:rsidRDefault="000258C2" w:rsidP="000258C2">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22261C6" wp14:editId="3C0DB4FC">
            <wp:extent cx="5943600" cy="22606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943600" cy="2260600"/>
                    </a:xfrm>
                    <a:prstGeom prst="rect">
                      <a:avLst/>
                    </a:prstGeom>
                    <a:ln/>
                  </pic:spPr>
                </pic:pic>
              </a:graphicData>
            </a:graphic>
          </wp:inline>
        </w:drawing>
      </w:r>
    </w:p>
    <w:p w:rsidR="000258C2" w:rsidRDefault="000258C2" w:rsidP="000258C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 S3. </w:t>
      </w:r>
      <w:r>
        <w:rPr>
          <w:rFonts w:ascii="Times New Roman" w:eastAsia="Times New Roman" w:hAnsi="Times New Roman" w:cs="Times New Roman"/>
          <w:sz w:val="24"/>
          <w:szCs w:val="24"/>
        </w:rPr>
        <w:t>Same as Fig.3a-b but for the post-satellite period (1979-2021).</w:t>
      </w:r>
    </w:p>
    <w:p w:rsidR="000258C2" w:rsidRDefault="000258C2" w:rsidP="000258C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258C2" w:rsidRDefault="000258C2" w:rsidP="000258C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74E4E908" wp14:editId="0CCCCEAC">
            <wp:extent cx="5943600" cy="45212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43600" cy="4521200"/>
                    </a:xfrm>
                    <a:prstGeom prst="rect">
                      <a:avLst/>
                    </a:prstGeom>
                    <a:ln/>
                  </pic:spPr>
                </pic:pic>
              </a:graphicData>
            </a:graphic>
          </wp:inline>
        </w:drawing>
      </w:r>
      <w:r>
        <w:rPr>
          <w:rFonts w:ascii="Times New Roman" w:eastAsia="Times New Roman" w:hAnsi="Times New Roman" w:cs="Times New Roman"/>
          <w:b/>
          <w:sz w:val="24"/>
          <w:szCs w:val="24"/>
        </w:rPr>
        <w:t>Fig. S4.</w:t>
      </w:r>
      <w:r>
        <w:rPr>
          <w:rFonts w:ascii="Times New Roman" w:eastAsia="Times New Roman" w:hAnsi="Times New Roman" w:cs="Times New Roman"/>
          <w:sz w:val="24"/>
          <w:szCs w:val="24"/>
        </w:rPr>
        <w:t xml:space="preserve"> (a) Number of June-November tropical cyclones (TC) over the Atlantic during positive AMM (red bar), neutral (gray bar), and negative AMM (blue bar) years. (b)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the same as (a) but for El Niño (red bar), neutral (gray bar), and La Niña (blue bar). (c)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the same as (a) but for Atlantic Niño (red bar), neutral (gray bar), and Atlantic Niña (blue bar), respectively. Error bars indicate the 95% confidence level based on a two-tailed Student’s t-test. (d) Difference in TC genesis (shaded, per year), track density (black contours, intervals of 0.5 TCs per year), and SSTAs (red and blue contours, intervals of 0.3 K) between positive and negative AMM. (e)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the same as (d) but between La Niña and El Niño. (f)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the same as (d) but between Atlantic Niño and Atlantic Niña. Purple dots indicate where the difference in TC genesis is significant above </w:t>
      </w:r>
      <w:r>
        <w:rPr>
          <w:rFonts w:ascii="Times New Roman" w:eastAsia="Times New Roman" w:hAnsi="Times New Roman" w:cs="Times New Roman"/>
          <w:sz w:val="24"/>
          <w:szCs w:val="24"/>
        </w:rPr>
        <w:lastRenderedPageBreak/>
        <w:t xml:space="preserve">the 95% confidence level based on a two-tailed Student’s t-test. TC genesis and track density are spatially smoothed to aid visual comparison. </w:t>
      </w:r>
      <w:r>
        <w:rPr>
          <w:rFonts w:ascii="Times New Roman" w:eastAsia="Times New Roman" w:hAnsi="Times New Roman" w:cs="Times New Roman"/>
          <w:sz w:val="24"/>
          <w:szCs w:val="24"/>
        </w:rPr>
        <w:br w:type="page"/>
      </w:r>
    </w:p>
    <w:p w:rsidR="000258C2" w:rsidRDefault="000258C2" w:rsidP="000258C2">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8214C37" wp14:editId="2075A882">
            <wp:extent cx="5943600" cy="32385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943600" cy="3238500"/>
                    </a:xfrm>
                    <a:prstGeom prst="rect">
                      <a:avLst/>
                    </a:prstGeom>
                    <a:ln/>
                  </pic:spPr>
                </pic:pic>
              </a:graphicData>
            </a:graphic>
          </wp:inline>
        </w:drawing>
      </w:r>
    </w:p>
    <w:p w:rsidR="000258C2" w:rsidRDefault="000258C2" w:rsidP="000258C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 S5.</w:t>
      </w:r>
      <w:r>
        <w:rPr>
          <w:rFonts w:ascii="Times New Roman" w:eastAsia="Times New Roman" w:hAnsi="Times New Roman" w:cs="Times New Roman"/>
          <w:sz w:val="24"/>
          <w:szCs w:val="24"/>
        </w:rPr>
        <w:t xml:space="preserve"> (a) Linear summation of the partial regression of tropical cyclone genesis (shaded), and track density (black contours) onto ATL3 and NINO3.4 indices. (</w:t>
      </w:r>
      <w:proofErr w:type="gramStart"/>
      <w:r>
        <w:rPr>
          <w:rFonts w:ascii="Times New Roman" w:eastAsia="Times New Roman" w:hAnsi="Times New Roman" w:cs="Times New Roman"/>
          <w:sz w:val="24"/>
          <w:szCs w:val="24"/>
        </w:rPr>
        <w:t>b</w:t>
      </w:r>
      <w:proofErr w:type="gramEnd"/>
      <w:r>
        <w:rPr>
          <w:rFonts w:ascii="Times New Roman" w:eastAsia="Times New Roman" w:hAnsi="Times New Roman" w:cs="Times New Roman"/>
          <w:sz w:val="24"/>
          <w:szCs w:val="24"/>
        </w:rPr>
        <w:t>) is the same as (a) but for linear subtraction. (</w:t>
      </w:r>
      <w:proofErr w:type="gramStart"/>
      <w:r>
        <w:rPr>
          <w:rFonts w:ascii="Times New Roman" w:eastAsia="Times New Roman" w:hAnsi="Times New Roman" w:cs="Times New Roman"/>
          <w:sz w:val="24"/>
          <w:szCs w:val="24"/>
        </w:rPr>
        <w:t>c</w:t>
      </w:r>
      <w:proofErr w:type="gramEnd"/>
      <w:r>
        <w:rPr>
          <w:rFonts w:ascii="Times New Roman" w:eastAsia="Times New Roman" w:hAnsi="Times New Roman" w:cs="Times New Roman"/>
          <w:sz w:val="24"/>
          <w:szCs w:val="24"/>
        </w:rPr>
        <w:t>) is the same as (a) but for ATL3 and AMM indices. (</w:t>
      </w:r>
      <w:proofErr w:type="gramStart"/>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 is the same as (b) but for ATL3 and AMM. Purple dots indicate where TC genesis regressions are significant above the 90% confidence level based on a Student’s t-test.</w:t>
      </w:r>
    </w:p>
    <w:p w:rsidR="009A2430" w:rsidRPr="000258C2" w:rsidRDefault="009A2430" w:rsidP="000258C2">
      <w:bookmarkStart w:id="0" w:name="_GoBack"/>
      <w:bookmarkEnd w:id="0"/>
    </w:p>
    <w:sectPr w:rsidR="009A2430" w:rsidRPr="000258C2" w:rsidSect="000258C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0" w:footer="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5E2" w:rsidRDefault="005605E2">
      <w:pPr>
        <w:spacing w:after="0" w:line="240" w:lineRule="auto"/>
      </w:pPr>
      <w:r>
        <w:separator/>
      </w:r>
    </w:p>
  </w:endnote>
  <w:endnote w:type="continuationSeparator" w:id="0">
    <w:p w:rsidR="005605E2" w:rsidRDefault="00560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430" w:rsidRDefault="009A243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430" w:rsidRDefault="009A2430">
    <w:pPr>
      <w:spacing w:line="480" w:lineRule="auto"/>
      <w:jc w:val="both"/>
      <w:rPr>
        <w:rFonts w:ascii="Times New Roman" w:eastAsia="Times New Roman" w:hAnsi="Times New Roman" w:cs="Times New Roman"/>
        <w:sz w:val="24"/>
        <w:szCs w:val="24"/>
      </w:rPr>
    </w:pPr>
  </w:p>
  <w:p w:rsidR="009A2430" w:rsidRDefault="009A2430">
    <w:pPr>
      <w:tabs>
        <w:tab w:val="center" w:pos="4680"/>
        <w:tab w:val="right" w:pos="9360"/>
      </w:tabs>
      <w:spacing w:line="480" w:lineRule="auto"/>
      <w:jc w:val="both"/>
      <w:rPr>
        <w:rFonts w:ascii="Times New Roman" w:eastAsia="Times New Roman" w:hAnsi="Times New Roman" w:cs="Times New Roman"/>
        <w:sz w:val="24"/>
        <w:szCs w:val="24"/>
      </w:rPr>
    </w:pPr>
  </w:p>
  <w:p w:rsidR="009A2430" w:rsidRDefault="009A243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430" w:rsidRDefault="009A243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5E2" w:rsidRDefault="005605E2">
      <w:pPr>
        <w:spacing w:after="0" w:line="240" w:lineRule="auto"/>
      </w:pPr>
      <w:r>
        <w:separator/>
      </w:r>
    </w:p>
  </w:footnote>
  <w:footnote w:type="continuationSeparator" w:id="0">
    <w:p w:rsidR="005605E2" w:rsidRDefault="00560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430" w:rsidRDefault="009A243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430" w:rsidRDefault="009A2430">
    <w:pPr>
      <w:tabs>
        <w:tab w:val="center" w:pos="4320"/>
      </w:tabs>
      <w:spacing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430" w:rsidRDefault="009A2430">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QwMTI2MTc1NzMwNjVT0lEKTi0uzszPAykwrAUACVsGOywAAAA="/>
  </w:docVars>
  <w:rsids>
    <w:rsidRoot w:val="009A2430"/>
    <w:rsid w:val="000258C2"/>
    <w:rsid w:val="002C6E90"/>
    <w:rsid w:val="005605E2"/>
    <w:rsid w:val="005863B6"/>
    <w:rsid w:val="009A2430"/>
    <w:rsid w:val="00FA0E6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3623E-8A6A-4434-B746-52250FB76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025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6240D-2FB7-41D8-B9DF-CC9256B07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Dongmin Kim</dc:creator>
  <cp:lastModifiedBy>Dongmin Kim</cp:lastModifiedBy>
  <cp:revision>3</cp:revision>
  <dcterms:created xsi:type="dcterms:W3CDTF">2023-01-24T13:49:00Z</dcterms:created>
  <dcterms:modified xsi:type="dcterms:W3CDTF">2023-01-24T13:59:00Z</dcterms:modified>
</cp:coreProperties>
</file>