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05A" w:rsidRDefault="00BF305A" w:rsidP="00BF305A">
      <w:pPr>
        <w:spacing w:before="240" w:after="240" w:line="360" w:lineRule="auto"/>
        <w:ind w:left="1" w:hanging="3"/>
        <w:jc w:val="center"/>
        <w:rPr>
          <w:b/>
          <w:sz w:val="30"/>
          <w:szCs w:val="30"/>
        </w:rPr>
      </w:pPr>
      <w:bookmarkStart w:id="0" w:name="_GoBack"/>
      <w:bookmarkEnd w:id="0"/>
      <w:r>
        <w:rPr>
          <w:b/>
          <w:sz w:val="30"/>
          <w:szCs w:val="30"/>
        </w:rPr>
        <w:t>Behavior dynamics at high temporal resolutions: the relevance of a right scale for sampling</w:t>
      </w:r>
    </w:p>
    <w:p w:rsidR="00BF305A" w:rsidRDefault="00BF305A" w:rsidP="00BF305A">
      <w:pPr>
        <w:spacing w:before="240" w:after="240" w:line="360" w:lineRule="auto"/>
        <w:ind w:left="1" w:hanging="3"/>
        <w:jc w:val="center"/>
        <w:rPr>
          <w:lang w:val="es-ES"/>
        </w:rPr>
      </w:pPr>
      <w:proofErr w:type="spellStart"/>
      <w:r>
        <w:rPr>
          <w:sz w:val="26"/>
          <w:szCs w:val="26"/>
          <w:lang w:val="es-ES"/>
        </w:rPr>
        <w:t>Barberis</w:t>
      </w:r>
      <w:proofErr w:type="spellEnd"/>
      <w:r>
        <w:rPr>
          <w:sz w:val="26"/>
          <w:szCs w:val="26"/>
          <w:lang w:val="es-ES"/>
        </w:rPr>
        <w:t>, L.</w:t>
      </w:r>
      <w:r>
        <w:rPr>
          <w:sz w:val="26"/>
          <w:szCs w:val="26"/>
          <w:vertAlign w:val="superscript"/>
          <w:lang w:val="es-ES"/>
        </w:rPr>
        <w:t>1,2</w:t>
      </w:r>
      <w:r>
        <w:rPr>
          <w:sz w:val="26"/>
          <w:szCs w:val="26"/>
          <w:lang w:val="es-ES"/>
        </w:rPr>
        <w:t>, Simien, C.</w:t>
      </w:r>
      <w:r>
        <w:rPr>
          <w:sz w:val="26"/>
          <w:szCs w:val="26"/>
          <w:vertAlign w:val="superscript"/>
          <w:lang w:val="es-ES"/>
        </w:rPr>
        <w:t>4</w:t>
      </w:r>
      <w:r>
        <w:rPr>
          <w:sz w:val="26"/>
          <w:szCs w:val="26"/>
          <w:lang w:val="es-ES"/>
        </w:rPr>
        <w:t>, Marin, R.H.</w:t>
      </w:r>
      <w:r>
        <w:rPr>
          <w:vertAlign w:val="superscript"/>
          <w:lang w:val="es-ES"/>
        </w:rPr>
        <w:t xml:space="preserve"> 3-4</w:t>
      </w:r>
      <w:r>
        <w:rPr>
          <w:sz w:val="26"/>
          <w:szCs w:val="26"/>
          <w:lang w:val="es-ES"/>
        </w:rPr>
        <w:t xml:space="preserve">, </w:t>
      </w:r>
      <w:proofErr w:type="spellStart"/>
      <w:r>
        <w:rPr>
          <w:sz w:val="26"/>
          <w:szCs w:val="26"/>
          <w:lang w:val="es-ES"/>
        </w:rPr>
        <w:t>Kembro</w:t>
      </w:r>
      <w:proofErr w:type="spellEnd"/>
      <w:r>
        <w:rPr>
          <w:sz w:val="26"/>
          <w:szCs w:val="26"/>
          <w:lang w:val="es-ES"/>
        </w:rPr>
        <w:t>, J.M.</w:t>
      </w:r>
      <w:r>
        <w:rPr>
          <w:vertAlign w:val="superscript"/>
          <w:lang w:val="es-ES"/>
        </w:rPr>
        <w:t>3-4</w:t>
      </w:r>
    </w:p>
    <w:p w:rsidR="00BF305A" w:rsidRDefault="00BF305A" w:rsidP="00BF305A">
      <w:pPr>
        <w:spacing w:line="240" w:lineRule="auto"/>
        <w:ind w:left="0" w:firstLine="0"/>
        <w:jc w:val="both"/>
        <w:rPr>
          <w:lang w:val="es-ES"/>
        </w:rPr>
      </w:pPr>
      <w:r>
        <w:rPr>
          <w:vertAlign w:val="superscript"/>
          <w:lang w:val="es-ES"/>
        </w:rPr>
        <w:t xml:space="preserve">1 </w:t>
      </w:r>
      <w:r>
        <w:rPr>
          <w:lang w:val="es-ES"/>
        </w:rPr>
        <w:t>Universidad Nacional de Córdoba, Facultad de Matemática, Astronomía Física y Computación, Córdoba, Argentina.</w:t>
      </w:r>
    </w:p>
    <w:p w:rsidR="00BF305A" w:rsidRDefault="00BF305A" w:rsidP="00BF305A">
      <w:pPr>
        <w:spacing w:line="240" w:lineRule="auto"/>
        <w:ind w:left="0" w:firstLine="0"/>
        <w:jc w:val="both"/>
        <w:rPr>
          <w:lang w:val="es-ES"/>
        </w:rPr>
      </w:pPr>
      <w:r>
        <w:rPr>
          <w:vertAlign w:val="superscript"/>
          <w:lang w:val="es-ES"/>
        </w:rPr>
        <w:t>2</w:t>
      </w:r>
      <w:r>
        <w:rPr>
          <w:lang w:val="es-ES"/>
        </w:rPr>
        <w:t xml:space="preserve"> Consejo Nacional de Investigaciones Científicas y Técnicas (CONICET), Instituto de Física Enrique </w:t>
      </w:r>
      <w:proofErr w:type="spellStart"/>
      <w:r>
        <w:rPr>
          <w:lang w:val="es-ES"/>
        </w:rPr>
        <w:t>Gaviola</w:t>
      </w:r>
      <w:proofErr w:type="spellEnd"/>
      <w:r>
        <w:rPr>
          <w:lang w:val="es-ES"/>
        </w:rPr>
        <w:t xml:space="preserve"> (IFEG), Córdoba, Córdoba, Argentina.</w:t>
      </w:r>
    </w:p>
    <w:p w:rsidR="00BF305A" w:rsidRDefault="00BF305A" w:rsidP="00BF305A">
      <w:pPr>
        <w:spacing w:line="240" w:lineRule="auto"/>
        <w:ind w:left="0" w:firstLine="0"/>
        <w:jc w:val="both"/>
        <w:rPr>
          <w:lang w:val="es-ES"/>
        </w:rPr>
      </w:pPr>
      <w:r>
        <w:rPr>
          <w:vertAlign w:val="superscript"/>
          <w:lang w:val="es-ES"/>
        </w:rPr>
        <w:t xml:space="preserve">3 </w:t>
      </w:r>
      <w:r>
        <w:rPr>
          <w:lang w:val="es-ES"/>
        </w:rPr>
        <w:t>Consejo Nacional de Investigaciones Científicas y Técnicas (CONICET), Instituto de Investigaciones Biológicas y Tecnológicas (</w:t>
      </w:r>
      <w:proofErr w:type="spellStart"/>
      <w:r>
        <w:rPr>
          <w:lang w:val="es-ES"/>
        </w:rPr>
        <w:t>IIByT</w:t>
      </w:r>
      <w:proofErr w:type="spellEnd"/>
      <w:r>
        <w:rPr>
          <w:lang w:val="es-ES"/>
        </w:rPr>
        <w:t>), Córdoba, Córdoba, Argentina.</w:t>
      </w:r>
    </w:p>
    <w:p w:rsidR="00BF305A" w:rsidRDefault="00BF305A" w:rsidP="00BF305A">
      <w:pPr>
        <w:spacing w:line="240" w:lineRule="auto"/>
        <w:ind w:left="0" w:firstLine="0"/>
        <w:jc w:val="both"/>
        <w:rPr>
          <w:lang w:val="es-ES"/>
        </w:rPr>
      </w:pPr>
      <w:r>
        <w:rPr>
          <w:vertAlign w:val="superscript"/>
          <w:lang w:val="es-ES"/>
        </w:rPr>
        <w:t xml:space="preserve">4 </w:t>
      </w:r>
      <w:r>
        <w:rPr>
          <w:lang w:val="es-ES"/>
        </w:rPr>
        <w:t>Universidad Nacional de Córdoba, Facultad de Ciencias Exactas, Físicas y Naturales, Instituto de Ciencia y Tecnología de los Alimentos (ICTA), Córdoba, Córdoba, Argentina.</w:t>
      </w:r>
    </w:p>
    <w:p w:rsidR="00BF305A" w:rsidRDefault="00BF305A" w:rsidP="00BF305A">
      <w:pPr>
        <w:suppressAutoHyphens w:val="0"/>
        <w:ind w:left="0" w:firstLine="0"/>
        <w:jc w:val="center"/>
        <w:textAlignment w:val="auto"/>
        <w:rPr>
          <w:sz w:val="44"/>
          <w:szCs w:val="44"/>
        </w:rPr>
      </w:pPr>
    </w:p>
    <w:p w:rsidR="00BF305A" w:rsidRDefault="00BF305A" w:rsidP="00BF305A">
      <w:pPr>
        <w:suppressAutoHyphens w:val="0"/>
        <w:ind w:left="0" w:firstLine="0"/>
        <w:jc w:val="center"/>
        <w:textAlignment w:val="auto"/>
        <w:rPr>
          <w:sz w:val="44"/>
          <w:szCs w:val="44"/>
        </w:rPr>
      </w:pPr>
    </w:p>
    <w:p w:rsidR="00BF305A" w:rsidRDefault="00BF305A" w:rsidP="00BF305A">
      <w:pPr>
        <w:suppressAutoHyphens w:val="0"/>
        <w:ind w:left="0" w:firstLine="0"/>
        <w:jc w:val="center"/>
        <w:textAlignment w:val="auto"/>
        <w:rPr>
          <w:sz w:val="44"/>
          <w:szCs w:val="44"/>
        </w:rPr>
      </w:pPr>
    </w:p>
    <w:p w:rsidR="00BF305A" w:rsidRPr="00C20768" w:rsidRDefault="00BF305A" w:rsidP="00BF305A">
      <w:pPr>
        <w:suppressAutoHyphens w:val="0"/>
        <w:ind w:left="0" w:firstLine="0"/>
        <w:jc w:val="center"/>
        <w:textAlignment w:val="auto"/>
        <w:rPr>
          <w:sz w:val="44"/>
          <w:szCs w:val="44"/>
        </w:rPr>
      </w:pPr>
      <w:r w:rsidRPr="00C20768">
        <w:rPr>
          <w:sz w:val="44"/>
          <w:szCs w:val="44"/>
        </w:rPr>
        <w:t>Supplementary</w:t>
      </w:r>
      <w:r w:rsidR="00665ECA">
        <w:rPr>
          <w:sz w:val="44"/>
          <w:szCs w:val="44"/>
        </w:rPr>
        <w:t xml:space="preserve"> I</w:t>
      </w:r>
      <w:r w:rsidRPr="00C20768">
        <w:rPr>
          <w:sz w:val="44"/>
          <w:szCs w:val="44"/>
        </w:rPr>
        <w:t>nformation</w:t>
      </w:r>
      <w:r w:rsidRPr="00C20768">
        <w:rPr>
          <w:sz w:val="44"/>
          <w:szCs w:val="44"/>
        </w:rPr>
        <w:br w:type="page"/>
      </w:r>
    </w:p>
    <w:p w:rsidR="00BF305A" w:rsidRDefault="00BF305A" w:rsidP="00BF305A">
      <w:pPr>
        <w:suppressAutoHyphens w:val="0"/>
        <w:ind w:left="0" w:firstLine="0"/>
        <w:textAlignment w:val="auto"/>
      </w:pPr>
    </w:p>
    <w:p w:rsidR="00BF305A" w:rsidRDefault="00BF305A" w:rsidP="00BF305A">
      <w:pPr>
        <w:spacing w:line="360" w:lineRule="auto"/>
        <w:ind w:left="0" w:hanging="2"/>
        <w:jc w:val="both"/>
      </w:pPr>
    </w:p>
    <w:p w:rsidR="00BF305A" w:rsidRDefault="00BF305A" w:rsidP="00BF305A">
      <w:pPr>
        <w:spacing w:line="360" w:lineRule="auto"/>
        <w:ind w:left="0" w:hanging="2"/>
        <w:jc w:val="both"/>
      </w:pPr>
      <w:r>
        <w:rPr>
          <w:noProof/>
        </w:rPr>
        <w:drawing>
          <wp:inline distT="0" distB="0" distL="0" distR="0" wp14:anchorId="705CB4FE" wp14:editId="2F986232">
            <wp:extent cx="4044315" cy="3346450"/>
            <wp:effectExtent l="0" t="0" r="0" b="0"/>
            <wp:docPr id="13" name="image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2.jpg"/>
                    <pic:cNvPicPr>
                      <a:picLocks noChangeAspect="1" noChangeArrowheads="1"/>
                    </pic:cNvPicPr>
                  </pic:nvPicPr>
                  <pic:blipFill>
                    <a:blip r:embed="rId4"/>
                    <a:srcRect t="16790" r="20124"/>
                    <a:stretch>
                      <a:fillRect/>
                    </a:stretch>
                  </pic:blipFill>
                  <pic:spPr bwMode="auto">
                    <a:xfrm>
                      <a:off x="0" y="0"/>
                      <a:ext cx="4044315" cy="3346450"/>
                    </a:xfrm>
                    <a:prstGeom prst="rect">
                      <a:avLst/>
                    </a:prstGeom>
                  </pic:spPr>
                </pic:pic>
              </a:graphicData>
            </a:graphic>
          </wp:inline>
        </w:drawing>
      </w:r>
    </w:p>
    <w:p w:rsidR="00BF305A" w:rsidRDefault="00BF305A" w:rsidP="00BF305A">
      <w:pPr>
        <w:spacing w:line="360" w:lineRule="auto"/>
        <w:ind w:left="0" w:hanging="2"/>
        <w:jc w:val="both"/>
      </w:pPr>
    </w:p>
    <w:p w:rsidR="00BF305A" w:rsidRDefault="001D1065" w:rsidP="00BF305A">
      <w:pPr>
        <w:spacing w:line="240" w:lineRule="auto"/>
        <w:ind w:left="0" w:hanging="2"/>
        <w:jc w:val="both"/>
        <w:rPr>
          <w:rFonts w:ascii="Times New Roman" w:hAnsi="Times New Roman"/>
          <w:sz w:val="20"/>
          <w:szCs w:val="20"/>
          <w:lang w:val="en-150"/>
        </w:rPr>
      </w:pPr>
      <w:r w:rsidRPr="001D1065">
        <w:rPr>
          <w:b/>
        </w:rPr>
        <w:t xml:space="preserve">Supplementary Figure </w:t>
      </w:r>
      <w:r w:rsidR="00741B65">
        <w:rPr>
          <w:b/>
        </w:rPr>
        <w:t>S</w:t>
      </w:r>
      <w:r w:rsidRPr="001D1065">
        <w:rPr>
          <w:b/>
        </w:rPr>
        <w:t>1</w:t>
      </w:r>
      <w:r w:rsidR="00BF305A">
        <w:rPr>
          <w:b/>
        </w:rPr>
        <w:t>. Probability distribution of the duration (δ) of with (red) and without (blue) spatial displacement of a single individual sampled at 0.1 s</w:t>
      </w:r>
      <w:r w:rsidR="00BF305A">
        <w:t>. Note the overall similar shape as shown in Figure 3a and b for all birds combined.</w:t>
      </w:r>
      <w:r w:rsidR="00BF305A">
        <w:rPr>
          <w:sz w:val="20"/>
          <w:szCs w:val="20"/>
        </w:rPr>
        <w:t xml:space="preserve"> PDs are estimated as by counting the number of events that fall in the bin, divided by the bin width and the total number of observations</w:t>
      </w:r>
      <w:r w:rsidR="00BF305A">
        <w:rPr>
          <w:rFonts w:ascii="Times New Roman" w:hAnsi="Times New Roman"/>
          <w:sz w:val="20"/>
          <w:szCs w:val="20"/>
          <w:lang w:val="en-150"/>
        </w:rPr>
        <w:t>.</w:t>
      </w:r>
    </w:p>
    <w:p w:rsidR="00BF305A" w:rsidRDefault="00BF305A" w:rsidP="00BF305A">
      <w:pPr>
        <w:spacing w:line="360" w:lineRule="auto"/>
        <w:ind w:left="0" w:hanging="2"/>
        <w:jc w:val="both"/>
      </w:pPr>
    </w:p>
    <w:p w:rsidR="00BF305A" w:rsidRDefault="00BF305A" w:rsidP="00BF305A">
      <w:pPr>
        <w:ind w:left="0" w:hanging="2"/>
      </w:pPr>
      <w:r>
        <w:br w:type="page"/>
      </w:r>
    </w:p>
    <w:p w:rsidR="00BF305A" w:rsidRDefault="00BF305A" w:rsidP="00BF305A">
      <w:pPr>
        <w:spacing w:line="360" w:lineRule="auto"/>
        <w:ind w:left="0" w:hanging="2"/>
        <w:jc w:val="both"/>
        <w:rPr>
          <w:b/>
        </w:rPr>
      </w:pPr>
      <w:r>
        <w:rPr>
          <w:b/>
        </w:rPr>
        <w:lastRenderedPageBreak/>
        <w:t xml:space="preserve">Supplementary Note </w:t>
      </w:r>
      <w:r w:rsidR="00741B65">
        <w:rPr>
          <w:b/>
        </w:rPr>
        <w:t>S</w:t>
      </w:r>
      <w:r>
        <w:rPr>
          <w:b/>
        </w:rPr>
        <w:t>1. Power law distributions and exponential cut offs</w:t>
      </w:r>
    </w:p>
    <w:p w:rsidR="00BF305A" w:rsidRDefault="00BF305A" w:rsidP="00BF305A">
      <w:pPr>
        <w:spacing w:line="360" w:lineRule="auto"/>
        <w:ind w:left="0" w:hanging="2"/>
        <w:jc w:val="both"/>
      </w:pPr>
    </w:p>
    <w:p w:rsidR="00BF305A" w:rsidRDefault="00BF305A" w:rsidP="00BF305A">
      <w:pPr>
        <w:spacing w:line="360" w:lineRule="auto"/>
        <w:ind w:left="0" w:firstLine="720"/>
        <w:jc w:val="both"/>
      </w:pPr>
      <w:r>
        <w:t>Power law</w:t>
      </w:r>
      <w:r>
        <w:rPr>
          <w:rFonts w:ascii="Times New Roman" w:hAnsi="Times New Roman"/>
          <w:lang w:val="en-150"/>
        </w:rPr>
        <w:t xml:space="preserve"> </w:t>
      </w:r>
      <w:r>
        <w:t xml:space="preserve">distributions are mathematically described by the function </w:t>
      </w:r>
      <w:r>
        <w:rPr>
          <w:noProof/>
        </w:rPr>
        <w:drawing>
          <wp:inline distT="0" distB="0" distL="0" distR="0" wp14:anchorId="03FBDDA0" wp14:editId="70720536">
            <wp:extent cx="777240" cy="198120"/>
            <wp:effectExtent l="0" t="0" r="0" b="0"/>
            <wp:docPr id="14"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a:picLocks noChangeAspect="1" noChangeArrowheads="1"/>
                    </pic:cNvPicPr>
                  </pic:nvPicPr>
                  <pic:blipFill>
                    <a:blip r:embed="rId5"/>
                    <a:stretch>
                      <a:fillRect/>
                    </a:stretch>
                  </pic:blipFill>
                  <pic:spPr bwMode="auto">
                    <a:xfrm>
                      <a:off x="0" y="0"/>
                      <a:ext cx="777240" cy="198120"/>
                    </a:xfrm>
                    <a:prstGeom prst="rect">
                      <a:avLst/>
                    </a:prstGeom>
                  </pic:spPr>
                </pic:pic>
              </a:graphicData>
            </a:graphic>
          </wp:inline>
        </w:drawing>
      </w:r>
      <w:r>
        <w:rPr>
          <w:noProof/>
        </w:rPr>
        <w:drawing>
          <wp:inline distT="0" distB="0" distL="0" distR="0" wp14:anchorId="613ECA66" wp14:editId="40E7868B">
            <wp:extent cx="777240" cy="198120"/>
            <wp:effectExtent l="0" t="0" r="0" b="0"/>
            <wp:docPr id="1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7.png"/>
                    <pic:cNvPicPr>
                      <a:picLocks noChangeAspect="1" noChangeArrowheads="1"/>
                    </pic:cNvPicPr>
                  </pic:nvPicPr>
                  <pic:blipFill>
                    <a:blip r:embed="rId5"/>
                    <a:stretch>
                      <a:fillRect/>
                    </a:stretch>
                  </pic:blipFill>
                  <pic:spPr bwMode="auto">
                    <a:xfrm>
                      <a:off x="0" y="0"/>
                      <a:ext cx="777240" cy="198120"/>
                    </a:xfrm>
                    <a:prstGeom prst="rect">
                      <a:avLst/>
                    </a:prstGeom>
                  </pic:spPr>
                </pic:pic>
              </a:graphicData>
            </a:graphic>
          </wp:inline>
        </w:drawing>
      </w:r>
      <w:r>
        <w:t xml:space="preserve">, and predict that it is possible to observe events of any duration, being the larger ones the less probable. Since real systems are not infinite in size and limited by both sampling resolution and the duration of the experiment; extremely large or extremely short spanned events are not possible. This is the case of distributions in Figure 2 (Main </w:t>
      </w:r>
      <w:r>
        <w:rPr>
          <w:rFonts w:ascii="Times New Roman" w:hAnsi="Times New Roman"/>
          <w:lang w:val="en-150"/>
        </w:rPr>
        <w:t>T</w:t>
      </w:r>
      <w:proofErr w:type="spellStart"/>
      <w:r>
        <w:t>ext</w:t>
      </w:r>
      <w:proofErr w:type="spellEnd"/>
      <w:r>
        <w:t>). Such distribution is expected to fall faster after some value</w:t>
      </w:r>
      <w:r>
        <w:rPr>
          <w:i/>
        </w:rPr>
        <w:t xml:space="preserve">. </w:t>
      </w:r>
      <w:r>
        <w:t xml:space="preserve">In practice, this is achieved by multiplying the Power Law by an exponential function. i.e. </w:t>
      </w:r>
      <w:r>
        <w:rPr>
          <w:noProof/>
        </w:rPr>
        <w:drawing>
          <wp:inline distT="0" distB="0" distL="0" distR="0" wp14:anchorId="0D215406" wp14:editId="52A10F45">
            <wp:extent cx="1447800" cy="289560"/>
            <wp:effectExtent l="0" t="0" r="0" b="0"/>
            <wp:docPr id="16"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png"/>
                    <pic:cNvPicPr>
                      <a:picLocks noChangeAspect="1" noChangeArrowheads="1"/>
                    </pic:cNvPicPr>
                  </pic:nvPicPr>
                  <pic:blipFill>
                    <a:blip r:embed="rId6"/>
                    <a:stretch>
                      <a:fillRect/>
                    </a:stretch>
                  </pic:blipFill>
                  <pic:spPr bwMode="auto">
                    <a:xfrm>
                      <a:off x="0" y="0"/>
                      <a:ext cx="1447800" cy="289560"/>
                    </a:xfrm>
                    <a:prstGeom prst="rect">
                      <a:avLst/>
                    </a:prstGeom>
                  </pic:spPr>
                </pic:pic>
              </a:graphicData>
            </a:graphic>
          </wp:inline>
        </w:drawing>
      </w:r>
      <w:r>
        <w:rPr>
          <w:i/>
        </w:rPr>
        <w:t xml:space="preserve">. </w:t>
      </w:r>
      <w:r>
        <w:t xml:space="preserve">The value </w:t>
      </w:r>
      <w:r>
        <w:rPr>
          <w:noProof/>
        </w:rPr>
        <w:drawing>
          <wp:inline distT="0" distB="0" distL="0" distR="0" wp14:anchorId="07D3A08A" wp14:editId="5CC272C5">
            <wp:extent cx="160020" cy="190500"/>
            <wp:effectExtent l="0" t="0" r="0" b="0"/>
            <wp:docPr id="1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png"/>
                    <pic:cNvPicPr>
                      <a:picLocks noChangeAspect="1" noChangeArrowheads="1"/>
                    </pic:cNvPicPr>
                  </pic:nvPicPr>
                  <pic:blipFill>
                    <a:blip r:embed="rId7"/>
                    <a:stretch>
                      <a:fillRect/>
                    </a:stretch>
                  </pic:blipFill>
                  <pic:spPr bwMode="auto">
                    <a:xfrm>
                      <a:off x="0" y="0"/>
                      <a:ext cx="160020" cy="190500"/>
                    </a:xfrm>
                    <a:prstGeom prst="rect">
                      <a:avLst/>
                    </a:prstGeom>
                  </pic:spPr>
                </pic:pic>
              </a:graphicData>
            </a:graphic>
          </wp:inline>
        </w:drawing>
      </w:r>
      <w:r>
        <w:t xml:space="preserve">is a “characteristic value” that defines a “cut-off” that represents the largest event duration before the </w:t>
      </w:r>
      <w:r>
        <w:rPr>
          <w:rFonts w:ascii="Times New Roman" w:hAnsi="Times New Roman"/>
          <w:lang w:val="en-150"/>
        </w:rPr>
        <w:t>power law type distribution</w:t>
      </w:r>
      <w:r>
        <w:t xml:space="preserve"> is abandoned.</w:t>
      </w:r>
      <w:r>
        <w:rPr>
          <w:color w:val="222222"/>
        </w:rPr>
        <w:t xml:space="preserve"> </w:t>
      </w:r>
      <w:r>
        <w:rPr>
          <w:color w:val="222222"/>
          <w:highlight w:val="white"/>
        </w:rPr>
        <w:t>Interestingly,</w:t>
      </w:r>
      <w:r>
        <w:rPr>
          <w:highlight w:val="white"/>
        </w:rPr>
        <w:t xml:space="preserve"> </w:t>
      </w:r>
      <w:r>
        <w:t xml:space="preserve">in the distribution for immobility events in </w:t>
      </w:r>
      <w:r>
        <w:rPr>
          <w:rFonts w:ascii="Times New Roman" w:hAnsi="Times New Roman"/>
          <w:lang w:val="en-150"/>
        </w:rPr>
        <w:t>Figure 2c</w:t>
      </w:r>
      <w:r>
        <w:t xml:space="preserve">, the exponential cutoff is not observed for the range of time scales evaluated. Hence, the cutoff for the </w:t>
      </w:r>
      <w:r>
        <w:rPr>
          <w:rFonts w:ascii="Times New Roman" w:hAnsi="Times New Roman"/>
          <w:lang w:val="en-150"/>
        </w:rPr>
        <w:t>power law</w:t>
      </w:r>
      <w:r>
        <w:t xml:space="preserve"> most likely occurs at temporal scales larger than those evaluated herein, as has been observed previously in Guzman et al (2017). A complementary commonly used method for visualizing PL is the Cumulative Distribution (CD), which is provided for comparison in Figure S2. Just, note that linearity is also observed in the log-log plot of the CDF of durations of immobility events, providing further evidence of PL-type distributions.</w:t>
      </w:r>
    </w:p>
    <w:p w:rsidR="00BF305A" w:rsidRDefault="00BF305A" w:rsidP="00BF305A">
      <w:pPr>
        <w:spacing w:line="360" w:lineRule="auto"/>
        <w:ind w:left="0" w:firstLine="720"/>
        <w:jc w:val="both"/>
      </w:pPr>
      <w:r>
        <w:t xml:space="preserve">To summarize, the power law behavior of the duration of events without spatial displacement is consistent with the previously described properties of long-range correlations and scale invariance </w:t>
      </w:r>
      <w:r>
        <w:fldChar w:fldCharType="begin"/>
      </w:r>
      <w:r w:rsidRPr="00667D0E">
        <w:instrText>ADDIN EN.CITE</w:instrText>
      </w:r>
      <w:r>
        <w:fldChar w:fldCharType="end"/>
      </w:r>
      <w:bookmarkStart w:id="1" w:name="Bookmark97"/>
      <w:r>
        <w:fldChar w:fldCharType="begin"/>
      </w:r>
      <w:r>
        <w:instrText>ADDIN EN.CITE.DATA</w:instrText>
      </w:r>
      <w:r>
        <w:fldChar w:fldCharType="separate"/>
      </w:r>
      <w:bookmarkStart w:id="2" w:name="Bookmark881"/>
      <w:bookmarkStart w:id="3" w:name="Bookmark98"/>
      <w:bookmarkEnd w:id="1"/>
      <w:r>
        <w:rPr>
          <w:vertAlign w:val="superscript"/>
        </w:rPr>
        <w:t>9</w:t>
      </w:r>
      <w:bookmarkStart w:id="4" w:name="Bookmark871"/>
      <w:r>
        <w:rPr>
          <w:vertAlign w:val="superscript"/>
        </w:rPr>
        <w:t>-11,19,29</w:t>
      </w:r>
      <w:r>
        <w:fldChar w:fldCharType="end"/>
      </w:r>
      <w:bookmarkEnd w:id="2"/>
      <w:bookmarkEnd w:id="3"/>
      <w:bookmarkEnd w:id="4"/>
      <w:r>
        <w:t xml:space="preserve">. Specifically, scale invariance implies that the same pattern is observed independently of the temporal scale of observation. Hence, the sampling interval used (within reasonable limits) does not affect the scaling properties (i.e. linearity in the double logarithmic plot or slope) as observed in Figure 2C. Conversely, since the probability distribution of the duration of with spatial displacement events not a power law, but rather presents an exponential cutoff, it is evidently affected by the temporal scale of observation with important consequences. Since 1 s sampling interval is very close to the exponential cutoff, overestimation occurs and caution is needed when extrapolations are considered. </w:t>
      </w:r>
    </w:p>
    <w:p w:rsidR="00BF305A" w:rsidRDefault="00BF305A" w:rsidP="00BF305A">
      <w:pPr>
        <w:spacing w:line="360" w:lineRule="auto"/>
        <w:ind w:left="0" w:hanging="2"/>
        <w:jc w:val="both"/>
      </w:pPr>
    </w:p>
    <w:p w:rsidR="00BF305A" w:rsidRDefault="00BF305A" w:rsidP="00BF305A">
      <w:pPr>
        <w:ind w:left="1" w:hanging="3"/>
        <w:rPr>
          <w:color w:val="434343"/>
          <w:sz w:val="28"/>
          <w:szCs w:val="28"/>
        </w:rPr>
      </w:pPr>
    </w:p>
    <w:p w:rsidR="00BF305A" w:rsidRDefault="00BF305A" w:rsidP="00BF305A">
      <w:pPr>
        <w:keepNext/>
        <w:keepLines/>
        <w:spacing w:before="320" w:after="80"/>
        <w:ind w:left="1" w:hanging="3"/>
        <w:rPr>
          <w:color w:val="434343"/>
          <w:sz w:val="28"/>
          <w:szCs w:val="28"/>
        </w:rPr>
      </w:pPr>
      <w:r>
        <w:rPr>
          <w:color w:val="434343"/>
          <w:sz w:val="28"/>
          <w:szCs w:val="28"/>
        </w:rPr>
        <w:lastRenderedPageBreak/>
        <w:t>Supplementary  Figure 1</w:t>
      </w:r>
      <w:r>
        <w:rPr>
          <w:noProof/>
        </w:rPr>
        <w:drawing>
          <wp:inline distT="0" distB="0" distL="0" distR="0" wp14:anchorId="2AB9E8F4" wp14:editId="392A9602">
            <wp:extent cx="5730875" cy="2372995"/>
            <wp:effectExtent l="0" t="0" r="0" b="0"/>
            <wp:docPr id="18" name="image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5.jpg"/>
                    <pic:cNvPicPr>
                      <a:picLocks noChangeAspect="1" noChangeArrowheads="1"/>
                    </pic:cNvPicPr>
                  </pic:nvPicPr>
                  <pic:blipFill>
                    <a:blip r:embed="rId8"/>
                    <a:srcRect t="5626"/>
                    <a:stretch>
                      <a:fillRect/>
                    </a:stretch>
                  </pic:blipFill>
                  <pic:spPr bwMode="auto">
                    <a:xfrm>
                      <a:off x="0" y="0"/>
                      <a:ext cx="5730875" cy="2372995"/>
                    </a:xfrm>
                    <a:prstGeom prst="rect">
                      <a:avLst/>
                    </a:prstGeom>
                  </pic:spPr>
                </pic:pic>
              </a:graphicData>
            </a:graphic>
          </wp:inline>
        </w:drawing>
      </w:r>
    </w:p>
    <w:p w:rsidR="00BF305A" w:rsidRDefault="001D1065" w:rsidP="00BF305A">
      <w:pPr>
        <w:spacing w:line="360" w:lineRule="auto"/>
        <w:ind w:left="0" w:hanging="2"/>
        <w:jc w:val="both"/>
      </w:pPr>
      <w:r>
        <w:rPr>
          <w:b/>
        </w:rPr>
        <w:t xml:space="preserve">Supplementary Figure </w:t>
      </w:r>
      <w:r w:rsidR="00741B65">
        <w:rPr>
          <w:b/>
        </w:rPr>
        <w:t>S</w:t>
      </w:r>
      <w:r w:rsidR="00BF305A">
        <w:rPr>
          <w:b/>
        </w:rPr>
        <w:t>2: Complementary cumulative functions of the same probability distributions shown in Figure 2 for both sampling rates. Thick lines highlight fittings.</w:t>
      </w:r>
      <w:r w:rsidR="00BF305A">
        <w:t xml:space="preserve">  A) With displacement events show exponential cutoff. At higher exponential sampling the cutoff shift to the left. B) Without spatial displacement events show a power law distribution with exponent  </w:t>
      </w:r>
      <w:r w:rsidR="00BF305A">
        <w:rPr>
          <w:noProof/>
        </w:rPr>
        <w:drawing>
          <wp:inline distT="0" distB="0" distL="0" distR="0" wp14:anchorId="31C99B80" wp14:editId="1E5F5000">
            <wp:extent cx="335280" cy="190500"/>
            <wp:effectExtent l="0" t="0" r="0" b="0"/>
            <wp:docPr id="1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1.png"/>
                    <pic:cNvPicPr>
                      <a:picLocks noChangeAspect="1" noChangeArrowheads="1"/>
                    </pic:cNvPicPr>
                  </pic:nvPicPr>
                  <pic:blipFill>
                    <a:blip r:embed="rId9"/>
                    <a:stretch>
                      <a:fillRect/>
                    </a:stretch>
                  </pic:blipFill>
                  <pic:spPr bwMode="auto">
                    <a:xfrm>
                      <a:off x="0" y="0"/>
                      <a:ext cx="335280" cy="190500"/>
                    </a:xfrm>
                    <a:prstGeom prst="rect">
                      <a:avLst/>
                    </a:prstGeom>
                  </pic:spPr>
                </pic:pic>
              </a:graphicData>
            </a:graphic>
          </wp:inline>
        </w:drawing>
      </w:r>
      <w:r w:rsidR="00BF305A">
        <w:t xml:space="preserve">.  Note the enlargement of the tail at a higher sampling frequency. Mathematical expressions and developments for CD’s are presented in </w:t>
      </w:r>
      <w:proofErr w:type="spellStart"/>
      <w:r w:rsidR="00BF305A">
        <w:t>Kembro</w:t>
      </w:r>
      <w:proofErr w:type="spellEnd"/>
      <w:r w:rsidR="00BF305A">
        <w:t xml:space="preserve"> et al, (2019; Supplementary Material) and considerations are taken into account when applied to the biological time series explored in </w:t>
      </w:r>
      <w:proofErr w:type="spellStart"/>
      <w:r w:rsidR="00BF305A">
        <w:t>Flesia</w:t>
      </w:r>
      <w:proofErr w:type="spellEnd"/>
      <w:r w:rsidR="00BF305A">
        <w:t xml:space="preserve"> et al. (2022) </w:t>
      </w:r>
      <w:r w:rsidR="00BF305A">
        <w:fldChar w:fldCharType="begin"/>
      </w:r>
      <w:r w:rsidR="00BF305A">
        <w:instrText>ADDIN EN.CITE &lt;EndNote&gt;&lt;Cite&gt;&lt;Author&gt;Flesia&lt;/Author&gt;&lt;Year&gt;2022&lt;/Year&gt;&lt;RecNum&gt;951&lt;/RecNum&gt;&lt;DisplayText&gt;&lt;style face="superscript"&gt;58&lt;/style&gt;&lt;/DisplayText&gt;&lt;record&gt;&lt;rec-number&gt;951&lt;/rec-number&gt;&lt;foreign-keys&gt;&lt;key app="EN" db-id="de5dsvd0mp5xaie55a5vpavpzfwtvvfv2pst" timestamp="1650366530"&gt;951&lt;/key&gt;&lt;/foreign-keys&gt;&lt;ref-type name="Book Section"&gt;5&lt;/ref-type&gt;&lt;contributors&gt;&lt;authors&gt;&lt;author&gt;Ana Georgina Flesia&lt;/author&gt;&lt;author&gt;Paula Sofia Nieto&lt;/author&gt;&lt;author&gt;Miguel A. Aon&lt;/author&gt;&lt;author&gt;Jackelyn Melissa Kembro&lt;/author&gt;&lt;/authors&gt;&lt;secondary-authors&gt;&lt;author&gt;Cortassa, S.&lt;/author&gt;&lt;author&gt;Aon, M. A.&lt;/author&gt;&lt;/secondary-authors&gt;&lt;/contributors&gt;&lt;titles&gt;&lt;title&gt;Computational Approaches and Tools as Applied to the Study of Rhythms and Chaos in Biology&lt;/title&gt;&lt;secondary-title&gt;Computational Systems Biology in Medicine and Biotechnology: Methods and Protocols&lt;/secondary-title&gt;&lt;tertiary-title&gt;Methods in Molecular Biology&lt;/tertiary-title&gt;&lt;/titles&gt;&lt;pages&gt;493&lt;/pages&gt;&lt;edition&gt;1st&lt;/edition&gt;&lt;section&gt;13&lt;/section&gt;&lt;dates&gt;&lt;year&gt;2022&lt;/year&gt;&lt;/dates&gt;&lt;pub-location&gt;New York&lt;/pub-location&gt;&lt;publisher&gt;Springer-Verlag New York Inc.&lt;/publisher&gt;&lt;isbn&gt;107161830X&lt;/isbn&gt;&lt;urls&gt;&lt;/urls&gt;&lt;/record&gt;&lt;/Cite&gt;&lt;/EndNote&gt;</w:instrText>
      </w:r>
      <w:r w:rsidR="00BF305A">
        <w:fldChar w:fldCharType="separate"/>
      </w:r>
      <w:bookmarkStart w:id="5" w:name="Bookmark99"/>
      <w:r w:rsidR="00BF305A">
        <w:rPr>
          <w:vertAlign w:val="superscript"/>
        </w:rPr>
        <w:t>5</w:t>
      </w:r>
      <w:bookmarkStart w:id="6" w:name="Bookmark891"/>
      <w:r w:rsidR="00BF305A">
        <w:rPr>
          <w:vertAlign w:val="superscript"/>
        </w:rPr>
        <w:t>8</w:t>
      </w:r>
      <w:r w:rsidR="00BF305A">
        <w:fldChar w:fldCharType="end"/>
      </w:r>
      <w:bookmarkEnd w:id="5"/>
      <w:bookmarkEnd w:id="6"/>
    </w:p>
    <w:p w:rsidR="00BF305A" w:rsidRPr="00C20768" w:rsidRDefault="00BF305A" w:rsidP="00BF305A">
      <w:pPr>
        <w:suppressAutoHyphens w:val="0"/>
        <w:ind w:left="0" w:firstLine="0"/>
        <w:textAlignment w:val="auto"/>
        <w:rPr>
          <w:highlight w:val="yellow"/>
        </w:rPr>
      </w:pPr>
      <w:r>
        <w:br w:type="page"/>
      </w:r>
    </w:p>
    <w:p w:rsidR="00BF305A" w:rsidRDefault="00BF305A" w:rsidP="00BF305A">
      <w:pPr>
        <w:spacing w:after="160" w:line="360" w:lineRule="auto"/>
        <w:ind w:left="0" w:hanging="2"/>
        <w:jc w:val="both"/>
      </w:pPr>
      <w:r>
        <w:rPr>
          <w:b/>
        </w:rPr>
        <w:lastRenderedPageBreak/>
        <w:t xml:space="preserve">Supplementary Table </w:t>
      </w:r>
      <w:r w:rsidR="00741B65">
        <w:rPr>
          <w:b/>
        </w:rPr>
        <w:t>S</w:t>
      </w:r>
      <w:r>
        <w:rPr>
          <w:rFonts w:eastAsia="Times New Roman"/>
          <w:b/>
        </w:rPr>
        <w:t>1</w:t>
      </w:r>
      <w:r>
        <w:rPr>
          <w:b/>
        </w:rPr>
        <w:t xml:space="preserve">. </w:t>
      </w:r>
      <w:r>
        <w:t>Definition of behavioral variables recorded in social groups using ANY-maze</w:t>
      </w:r>
      <w:sdt>
        <w:sdtPr>
          <w:id w:val="666131958"/>
        </w:sdtPr>
        <w:sdtEndPr/>
        <w:sdtContent>
          <w:r>
            <w:t xml:space="preserve"> ™ </w:t>
          </w:r>
        </w:sdtContent>
      </w:sdt>
    </w:p>
    <w:tbl>
      <w:tblPr>
        <w:tblW w:w="8179" w:type="dxa"/>
        <w:tblCellMar>
          <w:top w:w="15" w:type="dxa"/>
          <w:left w:w="15" w:type="dxa"/>
          <w:right w:w="15" w:type="dxa"/>
        </w:tblCellMar>
        <w:tblLook w:val="0000" w:firstRow="0" w:lastRow="0" w:firstColumn="0" w:lastColumn="0" w:noHBand="0" w:noVBand="0"/>
      </w:tblPr>
      <w:tblGrid>
        <w:gridCol w:w="222"/>
        <w:gridCol w:w="27"/>
        <w:gridCol w:w="1628"/>
        <w:gridCol w:w="690"/>
        <w:gridCol w:w="5612"/>
      </w:tblGrid>
      <w:tr w:rsidR="00BF305A" w:rsidTr="008022A9">
        <w:trPr>
          <w:trHeight w:val="300"/>
        </w:trPr>
        <w:tc>
          <w:tcPr>
            <w:tcW w:w="1876" w:type="dxa"/>
            <w:gridSpan w:val="3"/>
            <w:tcBorders>
              <w:top w:val="single" w:sz="4" w:space="0" w:color="000000"/>
              <w:bottom w:val="single" w:sz="4" w:space="0" w:color="000000"/>
            </w:tcBorders>
            <w:shd w:val="clear" w:color="auto" w:fill="auto"/>
          </w:tcPr>
          <w:p w:rsidR="00BF305A" w:rsidRDefault="00BF305A" w:rsidP="008022A9">
            <w:pPr>
              <w:spacing w:line="360" w:lineRule="auto"/>
              <w:ind w:left="0" w:hanging="2"/>
              <w:jc w:val="both"/>
              <w:rPr>
                <w:sz w:val="20"/>
                <w:szCs w:val="20"/>
              </w:rPr>
            </w:pPr>
            <w:r>
              <w:rPr>
                <w:b/>
                <w:smallCaps/>
                <w:sz w:val="20"/>
                <w:szCs w:val="20"/>
              </w:rPr>
              <w:t xml:space="preserve">VARIABLE </w:t>
            </w:r>
          </w:p>
        </w:tc>
        <w:tc>
          <w:tcPr>
            <w:tcW w:w="6303" w:type="dxa"/>
            <w:gridSpan w:val="2"/>
            <w:tcBorders>
              <w:top w:val="single" w:sz="4" w:space="0" w:color="000000"/>
              <w:bottom w:val="single" w:sz="4" w:space="0" w:color="000000"/>
            </w:tcBorders>
            <w:shd w:val="clear" w:color="auto" w:fill="auto"/>
          </w:tcPr>
          <w:p w:rsidR="00BF305A" w:rsidRDefault="00BF305A" w:rsidP="008022A9">
            <w:pPr>
              <w:spacing w:line="360" w:lineRule="auto"/>
              <w:ind w:left="0" w:hanging="2"/>
              <w:jc w:val="both"/>
              <w:rPr>
                <w:sz w:val="20"/>
                <w:szCs w:val="20"/>
              </w:rPr>
            </w:pPr>
            <w:r>
              <w:rPr>
                <w:b/>
                <w:smallCaps/>
                <w:sz w:val="20"/>
                <w:szCs w:val="20"/>
              </w:rPr>
              <w:t>DEFINITION</w:t>
            </w:r>
          </w:p>
        </w:tc>
      </w:tr>
      <w:tr w:rsidR="00BF305A" w:rsidTr="008022A9">
        <w:trPr>
          <w:trHeight w:val="510"/>
        </w:trPr>
        <w:tc>
          <w:tcPr>
            <w:tcW w:w="247" w:type="dxa"/>
            <w:gridSpan w:val="2"/>
            <w:tcBorders>
              <w:top w:val="single" w:sz="4" w:space="0" w:color="000000"/>
            </w:tcBorders>
            <w:shd w:val="clear" w:color="auto" w:fill="auto"/>
            <w:vAlign w:val="center"/>
          </w:tcPr>
          <w:p w:rsidR="00BF305A" w:rsidRDefault="00BF305A" w:rsidP="008022A9">
            <w:pPr>
              <w:spacing w:line="360" w:lineRule="auto"/>
              <w:ind w:left="0" w:hanging="2"/>
              <w:jc w:val="both"/>
              <w:rPr>
                <w:sz w:val="20"/>
                <w:szCs w:val="20"/>
              </w:rPr>
            </w:pPr>
          </w:p>
        </w:tc>
        <w:tc>
          <w:tcPr>
            <w:tcW w:w="2319" w:type="dxa"/>
            <w:gridSpan w:val="2"/>
            <w:tcBorders>
              <w:top w:val="single" w:sz="4" w:space="0" w:color="000000"/>
            </w:tcBorders>
            <w:shd w:val="clear" w:color="auto" w:fill="auto"/>
          </w:tcPr>
          <w:p w:rsidR="00BF305A" w:rsidRDefault="00BF305A" w:rsidP="008022A9">
            <w:pPr>
              <w:spacing w:line="360" w:lineRule="auto"/>
              <w:ind w:left="0" w:hanging="2"/>
              <w:jc w:val="both"/>
              <w:rPr>
                <w:sz w:val="20"/>
                <w:szCs w:val="20"/>
              </w:rPr>
            </w:pPr>
            <w:r>
              <w:rPr>
                <w:sz w:val="20"/>
                <w:szCs w:val="20"/>
              </w:rPr>
              <w:t>Peck</w:t>
            </w:r>
          </w:p>
        </w:tc>
        <w:tc>
          <w:tcPr>
            <w:tcW w:w="5613" w:type="dxa"/>
            <w:tcBorders>
              <w:top w:val="single" w:sz="4" w:space="0" w:color="000000"/>
            </w:tcBorders>
            <w:shd w:val="clear" w:color="auto" w:fill="auto"/>
            <w:vAlign w:val="center"/>
          </w:tcPr>
          <w:p w:rsidR="00BF305A" w:rsidRDefault="00BF305A" w:rsidP="008022A9">
            <w:pPr>
              <w:spacing w:line="360" w:lineRule="auto"/>
              <w:ind w:left="0" w:hanging="2"/>
              <w:jc w:val="both"/>
              <w:rPr>
                <w:sz w:val="20"/>
                <w:szCs w:val="20"/>
              </w:rPr>
            </w:pPr>
            <w:r>
              <w:rPr>
                <w:sz w:val="20"/>
                <w:szCs w:val="20"/>
              </w:rPr>
              <w:t>When one bird raises its head and vigorously pecks the other bird’s body.</w:t>
            </w:r>
          </w:p>
        </w:tc>
      </w:tr>
      <w:tr w:rsidR="00BF305A" w:rsidTr="008022A9">
        <w:trPr>
          <w:cantSplit/>
          <w:trHeight w:val="510"/>
        </w:trPr>
        <w:tc>
          <w:tcPr>
            <w:tcW w:w="220" w:type="dxa"/>
            <w:vMerge w:val="restart"/>
            <w:shd w:val="clear" w:color="auto" w:fill="auto"/>
            <w:tcMar>
              <w:top w:w="0" w:type="dxa"/>
              <w:left w:w="108" w:type="dxa"/>
              <w:right w:w="108" w:type="dxa"/>
            </w:tcMar>
            <w:vAlign w:val="center"/>
          </w:tcPr>
          <w:p w:rsidR="00BF305A" w:rsidRDefault="00BF305A" w:rsidP="008022A9">
            <w:pPr>
              <w:spacing w:line="360" w:lineRule="auto"/>
              <w:ind w:left="0" w:hanging="2"/>
              <w:jc w:val="both"/>
              <w:rPr>
                <w:sz w:val="20"/>
                <w:szCs w:val="20"/>
              </w:rPr>
            </w:pPr>
          </w:p>
        </w:tc>
        <w:tc>
          <w:tcPr>
            <w:tcW w:w="2346" w:type="dxa"/>
            <w:gridSpan w:val="3"/>
            <w:shd w:val="clear" w:color="auto" w:fill="auto"/>
          </w:tcPr>
          <w:p w:rsidR="00BF305A" w:rsidRDefault="00BF305A" w:rsidP="008022A9">
            <w:pPr>
              <w:spacing w:line="360" w:lineRule="auto"/>
              <w:ind w:left="0" w:hanging="2"/>
              <w:jc w:val="both"/>
              <w:rPr>
                <w:sz w:val="20"/>
                <w:szCs w:val="20"/>
              </w:rPr>
            </w:pPr>
            <w:r>
              <w:rPr>
                <w:sz w:val="20"/>
                <w:szCs w:val="20"/>
              </w:rPr>
              <w:t>Grabs</w:t>
            </w:r>
          </w:p>
        </w:tc>
        <w:tc>
          <w:tcPr>
            <w:tcW w:w="5613" w:type="dxa"/>
            <w:shd w:val="clear" w:color="auto" w:fill="auto"/>
            <w:vAlign w:val="center"/>
          </w:tcPr>
          <w:p w:rsidR="00BF305A" w:rsidRDefault="00BF305A" w:rsidP="008022A9">
            <w:pPr>
              <w:spacing w:line="360" w:lineRule="auto"/>
              <w:ind w:left="0" w:hanging="2"/>
              <w:jc w:val="both"/>
              <w:rPr>
                <w:sz w:val="20"/>
                <w:szCs w:val="20"/>
              </w:rPr>
            </w:pPr>
            <w:r>
              <w:rPr>
                <w:sz w:val="20"/>
                <w:szCs w:val="20"/>
              </w:rPr>
              <w:t>When a bird catches (“grabs”) with their beak the neck or head region of the other bird.</w:t>
            </w:r>
          </w:p>
        </w:tc>
      </w:tr>
      <w:tr w:rsidR="00BF305A" w:rsidTr="008022A9">
        <w:trPr>
          <w:cantSplit/>
          <w:trHeight w:val="809"/>
        </w:trPr>
        <w:tc>
          <w:tcPr>
            <w:tcW w:w="220" w:type="dxa"/>
            <w:vMerge/>
            <w:shd w:val="clear" w:color="auto" w:fill="auto"/>
            <w:tcMar>
              <w:top w:w="0" w:type="dxa"/>
              <w:left w:w="108" w:type="dxa"/>
              <w:right w:w="108" w:type="dxa"/>
            </w:tcMar>
            <w:vAlign w:val="center"/>
          </w:tcPr>
          <w:p w:rsidR="00BF305A" w:rsidRDefault="00BF305A" w:rsidP="008022A9">
            <w:pPr>
              <w:widowControl w:val="0"/>
              <w:ind w:left="0" w:hanging="2"/>
              <w:rPr>
                <w:sz w:val="20"/>
                <w:szCs w:val="20"/>
              </w:rPr>
            </w:pPr>
          </w:p>
        </w:tc>
        <w:tc>
          <w:tcPr>
            <w:tcW w:w="2346" w:type="dxa"/>
            <w:gridSpan w:val="3"/>
            <w:shd w:val="clear" w:color="auto" w:fill="auto"/>
          </w:tcPr>
          <w:p w:rsidR="00BF305A" w:rsidRDefault="00BF305A" w:rsidP="008022A9">
            <w:pPr>
              <w:spacing w:line="360" w:lineRule="auto"/>
              <w:ind w:left="0" w:hanging="2"/>
              <w:jc w:val="both"/>
              <w:rPr>
                <w:sz w:val="20"/>
                <w:szCs w:val="20"/>
              </w:rPr>
            </w:pPr>
            <w:r>
              <w:rPr>
                <w:sz w:val="20"/>
                <w:szCs w:val="20"/>
              </w:rPr>
              <w:t>Mount</w:t>
            </w:r>
          </w:p>
        </w:tc>
        <w:tc>
          <w:tcPr>
            <w:tcW w:w="5613" w:type="dxa"/>
            <w:shd w:val="clear" w:color="auto" w:fill="auto"/>
            <w:vAlign w:val="center"/>
          </w:tcPr>
          <w:p w:rsidR="00BF305A" w:rsidRDefault="00BF305A" w:rsidP="008022A9">
            <w:pPr>
              <w:spacing w:line="360" w:lineRule="auto"/>
              <w:ind w:left="0" w:hanging="2"/>
              <w:jc w:val="both"/>
            </w:pPr>
            <w:r>
              <w:rPr>
                <w:sz w:val="20"/>
                <w:szCs w:val="20"/>
              </w:rPr>
              <w:t>While performing a grab, the bird approaches the other bird from behind, and places both feet on the dorsal surface of its torso, stepping over the other bird's tail (adapted from</w:t>
            </w:r>
            <w:r>
              <w:t xml:space="preserve"> </w:t>
            </w:r>
            <w:r>
              <w:fldChar w:fldCharType="begin"/>
            </w:r>
            <w:r>
              <w:instrText>ADDIN EN.CITE &lt;EndNote&gt;&lt;Cite&gt;&lt;Author&gt;McGary&lt;/Author&gt;&lt;Year&gt;2003&lt;/Year&gt;&lt;RecNum&gt;424&lt;/RecNum&gt;&lt;DisplayText&gt;&lt;style face="superscript"&gt;55&lt;/style&gt;&lt;/DisplayText&gt;&lt;record&gt;&lt;rec-number&gt;424&lt;/rec-number&gt;&lt;foreign-keys&gt;&lt;key app="EN" db-id="de5dsvd0mp5xaie55a5vpavpzfwtvvfv2pst" timestamp="1532439005"&gt;424&lt;/key&gt;&lt;/foreign-keys&gt;&lt;ref-type name="Journal Article"&gt;17&lt;/ref-type&gt;&lt;contributors&gt;&lt;authors&gt;&lt;author&gt;McGary, S.&lt;/author&gt;&lt;author&gt;I Estevez&lt;/author&gt;&lt;author&gt;E. Russek-Cohen&lt;/author&gt;&lt;/authors&gt;&lt;/contributors&gt;&lt;titles&gt;&lt;title&gt;Reproductive and aggressive behavior in male broiler breeders with varying fertility&lt;/title&gt;&lt;secondary-title&gt;Appl Anim Behav Sci&lt;/secondary-title&gt;&lt;/titles&gt;&lt;periodical&gt;&lt;full-title&gt;Appl Anim Behav Sci&lt;/full-title&gt;&lt;/periodical&gt;&lt;pages&gt;29-44&lt;/pages&gt;&lt;volume&gt;82&lt;/volume&gt;&lt;dates&gt;&lt;year&gt;2003&lt;/year&gt;&lt;/dates&gt;&lt;urls&gt;&lt;/urls&gt;&lt;/record&gt;&lt;/Cite&gt;&lt;/EndNote&gt;</w:instrText>
            </w:r>
            <w:r>
              <w:fldChar w:fldCharType="separate"/>
            </w:r>
            <w:bookmarkStart w:id="7" w:name="Bookmark100"/>
            <w:r>
              <w:rPr>
                <w:sz w:val="20"/>
                <w:szCs w:val="20"/>
                <w:vertAlign w:val="superscript"/>
              </w:rPr>
              <w:t>5</w:t>
            </w:r>
            <w:bookmarkStart w:id="8" w:name="Bookmark901"/>
            <w:r>
              <w:rPr>
                <w:sz w:val="20"/>
                <w:szCs w:val="20"/>
                <w:vertAlign w:val="superscript"/>
              </w:rPr>
              <w:t>5</w:t>
            </w:r>
            <w:r>
              <w:fldChar w:fldCharType="end"/>
            </w:r>
            <w:bookmarkEnd w:id="7"/>
            <w:bookmarkEnd w:id="8"/>
            <w:r>
              <w:rPr>
                <w:sz w:val="20"/>
                <w:szCs w:val="20"/>
              </w:rPr>
              <w:t>).</w:t>
            </w:r>
          </w:p>
        </w:tc>
      </w:tr>
      <w:tr w:rsidR="00BF305A" w:rsidTr="008022A9">
        <w:trPr>
          <w:cantSplit/>
          <w:trHeight w:val="510"/>
        </w:trPr>
        <w:tc>
          <w:tcPr>
            <w:tcW w:w="220" w:type="dxa"/>
            <w:vMerge/>
            <w:shd w:val="clear" w:color="auto" w:fill="auto"/>
            <w:tcMar>
              <w:top w:w="0" w:type="dxa"/>
              <w:left w:w="108" w:type="dxa"/>
              <w:right w:w="108" w:type="dxa"/>
            </w:tcMar>
            <w:vAlign w:val="center"/>
          </w:tcPr>
          <w:p w:rsidR="00BF305A" w:rsidRDefault="00BF305A" w:rsidP="008022A9">
            <w:pPr>
              <w:widowControl w:val="0"/>
              <w:ind w:left="0" w:hanging="2"/>
              <w:rPr>
                <w:sz w:val="20"/>
                <w:szCs w:val="20"/>
              </w:rPr>
            </w:pPr>
          </w:p>
        </w:tc>
        <w:tc>
          <w:tcPr>
            <w:tcW w:w="2346" w:type="dxa"/>
            <w:gridSpan w:val="3"/>
            <w:shd w:val="clear" w:color="auto" w:fill="auto"/>
          </w:tcPr>
          <w:p w:rsidR="00BF305A" w:rsidRDefault="00BF305A" w:rsidP="008022A9">
            <w:pPr>
              <w:spacing w:line="360" w:lineRule="auto"/>
              <w:ind w:left="0" w:hanging="2"/>
              <w:jc w:val="both"/>
              <w:rPr>
                <w:sz w:val="20"/>
                <w:szCs w:val="20"/>
              </w:rPr>
            </w:pPr>
            <w:r>
              <w:rPr>
                <w:sz w:val="20"/>
                <w:szCs w:val="20"/>
              </w:rPr>
              <w:t>Cloacal contact</w:t>
            </w:r>
          </w:p>
        </w:tc>
        <w:tc>
          <w:tcPr>
            <w:tcW w:w="5613" w:type="dxa"/>
            <w:shd w:val="clear" w:color="auto" w:fill="auto"/>
            <w:vAlign w:val="center"/>
          </w:tcPr>
          <w:p w:rsidR="00BF305A" w:rsidRDefault="00BF305A" w:rsidP="008022A9">
            <w:pPr>
              <w:spacing w:line="360" w:lineRule="auto"/>
              <w:ind w:left="0" w:hanging="2"/>
              <w:jc w:val="both"/>
            </w:pPr>
            <w:r>
              <w:rPr>
                <w:sz w:val="20"/>
                <w:szCs w:val="20"/>
              </w:rPr>
              <w:t xml:space="preserve">During mounting, the bird lifts his tail and tilts his pelvis underneath the other bird, and briefly presses its cloaca against the other bird (adapted from </w:t>
            </w:r>
            <w:r>
              <w:fldChar w:fldCharType="begin"/>
            </w:r>
            <w:r>
              <w:rPr>
                <w:sz w:val="20"/>
                <w:szCs w:val="20"/>
              </w:rPr>
              <w:instrText>ADDIN EN.CITE &lt;EndNote&gt;&lt;Cite&gt;&lt;Author&gt;McGary&lt;/Author&gt;&lt;Year&gt;2003&lt;/Year&gt;&lt;RecNum&gt;424&lt;/RecNum&gt;&lt;DisplayText&gt;&lt;style face="superscript"&gt;55&lt;/style&gt;&lt;/DisplayText&gt;&lt;record&gt;&lt;rec-number&gt;424&lt;/rec-number&gt;&lt;foreign-keys&gt;&lt;key app="EN" db-id="de5dsvd0mp5xaie55a5vpavpzfwtvvfv2pst" timestamp="1532439005"&gt;424&lt;/key&gt;&lt;/foreign-keys&gt;&lt;ref-type name="Journal Article"&gt;17&lt;/ref-type&gt;&lt;contributors&gt;&lt;authors&gt;&lt;author&gt;McGary, S.&lt;/author&gt;&lt;author&gt;I Estevez&lt;/author&gt;&lt;author&gt;E. Russek-Cohen&lt;/author&gt;&lt;/authors&gt;&lt;/contributors&gt;&lt;titles&gt;&lt;title&gt;Reproductive and aggressive behavior in male broiler breeders with varying fertility&lt;/title&gt;&lt;secondary-title&gt;Appl Anim Behav Sci&lt;/secondary-title&gt;&lt;/titles&gt;&lt;periodical&gt;&lt;full-title&gt;Appl Anim Behav Sci&lt;/full-title&gt;&lt;/periodical&gt;&lt;pages&gt;29-44&lt;/pages&gt;&lt;volume&gt;82&lt;/volume&gt;&lt;dates&gt;&lt;year&gt;2003&lt;/year&gt;&lt;/dates&gt;&lt;urls&gt;&lt;/urls&gt;&lt;/record&gt;&lt;/Cite&gt;&lt;/EndNote&gt;</w:instrText>
            </w:r>
            <w:r>
              <w:rPr>
                <w:sz w:val="20"/>
                <w:szCs w:val="20"/>
              </w:rPr>
              <w:fldChar w:fldCharType="separate"/>
            </w:r>
            <w:bookmarkStart w:id="9" w:name="Bookmark102"/>
            <w:r>
              <w:rPr>
                <w:sz w:val="20"/>
                <w:szCs w:val="20"/>
                <w:vertAlign w:val="superscript"/>
              </w:rPr>
              <w:t>5</w:t>
            </w:r>
            <w:bookmarkStart w:id="10" w:name="Bookmark911"/>
            <w:r>
              <w:rPr>
                <w:sz w:val="20"/>
                <w:szCs w:val="20"/>
                <w:vertAlign w:val="superscript"/>
              </w:rPr>
              <w:t>5</w:t>
            </w:r>
            <w:r>
              <w:rPr>
                <w:sz w:val="20"/>
                <w:szCs w:val="20"/>
              </w:rPr>
              <w:fldChar w:fldCharType="end"/>
            </w:r>
            <w:bookmarkEnd w:id="9"/>
            <w:bookmarkEnd w:id="10"/>
            <w:r>
              <w:rPr>
                <w:sz w:val="20"/>
                <w:szCs w:val="20"/>
              </w:rPr>
              <w:t>).</w:t>
            </w:r>
          </w:p>
        </w:tc>
      </w:tr>
      <w:tr w:rsidR="00BF305A" w:rsidTr="008022A9">
        <w:trPr>
          <w:cantSplit/>
          <w:trHeight w:val="285"/>
        </w:trPr>
        <w:tc>
          <w:tcPr>
            <w:tcW w:w="220" w:type="dxa"/>
            <w:vMerge/>
            <w:shd w:val="clear" w:color="auto" w:fill="auto"/>
            <w:tcMar>
              <w:top w:w="0" w:type="dxa"/>
              <w:left w:w="108" w:type="dxa"/>
              <w:right w:w="108" w:type="dxa"/>
            </w:tcMar>
            <w:vAlign w:val="center"/>
          </w:tcPr>
          <w:p w:rsidR="00BF305A" w:rsidRDefault="00BF305A" w:rsidP="008022A9">
            <w:pPr>
              <w:widowControl w:val="0"/>
              <w:ind w:left="0" w:hanging="2"/>
              <w:rPr>
                <w:sz w:val="20"/>
                <w:szCs w:val="20"/>
              </w:rPr>
            </w:pPr>
          </w:p>
        </w:tc>
        <w:tc>
          <w:tcPr>
            <w:tcW w:w="2346" w:type="dxa"/>
            <w:gridSpan w:val="3"/>
            <w:shd w:val="clear" w:color="auto" w:fill="auto"/>
          </w:tcPr>
          <w:p w:rsidR="00BF305A" w:rsidRDefault="00BF305A" w:rsidP="008022A9">
            <w:pPr>
              <w:spacing w:line="360" w:lineRule="auto"/>
              <w:ind w:left="0" w:hanging="2"/>
              <w:jc w:val="both"/>
              <w:rPr>
                <w:sz w:val="20"/>
                <w:szCs w:val="20"/>
              </w:rPr>
            </w:pPr>
            <w:r>
              <w:rPr>
                <w:sz w:val="20"/>
                <w:szCs w:val="20"/>
              </w:rPr>
              <w:t>Threats</w:t>
            </w:r>
          </w:p>
        </w:tc>
        <w:tc>
          <w:tcPr>
            <w:tcW w:w="5613" w:type="dxa"/>
            <w:shd w:val="clear" w:color="auto" w:fill="auto"/>
            <w:vAlign w:val="center"/>
          </w:tcPr>
          <w:p w:rsidR="00BF305A" w:rsidRDefault="00BF305A" w:rsidP="008022A9">
            <w:pPr>
              <w:spacing w:line="360" w:lineRule="auto"/>
              <w:ind w:left="0" w:hanging="2"/>
              <w:jc w:val="both"/>
            </w:pPr>
            <w:r>
              <w:rPr>
                <w:sz w:val="20"/>
                <w:szCs w:val="20"/>
              </w:rPr>
              <w:t xml:space="preserve">One bird raises its head and neck rapidly and moves forward and backward vigorously in the direction of the opponent without making physical contact (adapted from </w:t>
            </w:r>
            <w:r>
              <w:fldChar w:fldCharType="begin"/>
            </w:r>
            <w:r>
              <w:rPr>
                <w:sz w:val="20"/>
                <w:szCs w:val="20"/>
              </w:rPr>
              <w:instrText>ADDIN EN.CITE &lt;EndNote&gt;&lt;Cite&gt;&lt;Author&gt;McGary&lt;/Author&gt;&lt;Year&gt;2003&lt;/Year&gt;&lt;RecNum&gt;424&lt;/RecNum&gt;&lt;DisplayText&gt;&lt;style face="superscript"&gt;55&lt;/style&gt;&lt;/DisplayText&gt;&lt;record&gt;&lt;rec-number&gt;424&lt;/rec-number&gt;&lt;foreign-keys&gt;&lt;key app="EN" db-id="de5dsvd0mp5xaie55a5vpavpzfwtvvfv2pst" timestamp="1532439005"&gt;424&lt;/key&gt;&lt;/foreign-keys&gt;&lt;ref-type name="Journal Article"&gt;17&lt;/ref-type&gt;&lt;contributors&gt;&lt;authors&gt;&lt;author&gt;McGary, S.&lt;/author&gt;&lt;author&gt;I Estevez&lt;/author&gt;&lt;author&gt;E. Russek-Cohen&lt;/author&gt;&lt;/authors&gt;&lt;/contributors&gt;&lt;titles&gt;&lt;title&gt;Reproductive and aggressive behavior in male broiler breeders with varying fertility&lt;/title&gt;&lt;secondary-title&gt;Appl Anim Behav Sci&lt;/secondary-title&gt;&lt;/titles&gt;&lt;periodical&gt;&lt;full-title&gt;Appl Anim Behav Sci&lt;/full-title&gt;&lt;/periodical&gt;&lt;pages&gt;29-44&lt;/pages&gt;&lt;volume&gt;82&lt;/volume&gt;&lt;dates&gt;&lt;year&gt;2003&lt;/year&gt;&lt;/dates&gt;&lt;urls&gt;&lt;/urls&gt;&lt;/record&gt;&lt;/Cite&gt;&lt;/EndNote&gt;</w:instrText>
            </w:r>
            <w:r>
              <w:rPr>
                <w:sz w:val="20"/>
                <w:szCs w:val="20"/>
              </w:rPr>
              <w:fldChar w:fldCharType="separate"/>
            </w:r>
            <w:bookmarkStart w:id="11" w:name="Bookmark103"/>
            <w:r>
              <w:rPr>
                <w:sz w:val="20"/>
                <w:szCs w:val="20"/>
                <w:vertAlign w:val="superscript"/>
              </w:rPr>
              <w:t>5</w:t>
            </w:r>
            <w:bookmarkStart w:id="12" w:name="Bookmark921"/>
            <w:r>
              <w:rPr>
                <w:sz w:val="20"/>
                <w:szCs w:val="20"/>
                <w:vertAlign w:val="superscript"/>
              </w:rPr>
              <w:t>5</w:t>
            </w:r>
            <w:r>
              <w:rPr>
                <w:sz w:val="20"/>
                <w:szCs w:val="20"/>
              </w:rPr>
              <w:fldChar w:fldCharType="end"/>
            </w:r>
            <w:bookmarkEnd w:id="11"/>
            <w:bookmarkEnd w:id="12"/>
            <w:r>
              <w:rPr>
                <w:sz w:val="20"/>
                <w:szCs w:val="20"/>
              </w:rPr>
              <w:t>).</w:t>
            </w:r>
          </w:p>
        </w:tc>
      </w:tr>
      <w:tr w:rsidR="00BF305A" w:rsidTr="008022A9">
        <w:trPr>
          <w:cantSplit/>
          <w:trHeight w:val="300"/>
        </w:trPr>
        <w:tc>
          <w:tcPr>
            <w:tcW w:w="220" w:type="dxa"/>
            <w:vMerge/>
            <w:shd w:val="clear" w:color="auto" w:fill="auto"/>
            <w:tcMar>
              <w:top w:w="0" w:type="dxa"/>
              <w:left w:w="108" w:type="dxa"/>
              <w:right w:w="108" w:type="dxa"/>
            </w:tcMar>
            <w:vAlign w:val="center"/>
          </w:tcPr>
          <w:p w:rsidR="00BF305A" w:rsidRDefault="00BF305A" w:rsidP="008022A9">
            <w:pPr>
              <w:widowControl w:val="0"/>
              <w:ind w:left="0" w:hanging="2"/>
              <w:rPr>
                <w:sz w:val="20"/>
                <w:szCs w:val="20"/>
              </w:rPr>
            </w:pPr>
          </w:p>
        </w:tc>
        <w:tc>
          <w:tcPr>
            <w:tcW w:w="2346" w:type="dxa"/>
            <w:gridSpan w:val="3"/>
            <w:shd w:val="clear" w:color="auto" w:fill="auto"/>
          </w:tcPr>
          <w:p w:rsidR="00BF305A" w:rsidRDefault="00BF305A" w:rsidP="008022A9">
            <w:pPr>
              <w:spacing w:line="360" w:lineRule="auto"/>
              <w:ind w:left="0" w:hanging="2"/>
              <w:jc w:val="both"/>
              <w:rPr>
                <w:sz w:val="20"/>
                <w:szCs w:val="20"/>
              </w:rPr>
            </w:pPr>
            <w:r>
              <w:rPr>
                <w:sz w:val="20"/>
                <w:szCs w:val="20"/>
              </w:rPr>
              <w:t>Chase</w:t>
            </w:r>
          </w:p>
        </w:tc>
        <w:tc>
          <w:tcPr>
            <w:tcW w:w="5613" w:type="dxa"/>
            <w:shd w:val="clear" w:color="auto" w:fill="auto"/>
            <w:vAlign w:val="center"/>
          </w:tcPr>
          <w:p w:rsidR="00BF305A" w:rsidRDefault="00BF305A" w:rsidP="008022A9">
            <w:pPr>
              <w:spacing w:line="360" w:lineRule="auto"/>
              <w:ind w:left="0" w:hanging="2"/>
              <w:jc w:val="both"/>
            </w:pPr>
            <w:r>
              <w:rPr>
                <w:sz w:val="20"/>
                <w:szCs w:val="20"/>
              </w:rPr>
              <w:t>A bird runs after another that is escaping (adapted from</w:t>
            </w:r>
            <w:r>
              <w:fldChar w:fldCharType="begin"/>
            </w:r>
            <w:r>
              <w:rPr>
                <w:sz w:val="20"/>
                <w:szCs w:val="20"/>
              </w:rPr>
              <w:instrText>ADDIN EN.CITE &lt;EndNote&gt;&lt;Cite&gt;&lt;Author&gt;Ramenofsky&lt;/Author&gt;&lt;Year&gt;1984&lt;/Year&gt;&lt;RecNum&gt;423&lt;/RecNum&gt;&lt;DisplayText&gt;&lt;style face="superscript"&gt;56&lt;/style&gt;&lt;/DisplayText&gt;&lt;record&gt;&lt;rec-number&gt;423&lt;/rec-number&gt;&lt;foreign-keys&gt;&lt;key app="EN" db-id="de5dsvd0mp5xaie55a5vpavpzfwtvvfv2pst" timestamp="1532438892"&gt;423&lt;/key&gt;&lt;/foreign-keys&gt;&lt;ref-type name="Journal Article"&gt;17&lt;/ref-type&gt;&lt;contributors&gt;&lt;authors&gt;&lt;author&gt;Ramenofsky, M.&lt;/author&gt;&lt;/authors&gt;&lt;/contributors&gt;&lt;titles&gt;&lt;title&gt;Agonistic behaviour and endogenous plasma hormones in male Japanese quail&lt;/title&gt;&lt;secondary-title&gt;Anim Behav&lt;/secondary-title&gt;&lt;/titles&gt;&lt;periodical&gt;&lt;full-title&gt;Anim Behav&lt;/full-title&gt;&lt;/periodical&gt;&lt;pages&gt;698-708&lt;/pages&gt;&lt;volume&gt;32&lt;/volume&gt;&lt;dates&gt;&lt;year&gt;1984&lt;/year&gt;&lt;/dates&gt;&lt;urls&gt;&lt;/urls&gt;&lt;/record&gt;&lt;/Cite&gt;&lt;/EndNote&gt;</w:instrText>
            </w:r>
            <w:r>
              <w:rPr>
                <w:sz w:val="20"/>
                <w:szCs w:val="20"/>
              </w:rPr>
              <w:fldChar w:fldCharType="separate"/>
            </w:r>
            <w:bookmarkStart w:id="13" w:name="Bookmark104"/>
            <w:r>
              <w:rPr>
                <w:sz w:val="20"/>
                <w:szCs w:val="20"/>
                <w:vertAlign w:val="superscript"/>
              </w:rPr>
              <w:t>5</w:t>
            </w:r>
            <w:bookmarkStart w:id="14" w:name="Bookmark931"/>
            <w:r>
              <w:rPr>
                <w:sz w:val="20"/>
                <w:szCs w:val="20"/>
                <w:vertAlign w:val="superscript"/>
              </w:rPr>
              <w:t>6</w:t>
            </w:r>
            <w:r>
              <w:rPr>
                <w:sz w:val="20"/>
                <w:szCs w:val="20"/>
              </w:rPr>
              <w:fldChar w:fldCharType="end"/>
            </w:r>
            <w:bookmarkEnd w:id="13"/>
            <w:bookmarkEnd w:id="14"/>
            <w:r>
              <w:rPr>
                <w:sz w:val="20"/>
                <w:szCs w:val="20"/>
              </w:rPr>
              <w:t>).</w:t>
            </w:r>
          </w:p>
        </w:tc>
      </w:tr>
      <w:tr w:rsidR="00BF305A" w:rsidTr="008022A9">
        <w:trPr>
          <w:cantSplit/>
          <w:trHeight w:val="300"/>
        </w:trPr>
        <w:tc>
          <w:tcPr>
            <w:tcW w:w="220" w:type="dxa"/>
            <w:vMerge/>
            <w:shd w:val="clear" w:color="auto" w:fill="auto"/>
            <w:tcMar>
              <w:top w:w="0" w:type="dxa"/>
              <w:left w:w="108" w:type="dxa"/>
              <w:right w:w="108" w:type="dxa"/>
            </w:tcMar>
            <w:vAlign w:val="center"/>
          </w:tcPr>
          <w:p w:rsidR="00BF305A" w:rsidRDefault="00BF305A" w:rsidP="008022A9">
            <w:pPr>
              <w:widowControl w:val="0"/>
              <w:ind w:left="0" w:hanging="2"/>
              <w:rPr>
                <w:sz w:val="20"/>
                <w:szCs w:val="20"/>
              </w:rPr>
            </w:pPr>
          </w:p>
        </w:tc>
        <w:tc>
          <w:tcPr>
            <w:tcW w:w="2346" w:type="dxa"/>
            <w:gridSpan w:val="3"/>
            <w:shd w:val="clear" w:color="auto" w:fill="auto"/>
          </w:tcPr>
          <w:p w:rsidR="00BF305A" w:rsidRDefault="00BF305A" w:rsidP="008022A9">
            <w:pPr>
              <w:spacing w:line="360" w:lineRule="auto"/>
              <w:ind w:left="0" w:hanging="2"/>
              <w:jc w:val="both"/>
              <w:rPr>
                <w:sz w:val="20"/>
                <w:szCs w:val="20"/>
              </w:rPr>
            </w:pPr>
            <w:r>
              <w:rPr>
                <w:sz w:val="20"/>
                <w:szCs w:val="20"/>
              </w:rPr>
              <w:t>Foraging</w:t>
            </w:r>
          </w:p>
        </w:tc>
        <w:tc>
          <w:tcPr>
            <w:tcW w:w="5613" w:type="dxa"/>
            <w:shd w:val="clear" w:color="auto" w:fill="auto"/>
            <w:vAlign w:val="center"/>
          </w:tcPr>
          <w:p w:rsidR="00BF305A" w:rsidRDefault="00BF305A" w:rsidP="008022A9">
            <w:pPr>
              <w:spacing w:line="360" w:lineRule="auto"/>
              <w:ind w:left="0" w:hanging="2"/>
              <w:jc w:val="both"/>
              <w:rPr>
                <w:sz w:val="20"/>
                <w:szCs w:val="20"/>
              </w:rPr>
            </w:pPr>
            <w:r>
              <w:rPr>
                <w:sz w:val="20"/>
                <w:szCs w:val="20"/>
              </w:rPr>
              <w:t>Pecking at the ground or actively moving litter with the beak.</w:t>
            </w:r>
          </w:p>
        </w:tc>
      </w:tr>
      <w:tr w:rsidR="00BF305A" w:rsidTr="008022A9">
        <w:trPr>
          <w:cantSplit/>
          <w:trHeight w:val="300"/>
        </w:trPr>
        <w:tc>
          <w:tcPr>
            <w:tcW w:w="220" w:type="dxa"/>
            <w:vMerge/>
            <w:shd w:val="clear" w:color="auto" w:fill="auto"/>
            <w:tcMar>
              <w:top w:w="0" w:type="dxa"/>
              <w:left w:w="108" w:type="dxa"/>
              <w:right w:w="108" w:type="dxa"/>
            </w:tcMar>
            <w:vAlign w:val="center"/>
          </w:tcPr>
          <w:p w:rsidR="00BF305A" w:rsidRDefault="00BF305A" w:rsidP="008022A9">
            <w:pPr>
              <w:widowControl w:val="0"/>
              <w:ind w:left="0" w:hanging="2"/>
              <w:rPr>
                <w:sz w:val="20"/>
                <w:szCs w:val="20"/>
              </w:rPr>
            </w:pPr>
          </w:p>
        </w:tc>
        <w:tc>
          <w:tcPr>
            <w:tcW w:w="2346" w:type="dxa"/>
            <w:gridSpan w:val="3"/>
            <w:shd w:val="clear" w:color="auto" w:fill="auto"/>
          </w:tcPr>
          <w:p w:rsidR="00BF305A" w:rsidRDefault="00BF305A" w:rsidP="008022A9">
            <w:pPr>
              <w:spacing w:line="360" w:lineRule="auto"/>
              <w:ind w:left="0" w:hanging="2"/>
              <w:jc w:val="both"/>
              <w:rPr>
                <w:sz w:val="20"/>
                <w:szCs w:val="20"/>
              </w:rPr>
            </w:pPr>
            <w:r>
              <w:rPr>
                <w:sz w:val="20"/>
                <w:szCs w:val="20"/>
              </w:rPr>
              <w:t>Feeding</w:t>
            </w:r>
          </w:p>
        </w:tc>
        <w:tc>
          <w:tcPr>
            <w:tcW w:w="5613" w:type="dxa"/>
            <w:shd w:val="clear" w:color="auto" w:fill="auto"/>
            <w:vAlign w:val="center"/>
          </w:tcPr>
          <w:p w:rsidR="00BF305A" w:rsidRDefault="00BF305A" w:rsidP="008022A9">
            <w:pPr>
              <w:spacing w:line="360" w:lineRule="auto"/>
              <w:ind w:left="0" w:hanging="2"/>
              <w:jc w:val="both"/>
              <w:rPr>
                <w:sz w:val="20"/>
                <w:szCs w:val="20"/>
              </w:rPr>
            </w:pPr>
            <w:r>
              <w:rPr>
                <w:sz w:val="20"/>
                <w:szCs w:val="20"/>
              </w:rPr>
              <w:t>Pecking at food in the feeding trough.</w:t>
            </w:r>
          </w:p>
        </w:tc>
      </w:tr>
      <w:tr w:rsidR="00BF305A" w:rsidTr="008022A9">
        <w:trPr>
          <w:cantSplit/>
          <w:trHeight w:val="65"/>
        </w:trPr>
        <w:tc>
          <w:tcPr>
            <w:tcW w:w="220" w:type="dxa"/>
            <w:vMerge/>
            <w:shd w:val="clear" w:color="auto" w:fill="auto"/>
            <w:tcMar>
              <w:top w:w="0" w:type="dxa"/>
              <w:left w:w="108" w:type="dxa"/>
              <w:right w:w="108" w:type="dxa"/>
            </w:tcMar>
            <w:vAlign w:val="center"/>
          </w:tcPr>
          <w:p w:rsidR="00BF305A" w:rsidRDefault="00BF305A" w:rsidP="008022A9">
            <w:pPr>
              <w:widowControl w:val="0"/>
              <w:ind w:left="0" w:hanging="2"/>
              <w:rPr>
                <w:sz w:val="20"/>
                <w:szCs w:val="20"/>
              </w:rPr>
            </w:pPr>
          </w:p>
        </w:tc>
        <w:tc>
          <w:tcPr>
            <w:tcW w:w="2346" w:type="dxa"/>
            <w:gridSpan w:val="3"/>
            <w:tcBorders>
              <w:bottom w:val="single" w:sz="4" w:space="0" w:color="000000"/>
            </w:tcBorders>
            <w:shd w:val="clear" w:color="auto" w:fill="auto"/>
          </w:tcPr>
          <w:p w:rsidR="00BF305A" w:rsidRDefault="00BF305A" w:rsidP="008022A9">
            <w:pPr>
              <w:spacing w:line="360" w:lineRule="auto"/>
              <w:ind w:left="0" w:hanging="2"/>
              <w:jc w:val="both"/>
              <w:rPr>
                <w:sz w:val="20"/>
                <w:szCs w:val="20"/>
              </w:rPr>
            </w:pPr>
            <w:r>
              <w:rPr>
                <w:sz w:val="20"/>
                <w:szCs w:val="20"/>
              </w:rPr>
              <w:t>Dust bathing</w:t>
            </w:r>
          </w:p>
        </w:tc>
        <w:tc>
          <w:tcPr>
            <w:tcW w:w="5613" w:type="dxa"/>
            <w:tcBorders>
              <w:bottom w:val="single" w:sz="4" w:space="0" w:color="000000"/>
            </w:tcBorders>
            <w:shd w:val="clear" w:color="auto" w:fill="auto"/>
          </w:tcPr>
          <w:p w:rsidR="00BF305A" w:rsidRDefault="00BF305A" w:rsidP="008022A9">
            <w:pPr>
              <w:spacing w:line="360" w:lineRule="auto"/>
              <w:ind w:left="0" w:hanging="2"/>
              <w:jc w:val="both"/>
            </w:pPr>
            <w:r>
              <w:rPr>
                <w:sz w:val="20"/>
                <w:szCs w:val="20"/>
              </w:rPr>
              <w:t xml:space="preserve">Vertical wing shakes in a lying position </w:t>
            </w:r>
            <w:r>
              <w:fldChar w:fldCharType="begin"/>
            </w:r>
            <w:r>
              <w:rPr>
                <w:sz w:val="20"/>
                <w:szCs w:val="20"/>
              </w:rPr>
              <w:instrText>ADDIN EN.CITE</w:instrText>
            </w:r>
            <w:r>
              <w:rPr>
                <w:sz w:val="20"/>
                <w:szCs w:val="20"/>
              </w:rPr>
              <w:fldChar w:fldCharType="end"/>
            </w:r>
            <w:bookmarkStart w:id="15" w:name="Bookmark105"/>
            <w:r>
              <w:fldChar w:fldCharType="begin"/>
            </w:r>
            <w:r>
              <w:rPr>
                <w:sz w:val="20"/>
                <w:szCs w:val="20"/>
              </w:rPr>
              <w:instrText>ADDIN EN.CITE.DATA</w:instrText>
            </w:r>
            <w:r>
              <w:rPr>
                <w:sz w:val="20"/>
                <w:szCs w:val="20"/>
              </w:rPr>
              <w:fldChar w:fldCharType="separate"/>
            </w:r>
            <w:bookmarkStart w:id="16" w:name="Bookmark951"/>
            <w:bookmarkStart w:id="17" w:name="Bookmark106"/>
            <w:bookmarkEnd w:id="15"/>
            <w:r>
              <w:rPr>
                <w:sz w:val="20"/>
                <w:szCs w:val="20"/>
                <w:vertAlign w:val="superscript"/>
              </w:rPr>
              <w:t>5</w:t>
            </w:r>
            <w:bookmarkStart w:id="18" w:name="Bookmark941"/>
            <w:r>
              <w:rPr>
                <w:sz w:val="20"/>
                <w:szCs w:val="20"/>
                <w:vertAlign w:val="superscript"/>
              </w:rPr>
              <w:t>7</w:t>
            </w:r>
            <w:r>
              <w:rPr>
                <w:sz w:val="20"/>
                <w:szCs w:val="20"/>
              </w:rPr>
              <w:fldChar w:fldCharType="end"/>
            </w:r>
            <w:bookmarkEnd w:id="16"/>
            <w:bookmarkEnd w:id="17"/>
            <w:bookmarkEnd w:id="18"/>
            <w:r>
              <w:rPr>
                <w:sz w:val="20"/>
                <w:szCs w:val="20"/>
              </w:rPr>
              <w:t xml:space="preserve"> .</w:t>
            </w:r>
          </w:p>
        </w:tc>
      </w:tr>
    </w:tbl>
    <w:p w:rsidR="00BF305A" w:rsidRDefault="00BF305A" w:rsidP="00BF305A">
      <w:pPr>
        <w:shd w:val="clear" w:color="auto" w:fill="FFFFFF"/>
        <w:spacing w:line="360" w:lineRule="auto"/>
        <w:ind w:left="0" w:hanging="2"/>
        <w:jc w:val="both"/>
      </w:pPr>
      <w:r>
        <w:t xml:space="preserve"> </w:t>
      </w:r>
      <w:r>
        <w:br w:type="page"/>
      </w:r>
    </w:p>
    <w:p w:rsidR="00BF305A" w:rsidRDefault="00BF305A" w:rsidP="00BF305A">
      <w:pPr>
        <w:spacing w:line="360" w:lineRule="auto"/>
        <w:ind w:left="0" w:hanging="2"/>
        <w:jc w:val="both"/>
      </w:pPr>
    </w:p>
    <w:p w:rsidR="00BF305A" w:rsidRDefault="00BF305A" w:rsidP="00BF305A">
      <w:pPr>
        <w:spacing w:line="360" w:lineRule="auto"/>
        <w:ind w:left="0" w:hanging="2"/>
        <w:jc w:val="both"/>
      </w:pPr>
    </w:p>
    <w:p w:rsidR="00BF305A" w:rsidRDefault="00BF305A" w:rsidP="00BF305A">
      <w:pPr>
        <w:spacing w:line="360" w:lineRule="auto"/>
        <w:ind w:left="0" w:hanging="2"/>
        <w:jc w:val="both"/>
      </w:pPr>
    </w:p>
    <w:p w:rsidR="00BF305A" w:rsidRDefault="00BF305A" w:rsidP="00BF305A">
      <w:pPr>
        <w:spacing w:line="360" w:lineRule="auto"/>
        <w:ind w:left="0" w:hanging="2"/>
        <w:jc w:val="both"/>
      </w:pPr>
      <w:r>
        <w:rPr>
          <w:noProof/>
        </w:rPr>
        <w:drawing>
          <wp:inline distT="0" distB="0" distL="0" distR="0" wp14:anchorId="498CC2F3" wp14:editId="381FD1E6">
            <wp:extent cx="5732780" cy="3527425"/>
            <wp:effectExtent l="0" t="0" r="0" b="0"/>
            <wp:docPr id="20"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n 21"/>
                    <pic:cNvPicPr>
                      <a:picLocks noChangeAspect="1" noChangeArrowheads="1"/>
                    </pic:cNvPicPr>
                  </pic:nvPicPr>
                  <pic:blipFill>
                    <a:blip r:embed="rId10"/>
                    <a:stretch>
                      <a:fillRect/>
                    </a:stretch>
                  </pic:blipFill>
                  <pic:spPr bwMode="auto">
                    <a:xfrm>
                      <a:off x="0" y="0"/>
                      <a:ext cx="5732780" cy="3527425"/>
                    </a:xfrm>
                    <a:prstGeom prst="rect">
                      <a:avLst/>
                    </a:prstGeom>
                  </pic:spPr>
                </pic:pic>
              </a:graphicData>
            </a:graphic>
          </wp:inline>
        </w:drawing>
      </w:r>
    </w:p>
    <w:p w:rsidR="00BF305A" w:rsidRDefault="001D1065" w:rsidP="00BF305A">
      <w:pPr>
        <w:spacing w:line="360" w:lineRule="auto"/>
        <w:ind w:left="0" w:hanging="2"/>
        <w:jc w:val="both"/>
      </w:pPr>
      <w:r>
        <w:rPr>
          <w:b/>
          <w:sz w:val="20"/>
          <w:szCs w:val="20"/>
          <w:lang w:val="en-150"/>
        </w:rPr>
        <w:t xml:space="preserve">Supplementary Figure </w:t>
      </w:r>
      <w:r w:rsidR="00741B65">
        <w:rPr>
          <w:b/>
          <w:sz w:val="20"/>
          <w:szCs w:val="20"/>
          <w:lang w:val="es-ES"/>
        </w:rPr>
        <w:t>S</w:t>
      </w:r>
      <w:r>
        <w:rPr>
          <w:b/>
          <w:sz w:val="20"/>
          <w:szCs w:val="20"/>
          <w:lang w:val="en-150"/>
        </w:rPr>
        <w:t>3</w:t>
      </w:r>
      <w:r w:rsidR="00BF305A">
        <w:rPr>
          <w:b/>
          <w:sz w:val="20"/>
          <w:szCs w:val="20"/>
          <w:lang w:val="en-150"/>
        </w:rPr>
        <w:t>.  Comparison between female (blue) and male (red) quail within social groups in regard to probability distribution functions of the duration (δ) of behavioral events</w:t>
      </w:r>
      <w:r w:rsidR="00BF305A">
        <w:rPr>
          <w:rFonts w:ascii="Times New Roman" w:hAnsi="Times New Roman"/>
          <w:b/>
          <w:sz w:val="20"/>
          <w:szCs w:val="20"/>
          <w:lang w:val="en-150"/>
        </w:rPr>
        <w:t>.</w:t>
      </w:r>
    </w:p>
    <w:p w:rsidR="002D100F" w:rsidRPr="00BF305A" w:rsidRDefault="00BF305A" w:rsidP="00BF305A">
      <w:pPr>
        <w:spacing w:line="240" w:lineRule="auto"/>
        <w:ind w:left="0" w:hanging="2"/>
        <w:jc w:val="both"/>
        <w:rPr>
          <w:rFonts w:ascii="Times New Roman" w:hAnsi="Times New Roman"/>
          <w:b/>
          <w:sz w:val="20"/>
          <w:szCs w:val="20"/>
          <w:lang w:val="en-150"/>
        </w:rPr>
      </w:pPr>
      <w:r>
        <w:rPr>
          <w:noProof/>
        </w:rPr>
        <w:drawing>
          <wp:inline distT="0" distB="0" distL="0" distR="0" wp14:anchorId="37C4346E" wp14:editId="7D1C2B8F">
            <wp:extent cx="5728970" cy="3521075"/>
            <wp:effectExtent l="0" t="0" r="0" b="0"/>
            <wp:docPr id="21"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n 20"/>
                    <pic:cNvPicPr>
                      <a:picLocks noChangeAspect="1" noChangeArrowheads="1"/>
                    </pic:cNvPicPr>
                  </pic:nvPicPr>
                  <pic:blipFill>
                    <a:blip r:embed="rId11"/>
                    <a:stretch>
                      <a:fillRect/>
                    </a:stretch>
                  </pic:blipFill>
                  <pic:spPr bwMode="auto">
                    <a:xfrm>
                      <a:off x="0" y="0"/>
                      <a:ext cx="5728970" cy="3521075"/>
                    </a:xfrm>
                    <a:prstGeom prst="rect">
                      <a:avLst/>
                    </a:prstGeom>
                  </pic:spPr>
                </pic:pic>
              </a:graphicData>
            </a:graphic>
          </wp:inline>
        </w:drawing>
      </w:r>
      <w:r w:rsidR="001D1065" w:rsidRPr="001D1065">
        <w:rPr>
          <w:b/>
          <w:sz w:val="20"/>
          <w:szCs w:val="20"/>
          <w:lang w:val="en-150"/>
        </w:rPr>
        <w:t>Supplementar</w:t>
      </w:r>
      <w:r w:rsidR="001D1065">
        <w:rPr>
          <w:b/>
          <w:sz w:val="20"/>
          <w:szCs w:val="20"/>
          <w:lang w:val="en-150"/>
        </w:rPr>
        <w:t xml:space="preserve">y Figure </w:t>
      </w:r>
      <w:r w:rsidR="00741B65">
        <w:rPr>
          <w:b/>
          <w:sz w:val="20"/>
          <w:szCs w:val="20"/>
          <w:lang w:val="es-ES"/>
        </w:rPr>
        <w:t>S</w:t>
      </w:r>
      <w:r w:rsidR="001D1065">
        <w:rPr>
          <w:b/>
          <w:sz w:val="20"/>
          <w:szCs w:val="20"/>
          <w:lang w:val="en-150"/>
        </w:rPr>
        <w:t>4</w:t>
      </w:r>
      <w:r>
        <w:rPr>
          <w:b/>
          <w:sz w:val="20"/>
          <w:szCs w:val="20"/>
          <w:lang w:val="en-150"/>
        </w:rPr>
        <w:t>.  Comparison between quail clasified within social groups as dominant (blue), neutral (red) or subordinate (yellow) in regard to probability distribution functions of the duration (δ) of behavioral events</w:t>
      </w:r>
      <w:r>
        <w:rPr>
          <w:rFonts w:ascii="Times New Roman" w:hAnsi="Times New Roman"/>
          <w:b/>
          <w:sz w:val="20"/>
          <w:szCs w:val="20"/>
          <w:lang w:val="en-150"/>
        </w:rPr>
        <w:t>.</w:t>
      </w:r>
    </w:p>
    <w:sectPr w:rsidR="002D100F" w:rsidRPr="00BF305A">
      <w:pgSz w:w="11906" w:h="16838"/>
      <w:pgMar w:top="1440" w:right="1440" w:bottom="1440" w:left="1440" w:header="0" w:footer="0" w:gutter="0"/>
      <w:pgNumType w:start="1"/>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05A"/>
    <w:rsid w:val="001D1065"/>
    <w:rsid w:val="002250AE"/>
    <w:rsid w:val="00665ECA"/>
    <w:rsid w:val="00667D0E"/>
    <w:rsid w:val="00741B65"/>
    <w:rsid w:val="00BF305A"/>
    <w:rsid w:val="00C40E02"/>
    <w:rsid w:val="00D06C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A731A3-E71D-4FF4-AAAC-F97C70A60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305A"/>
    <w:pPr>
      <w:suppressAutoHyphens/>
      <w:spacing w:after="0" w:line="276" w:lineRule="auto"/>
      <w:ind w:left="-1" w:hanging="1"/>
      <w:textAlignment w:val="top"/>
      <w:outlineLvl w:val="0"/>
    </w:pPr>
    <w:rPr>
      <w:rFonts w:ascii="Arial" w:eastAsia="Arial" w:hAnsi="Arial" w:cs="Ari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1537</Words>
  <Characters>8765</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dc:creator>
  <cp:keywords/>
  <dc:description/>
  <cp:lastModifiedBy>Jackie</cp:lastModifiedBy>
  <cp:revision>2</cp:revision>
  <dcterms:created xsi:type="dcterms:W3CDTF">2023-01-24T12:14:00Z</dcterms:created>
  <dcterms:modified xsi:type="dcterms:W3CDTF">2023-01-24T12:14:00Z</dcterms:modified>
</cp:coreProperties>
</file>