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00238" w14:textId="527D0BC3" w:rsidR="00C64ADF" w:rsidRDefault="00C64ADF" w:rsidP="00C64ADF">
      <w:pPr>
        <w:jc w:val="both"/>
        <w:rPr>
          <w:rFonts w:ascii="Times New Roman" w:hAnsi="Times New Roman" w:cs="Times New Roman"/>
          <w:sz w:val="24"/>
          <w:szCs w:val="24"/>
          <w:lang w:val="en-US"/>
        </w:rPr>
      </w:pPr>
      <w:r w:rsidRPr="00EC32C5">
        <w:rPr>
          <w:rFonts w:ascii="Times New Roman" w:hAnsi="Times New Roman" w:cs="Times New Roman"/>
          <w:b/>
          <w:bCs/>
          <w:sz w:val="24"/>
          <w:szCs w:val="24"/>
          <w:lang w:val="en-US"/>
        </w:rPr>
        <w:t xml:space="preserve">Table </w:t>
      </w:r>
      <w:r w:rsidR="00375994">
        <w:rPr>
          <w:rFonts w:ascii="Times New Roman" w:hAnsi="Times New Roman" w:cs="Times New Roman"/>
          <w:b/>
          <w:bCs/>
          <w:sz w:val="24"/>
          <w:szCs w:val="24"/>
          <w:lang w:val="en-FI"/>
        </w:rPr>
        <w:t>A</w:t>
      </w:r>
      <w:r w:rsidRPr="00EC32C5">
        <w:rPr>
          <w:rFonts w:ascii="Times New Roman" w:hAnsi="Times New Roman" w:cs="Times New Roman"/>
          <w:b/>
          <w:bCs/>
          <w:sz w:val="24"/>
          <w:szCs w:val="24"/>
          <w:lang w:val="en-US"/>
        </w:rPr>
        <w:t>1.</w:t>
      </w:r>
      <w:r>
        <w:rPr>
          <w:rFonts w:ascii="Times New Roman" w:hAnsi="Times New Roman" w:cs="Times New Roman"/>
          <w:sz w:val="24"/>
          <w:szCs w:val="24"/>
          <w:lang w:val="en-US"/>
        </w:rPr>
        <w:t xml:space="preserve"> Equations used in analyses.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
        <w:gridCol w:w="5449"/>
        <w:gridCol w:w="2647"/>
      </w:tblGrid>
      <w:tr w:rsidR="00C64ADF" w:rsidRPr="00D2344D" w14:paraId="64117563" w14:textId="77777777" w:rsidTr="00B97079">
        <w:trPr>
          <w:trHeight w:val="251"/>
          <w:tblHeader/>
        </w:trPr>
        <w:tc>
          <w:tcPr>
            <w:tcW w:w="930" w:type="dxa"/>
            <w:tcBorders>
              <w:bottom w:val="single" w:sz="4" w:space="0" w:color="auto"/>
            </w:tcBorders>
          </w:tcPr>
          <w:p w14:paraId="524BE2B3" w14:textId="77777777" w:rsidR="00C64ADF" w:rsidRPr="00D2344D" w:rsidRDefault="00C64ADF" w:rsidP="00B97079">
            <w:pPr>
              <w:pStyle w:val="Firstpara"/>
              <w:spacing w:line="240" w:lineRule="auto"/>
              <w:rPr>
                <w:sz w:val="20"/>
                <w:szCs w:val="20"/>
              </w:rPr>
            </w:pPr>
            <w:r w:rsidRPr="00D2344D">
              <w:rPr>
                <w:sz w:val="20"/>
                <w:szCs w:val="20"/>
              </w:rPr>
              <w:t>No</w:t>
            </w:r>
          </w:p>
        </w:tc>
        <w:tc>
          <w:tcPr>
            <w:tcW w:w="5449" w:type="dxa"/>
            <w:tcBorders>
              <w:bottom w:val="single" w:sz="4" w:space="0" w:color="auto"/>
            </w:tcBorders>
          </w:tcPr>
          <w:p w14:paraId="4444D46E" w14:textId="77777777" w:rsidR="00C64ADF" w:rsidRPr="00D2344D" w:rsidRDefault="00C64ADF" w:rsidP="00B97079">
            <w:pPr>
              <w:pStyle w:val="Firstpara"/>
              <w:spacing w:line="240" w:lineRule="auto"/>
              <w:rPr>
                <w:sz w:val="20"/>
                <w:szCs w:val="20"/>
              </w:rPr>
            </w:pPr>
            <w:r w:rsidRPr="00D2344D">
              <w:rPr>
                <w:sz w:val="20"/>
                <w:szCs w:val="20"/>
              </w:rPr>
              <w:t>Equation</w:t>
            </w:r>
          </w:p>
        </w:tc>
        <w:tc>
          <w:tcPr>
            <w:tcW w:w="2647" w:type="dxa"/>
            <w:tcBorders>
              <w:bottom w:val="single" w:sz="4" w:space="0" w:color="auto"/>
            </w:tcBorders>
          </w:tcPr>
          <w:p w14:paraId="1F964CEA" w14:textId="77777777" w:rsidR="00C64ADF" w:rsidRPr="00D2344D" w:rsidRDefault="00C64ADF" w:rsidP="00B97079">
            <w:pPr>
              <w:pStyle w:val="Firstpara"/>
              <w:spacing w:line="240" w:lineRule="auto"/>
              <w:rPr>
                <w:sz w:val="20"/>
                <w:szCs w:val="20"/>
              </w:rPr>
            </w:pPr>
            <w:r w:rsidRPr="00D2344D">
              <w:rPr>
                <w:sz w:val="20"/>
                <w:szCs w:val="20"/>
              </w:rPr>
              <w:t xml:space="preserve">Reference </w:t>
            </w:r>
          </w:p>
        </w:tc>
      </w:tr>
      <w:tr w:rsidR="00C64ADF" w:rsidRPr="00D2344D" w14:paraId="7720AFE1" w14:textId="77777777" w:rsidTr="00B97079">
        <w:trPr>
          <w:trHeight w:val="363"/>
        </w:trPr>
        <w:tc>
          <w:tcPr>
            <w:tcW w:w="930" w:type="dxa"/>
            <w:tcBorders>
              <w:top w:val="single" w:sz="4" w:space="0" w:color="auto"/>
            </w:tcBorders>
          </w:tcPr>
          <w:p w14:paraId="0CD142A4" w14:textId="77777777" w:rsidR="00C64ADF" w:rsidRPr="00D2344D" w:rsidRDefault="00C64ADF" w:rsidP="00B97079">
            <w:pPr>
              <w:pStyle w:val="Firstpara"/>
              <w:spacing w:line="240" w:lineRule="auto"/>
              <w:rPr>
                <w:sz w:val="20"/>
                <w:szCs w:val="20"/>
              </w:rPr>
            </w:pPr>
            <w:r w:rsidRPr="00D2344D">
              <w:rPr>
                <w:sz w:val="20"/>
                <w:szCs w:val="20"/>
              </w:rPr>
              <w:t>1</w:t>
            </w:r>
          </w:p>
        </w:tc>
        <w:tc>
          <w:tcPr>
            <w:tcW w:w="5449" w:type="dxa"/>
            <w:tcBorders>
              <w:top w:val="single" w:sz="4" w:space="0" w:color="auto"/>
            </w:tcBorders>
          </w:tcPr>
          <w:p w14:paraId="52F641BA" w14:textId="77777777" w:rsidR="00C64ADF" w:rsidRPr="00D2344D" w:rsidRDefault="00C64ADF" w:rsidP="00B97079">
            <w:pPr>
              <w:pStyle w:val="NormalWeb"/>
              <w:shd w:val="clear" w:color="auto" w:fill="F8FCFF"/>
              <w:jc w:val="both"/>
              <w:rPr>
                <w:sz w:val="20"/>
                <w:szCs w:val="20"/>
              </w:rPr>
            </w:pPr>
            <w:r w:rsidRPr="00D2344D">
              <w:rPr>
                <w:sz w:val="20"/>
                <w:szCs w:val="20"/>
              </w:rPr>
              <w:t xml:space="preserve">Shannon-Wiener </w:t>
            </w:r>
            <w:r>
              <w:rPr>
                <w:sz w:val="20"/>
                <w:szCs w:val="20"/>
              </w:rPr>
              <w:t xml:space="preserve">diversity </w:t>
            </w:r>
            <w:r w:rsidRPr="00D2344D">
              <w:rPr>
                <w:sz w:val="20"/>
                <w:szCs w:val="20"/>
              </w:rPr>
              <w:t xml:space="preserve">index, </w:t>
            </w:r>
            <m:oMath>
              <m:r>
                <w:rPr>
                  <w:rFonts w:ascii="Cambria Math" w:hAnsi="Cambria Math"/>
                  <w:sz w:val="20"/>
                  <w:szCs w:val="20"/>
                  <w:bdr w:val="none" w:sz="0" w:space="0" w:color="auto" w:frame="1"/>
                </w:rPr>
                <m:t>H</m:t>
              </m:r>
              <m:r>
                <w:rPr>
                  <w:rFonts w:ascii="Cambria Math" w:hAnsi="Cambria Math"/>
                  <w:color w:val="000000" w:themeColor="text1"/>
                  <w:sz w:val="20"/>
                  <w:szCs w:val="20"/>
                  <w:bdr w:val="none" w:sz="0" w:space="0" w:color="auto" w:frame="1"/>
                </w:rPr>
                <m:t>=</m:t>
              </m:r>
              <m:nary>
                <m:naryPr>
                  <m:chr m:val="∑"/>
                  <m:limLoc m:val="undOvr"/>
                  <m:subHide m:val="1"/>
                  <m:supHide m:val="1"/>
                  <m:ctrlPr>
                    <w:rPr>
                      <w:rFonts w:ascii="Cambria Math" w:hAnsi="Cambria Math"/>
                      <w:i/>
                      <w:color w:val="000000" w:themeColor="text1"/>
                      <w:sz w:val="20"/>
                      <w:szCs w:val="20"/>
                      <w:bdr w:val="none" w:sz="0" w:space="0" w:color="auto" w:frame="1"/>
                    </w:rPr>
                  </m:ctrlPr>
                </m:naryPr>
                <m:sub/>
                <m:sup/>
                <m:e>
                  <m:d>
                    <m:dPr>
                      <m:begChr m:val="["/>
                      <m:endChr m:val="]"/>
                      <m:ctrlPr>
                        <w:rPr>
                          <w:rFonts w:ascii="Cambria Math" w:hAnsi="Cambria Math"/>
                          <w:i/>
                          <w:color w:val="000000" w:themeColor="text1"/>
                          <w:sz w:val="20"/>
                          <w:szCs w:val="20"/>
                          <w:bdr w:val="none" w:sz="0" w:space="0" w:color="auto" w:frame="1"/>
                        </w:rPr>
                      </m:ctrlPr>
                    </m:dPr>
                    <m:e>
                      <m:d>
                        <m:dPr>
                          <m:ctrlPr>
                            <w:rPr>
                              <w:rFonts w:ascii="Cambria Math" w:hAnsi="Cambria Math"/>
                              <w:i/>
                              <w:color w:val="000000" w:themeColor="text1"/>
                              <w:sz w:val="20"/>
                              <w:szCs w:val="20"/>
                            </w:rPr>
                          </m:ctrlPr>
                        </m:dPr>
                        <m:e>
                          <m:f>
                            <m:fPr>
                              <m:ctrlPr>
                                <w:rPr>
                                  <w:rFonts w:ascii="Cambria Math" w:hAnsi="Cambria Math"/>
                                  <w:i/>
                                  <w:color w:val="000000" w:themeColor="text1"/>
                                  <w:sz w:val="20"/>
                                  <w:szCs w:val="20"/>
                                </w:rPr>
                              </m:ctrlPr>
                            </m:fPr>
                            <m:num>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n</m:t>
                                  </m:r>
                                </m:e>
                                <m:sub>
                                  <m:r>
                                    <w:rPr>
                                      <w:rFonts w:ascii="Cambria Math" w:hAnsi="Cambria Math"/>
                                      <w:color w:val="000000" w:themeColor="text1"/>
                                      <w:sz w:val="20"/>
                                      <w:szCs w:val="20"/>
                                    </w:rPr>
                                    <m:t>i</m:t>
                                  </m:r>
                                </m:sub>
                              </m:sSub>
                            </m:num>
                            <m:den>
                              <m:r>
                                <w:rPr>
                                  <w:rFonts w:ascii="Cambria Math" w:hAnsi="Cambria Math"/>
                                  <w:color w:val="000000" w:themeColor="text1"/>
                                  <w:sz w:val="20"/>
                                  <w:szCs w:val="20"/>
                                </w:rPr>
                                <m:t>N</m:t>
                              </m:r>
                            </m:den>
                          </m:f>
                        </m:e>
                      </m:d>
                      <m:r>
                        <w:rPr>
                          <w:rFonts w:ascii="Cambria Math" w:hAnsi="Cambria Math"/>
                          <w:color w:val="000000" w:themeColor="text1"/>
                          <w:sz w:val="20"/>
                          <w:szCs w:val="20"/>
                        </w:rPr>
                        <m:t>×</m:t>
                      </m:r>
                      <m:func>
                        <m:funcPr>
                          <m:ctrlPr>
                            <w:rPr>
                              <w:rFonts w:ascii="Cambria Math" w:hAnsi="Cambria Math"/>
                              <w:i/>
                              <w:color w:val="000000" w:themeColor="text1"/>
                              <w:sz w:val="20"/>
                              <w:szCs w:val="20"/>
                            </w:rPr>
                          </m:ctrlPr>
                        </m:funcPr>
                        <m:fName>
                          <m:r>
                            <m:rPr>
                              <m:sty m:val="p"/>
                            </m:rPr>
                            <w:rPr>
                              <w:rFonts w:ascii="Cambria Math" w:hAnsi="Cambria Math"/>
                              <w:color w:val="000000" w:themeColor="text1"/>
                              <w:sz w:val="20"/>
                              <w:szCs w:val="20"/>
                            </w:rPr>
                            <m:t>ln</m:t>
                          </m:r>
                        </m:fName>
                        <m:e>
                          <m:d>
                            <m:dPr>
                              <m:ctrlPr>
                                <w:rPr>
                                  <w:rFonts w:ascii="Cambria Math" w:hAnsi="Cambria Math"/>
                                  <w:i/>
                                  <w:color w:val="000000" w:themeColor="text1"/>
                                  <w:sz w:val="20"/>
                                  <w:szCs w:val="20"/>
                                </w:rPr>
                              </m:ctrlPr>
                            </m:dPr>
                            <m:e>
                              <m:f>
                                <m:fPr>
                                  <m:ctrlPr>
                                    <w:rPr>
                                      <w:rFonts w:ascii="Cambria Math" w:hAnsi="Cambria Math"/>
                                      <w:i/>
                                      <w:color w:val="000000" w:themeColor="text1"/>
                                      <w:sz w:val="20"/>
                                      <w:szCs w:val="20"/>
                                    </w:rPr>
                                  </m:ctrlPr>
                                </m:fPr>
                                <m:num>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n</m:t>
                                      </m:r>
                                    </m:e>
                                    <m:sub>
                                      <m:r>
                                        <w:rPr>
                                          <w:rFonts w:ascii="Cambria Math" w:hAnsi="Cambria Math"/>
                                          <w:color w:val="000000" w:themeColor="text1"/>
                                          <w:sz w:val="20"/>
                                          <w:szCs w:val="20"/>
                                        </w:rPr>
                                        <m:t>i</m:t>
                                      </m:r>
                                    </m:sub>
                                  </m:sSub>
                                </m:num>
                                <m:den>
                                  <m:r>
                                    <w:rPr>
                                      <w:rFonts w:ascii="Cambria Math" w:hAnsi="Cambria Math"/>
                                      <w:color w:val="000000" w:themeColor="text1"/>
                                      <w:sz w:val="20"/>
                                      <w:szCs w:val="20"/>
                                    </w:rPr>
                                    <m:t>N</m:t>
                                  </m:r>
                                </m:den>
                              </m:f>
                            </m:e>
                          </m:d>
                        </m:e>
                      </m:func>
                    </m:e>
                  </m:d>
                </m:e>
              </m:nary>
            </m:oMath>
          </w:p>
        </w:tc>
        <w:tc>
          <w:tcPr>
            <w:tcW w:w="2647" w:type="dxa"/>
            <w:tcBorders>
              <w:top w:val="single" w:sz="4" w:space="0" w:color="auto"/>
            </w:tcBorders>
          </w:tcPr>
          <w:p w14:paraId="4C446698" w14:textId="1D2EA62E" w:rsidR="00C64ADF" w:rsidRPr="007E306A" w:rsidRDefault="00C64ADF" w:rsidP="00B97079">
            <w:pPr>
              <w:pStyle w:val="Firstpara"/>
              <w:spacing w:line="240" w:lineRule="auto"/>
              <w:rPr>
                <w:sz w:val="20"/>
                <w:szCs w:val="20"/>
              </w:rPr>
            </w:pPr>
            <w:r w:rsidRPr="007E306A">
              <w:rPr>
                <w:sz w:val="20"/>
                <w:szCs w:val="20"/>
                <w:lang w:val="en-US"/>
              </w:rPr>
              <w:t xml:space="preserve"> </w:t>
            </w:r>
            <w:r w:rsidRPr="007E306A">
              <w:rPr>
                <w:sz w:val="20"/>
                <w:szCs w:val="20"/>
              </w:rPr>
              <w:fldChar w:fldCharType="begin" w:fldLock="1"/>
            </w:r>
            <w:r w:rsidRPr="007E306A">
              <w:rPr>
                <w:sz w:val="20"/>
                <w:szCs w:val="20"/>
              </w:rPr>
              <w:instrText>ADDIN CSL_CITATION {"citationItems":[{"id":"ITEM-1","itemData":{"DOI":"10.1007/s11842-015-9314-x","ISSN":"18737854","abstract":"Mangifera sylvatica Roxb. is an underutilized wild tree species valued for its fruit, timber and medicine. It was believed to be widely grown in sub-tropical forests of Bangladesh, but nowadays can be seen only sparsely. Even though it has multiple uses, only the indigenous people in hilly areas use the fruit of this species, for cooking and making pickles. This study was designed to (1) observe the population status of M. sylvatica in the forests of south-eastern Bangladesh, (2) evaluate domestication potentiality through seed germination and early growth of seedlings, and (3) assess its suitability for small-scale forestry. Through 16 field visits in eight forest beats, 66 individual trees were identified and their GPS (global positioning system) coordinates were recorded. A seed germination rate of 83 % at 6 weeks after direct sowing was attained. The early growth of seedlings with fertilizer treatments showed no remarkable difference with seedlings without fertilization. The seed germination rate and early growth of seedlings indicates that this species can be easily domesticated and be incorporated into small-scale plantation programs. In that it has multiple use values, this species warrants promotion in small-scale forestry programs for conservation and benefiting the villagers.","author":[{"dropping-particle":"","family":"Baul","given":"Tarit Kumar","non-dropping-particle":"","parse-names":false,"suffix":""},{"dropping-particle":"","family":"Jahedul Alam","given":"M.","non-dropping-particle":"","parse-names":false,"suffix":""},{"dropping-particle":"","family":"Nath","given":"Tapan Kumar","non-dropping-particle":"","parse-names":false,"suffix":""}],"container-title":"Small-scale Forestry","id":"ITEM-1","issue":"2","issued":{"date-parts":[["2015"]]},"page":"1-10","publisher":"Springer Netherlands","title":"Mangifera sylvatica Roxb. in the Forests of South-Eastern Bangladesh: A Potential Underutilised Tree for Small-Scale Forestry","type":"article-journal","volume":"15"},"uris":["http://www.mendeley.com/documents/?uuid=3cf36141-f60c-4e19-9b57-e9b92019bc1d"]}],"mendeley":{"formattedCitation":"(Baul et al. 2015a)","manualFormatting":"(Michael 1990)","plainTextFormattedCitation":"(Baul et al. 2015a)","previouslyFormattedCitation":"(Baul et al. 2015a)"},"properties":{"noteIndex":0},"schema":"https://github.com/citation-style-language/schema/raw/master/csl-citation.json"}</w:instrText>
            </w:r>
            <w:r w:rsidRPr="007E306A">
              <w:rPr>
                <w:sz w:val="20"/>
                <w:szCs w:val="20"/>
              </w:rPr>
              <w:fldChar w:fldCharType="separate"/>
            </w:r>
            <w:r w:rsidRPr="007E306A">
              <w:rPr>
                <w:noProof/>
                <w:sz w:val="20"/>
                <w:szCs w:val="20"/>
              </w:rPr>
              <w:t>(Michael</w:t>
            </w:r>
            <w:r w:rsidR="007E306A" w:rsidRPr="007E306A">
              <w:rPr>
                <w:noProof/>
                <w:sz w:val="20"/>
                <w:szCs w:val="20"/>
                <w:lang w:val="en-FI"/>
              </w:rPr>
              <w:t>,</w:t>
            </w:r>
            <w:r w:rsidRPr="007E306A">
              <w:rPr>
                <w:noProof/>
                <w:sz w:val="20"/>
                <w:szCs w:val="20"/>
              </w:rPr>
              <w:t xml:space="preserve"> 1990)</w:t>
            </w:r>
            <w:r w:rsidRPr="007E306A">
              <w:rPr>
                <w:sz w:val="20"/>
                <w:szCs w:val="20"/>
              </w:rPr>
              <w:fldChar w:fldCharType="end"/>
            </w:r>
          </w:p>
        </w:tc>
      </w:tr>
      <w:tr w:rsidR="00C64ADF" w:rsidRPr="00D2344D" w14:paraId="1101EDE6" w14:textId="77777777" w:rsidTr="00B97079">
        <w:trPr>
          <w:trHeight w:val="346"/>
        </w:trPr>
        <w:tc>
          <w:tcPr>
            <w:tcW w:w="930" w:type="dxa"/>
          </w:tcPr>
          <w:p w14:paraId="3C0842B3" w14:textId="77777777" w:rsidR="00C64ADF" w:rsidRPr="00D2344D" w:rsidRDefault="00C64ADF" w:rsidP="00B97079">
            <w:pPr>
              <w:pStyle w:val="Firstpara"/>
              <w:spacing w:line="240" w:lineRule="auto"/>
              <w:rPr>
                <w:sz w:val="20"/>
                <w:szCs w:val="20"/>
              </w:rPr>
            </w:pPr>
            <w:r w:rsidRPr="00D2344D">
              <w:rPr>
                <w:sz w:val="20"/>
                <w:szCs w:val="20"/>
              </w:rPr>
              <w:t>2</w:t>
            </w:r>
          </w:p>
        </w:tc>
        <w:tc>
          <w:tcPr>
            <w:tcW w:w="5449" w:type="dxa"/>
          </w:tcPr>
          <w:p w14:paraId="23F39F87" w14:textId="77777777" w:rsidR="00C64ADF" w:rsidRPr="00D2344D" w:rsidRDefault="00C64ADF" w:rsidP="00B97079">
            <w:pPr>
              <w:pStyle w:val="Firstpara"/>
              <w:spacing w:line="240" w:lineRule="auto"/>
              <w:rPr>
                <w:i/>
                <w:iCs/>
                <w:sz w:val="20"/>
                <w:szCs w:val="20"/>
                <w:lang w:val="en-US"/>
              </w:rPr>
            </w:pPr>
            <w:r w:rsidRPr="00D2344D">
              <w:rPr>
                <w:sz w:val="20"/>
                <w:szCs w:val="20"/>
                <w:lang w:val="en-US"/>
              </w:rPr>
              <w:t>Tree density (</w:t>
            </w:r>
            <w:r w:rsidRPr="009E02A7">
              <w:rPr>
                <w:sz w:val="20"/>
                <w:szCs w:val="20"/>
                <w:lang w:val="en-US"/>
              </w:rPr>
              <w:t>number</w:t>
            </w:r>
            <w:r w:rsidRPr="00D2344D">
              <w:rPr>
                <w:sz w:val="20"/>
                <w:szCs w:val="20"/>
                <w:lang w:val="en-US"/>
              </w:rPr>
              <w:t xml:space="preserve"> ha</w:t>
            </w:r>
            <w:r w:rsidRPr="00D2344D">
              <w:rPr>
                <w:sz w:val="20"/>
                <w:szCs w:val="20"/>
                <w:vertAlign w:val="superscript"/>
                <w:lang w:val="en-US"/>
              </w:rPr>
              <w:t>-1</w:t>
            </w:r>
            <w:r w:rsidRPr="00D2344D">
              <w:rPr>
                <w:sz w:val="20"/>
                <w:szCs w:val="20"/>
                <w:lang w:val="en-US"/>
              </w:rPr>
              <w:t xml:space="preserve">) = </w:t>
            </w:r>
            <w:r>
              <w:rPr>
                <w:sz w:val="20"/>
                <w:szCs w:val="20"/>
                <w:lang w:val="en-US"/>
              </w:rPr>
              <w:t>N</w:t>
            </w:r>
            <w:r w:rsidRPr="00D2344D">
              <w:rPr>
                <w:rFonts w:eastAsiaTheme="minorEastAsia"/>
                <w:sz w:val="20"/>
                <w:szCs w:val="20"/>
                <w:lang w:val="en-US"/>
              </w:rPr>
              <w:t>/A</w:t>
            </w:r>
          </w:p>
        </w:tc>
        <w:tc>
          <w:tcPr>
            <w:tcW w:w="2647" w:type="dxa"/>
          </w:tcPr>
          <w:p w14:paraId="543BB0FE" w14:textId="4B8A8C21" w:rsidR="00C64ADF" w:rsidRPr="007E306A" w:rsidRDefault="00C64ADF" w:rsidP="00B97079">
            <w:pPr>
              <w:pStyle w:val="Firstpara"/>
              <w:spacing w:line="240" w:lineRule="auto"/>
              <w:rPr>
                <w:sz w:val="20"/>
                <w:szCs w:val="20"/>
              </w:rPr>
            </w:pPr>
            <w:r w:rsidRPr="007E306A">
              <w:rPr>
                <w:sz w:val="20"/>
                <w:szCs w:val="20"/>
              </w:rPr>
              <w:fldChar w:fldCharType="begin" w:fldLock="1"/>
            </w:r>
            <w:r w:rsidRPr="007E306A">
              <w:rPr>
                <w:sz w:val="20"/>
                <w:szCs w:val="20"/>
              </w:rPr>
              <w:instrText>ADDIN CSL_CITATION {"citationItems":[{"id":"ITEM-1","itemData":{"author":[{"dropping-particle":"","family":"Baul","given":"Tarit Kumar","non-dropping-particle":"","parse-names":false,"suffix":""},{"dropping-particle":"","family":"Charlery","given":"Lindy Callen","non-dropping-particle":"","parse-names":false,"suffix":""},{"dropping-particle":"","family":"Suber","given":"Marta","non-dropping-particle":"","parse-names":false,"suffix":""},{"dropping-particle":"","family":"Hardial","given":"Urmilla","non-dropping-particle":"","parse-names":false,"suffix":""},{"dropping-particle":"","family":"Muller","given":"Michael","non-dropping-particle":"","parse-names":false,"suffix":""}],"container-title":"Indian Forester","id":"ITEM-1","issue":"5","issued":{"date-parts":[["2013"]]},"page":"459-464","title":"Vegetation characteristics and volume estimation of Shorea and Schima-Castanopsis of Kaski District of Nepal","type":"article-journal","volume":"139"},"uris":["http://www.mendeley.com/documents/?uuid=1b2ac402-4076-42d7-a3ee-5934c8b9588b"]}],"mendeley":{"formattedCitation":"(Baul et al. 2013)","manualFormatting":"(Shukla and Chandel 2000)","plainTextFormattedCitation":"(Baul et al. 2013)","previouslyFormattedCitation":"(Baul et al. 2013)"},"properties":{"noteIndex":0},"schema":"https://github.com/citation-style-language/schema/raw/master/csl-citation.json"}</w:instrText>
            </w:r>
            <w:r w:rsidRPr="007E306A">
              <w:rPr>
                <w:sz w:val="20"/>
                <w:szCs w:val="20"/>
              </w:rPr>
              <w:fldChar w:fldCharType="separate"/>
            </w:r>
            <w:r w:rsidRPr="007E306A">
              <w:rPr>
                <w:noProof/>
                <w:sz w:val="20"/>
                <w:szCs w:val="20"/>
              </w:rPr>
              <w:t>(Shukla and Chandel</w:t>
            </w:r>
            <w:r w:rsidR="007E306A" w:rsidRPr="007E306A">
              <w:rPr>
                <w:noProof/>
                <w:sz w:val="20"/>
                <w:szCs w:val="20"/>
                <w:lang w:val="en-FI"/>
              </w:rPr>
              <w:t>,</w:t>
            </w:r>
            <w:r w:rsidRPr="007E306A">
              <w:rPr>
                <w:noProof/>
                <w:sz w:val="20"/>
                <w:szCs w:val="20"/>
              </w:rPr>
              <w:t xml:space="preserve"> 2000)</w:t>
            </w:r>
            <w:r w:rsidRPr="007E306A">
              <w:rPr>
                <w:sz w:val="20"/>
                <w:szCs w:val="20"/>
              </w:rPr>
              <w:fldChar w:fldCharType="end"/>
            </w:r>
          </w:p>
        </w:tc>
      </w:tr>
      <w:tr w:rsidR="00C64ADF" w:rsidRPr="00D2344D" w14:paraId="219724CA" w14:textId="77777777" w:rsidTr="00B97079">
        <w:trPr>
          <w:trHeight w:val="363"/>
        </w:trPr>
        <w:tc>
          <w:tcPr>
            <w:tcW w:w="930" w:type="dxa"/>
          </w:tcPr>
          <w:p w14:paraId="12103A11" w14:textId="77777777" w:rsidR="00C64ADF" w:rsidRPr="00D2344D" w:rsidRDefault="00C64ADF" w:rsidP="00B97079">
            <w:pPr>
              <w:pStyle w:val="Firstpara"/>
              <w:spacing w:line="240" w:lineRule="auto"/>
              <w:rPr>
                <w:sz w:val="20"/>
                <w:szCs w:val="20"/>
              </w:rPr>
            </w:pPr>
            <w:r w:rsidRPr="00D2344D">
              <w:rPr>
                <w:sz w:val="20"/>
                <w:szCs w:val="20"/>
              </w:rPr>
              <w:t>3</w:t>
            </w:r>
          </w:p>
        </w:tc>
        <w:tc>
          <w:tcPr>
            <w:tcW w:w="5449" w:type="dxa"/>
          </w:tcPr>
          <w:p w14:paraId="139069C8" w14:textId="77777777" w:rsidR="00C64ADF" w:rsidRPr="001B62A9" w:rsidRDefault="00C64ADF" w:rsidP="00B97079">
            <w:pPr>
              <w:pStyle w:val="Firstpara"/>
              <w:spacing w:line="240" w:lineRule="auto"/>
              <w:rPr>
                <w:sz w:val="20"/>
                <w:szCs w:val="20"/>
                <w:lang w:val="en-US"/>
              </w:rPr>
            </w:pPr>
            <w:r w:rsidRPr="00D2344D">
              <w:rPr>
                <w:sz w:val="20"/>
                <w:szCs w:val="20"/>
                <w:lang w:val="en-US"/>
              </w:rPr>
              <w:t>Basal area, BA (m</w:t>
            </w:r>
            <w:r w:rsidRPr="00D2344D">
              <w:rPr>
                <w:sz w:val="20"/>
                <w:szCs w:val="20"/>
                <w:vertAlign w:val="superscript"/>
                <w:lang w:val="en-US"/>
              </w:rPr>
              <w:t>2</w:t>
            </w:r>
            <w:r w:rsidRPr="00D2344D">
              <w:rPr>
                <w:sz w:val="20"/>
                <w:szCs w:val="20"/>
                <w:lang w:val="en-US"/>
              </w:rPr>
              <w:t xml:space="preserve"> tree</w:t>
            </w:r>
            <w:r w:rsidRPr="00D2344D">
              <w:rPr>
                <w:sz w:val="20"/>
                <w:szCs w:val="20"/>
                <w:vertAlign w:val="superscript"/>
                <w:lang w:val="en-US"/>
              </w:rPr>
              <w:t>-1</w:t>
            </w:r>
            <w:r w:rsidRPr="00D2344D">
              <w:rPr>
                <w:sz w:val="20"/>
                <w:szCs w:val="20"/>
                <w:lang w:val="en-US"/>
              </w:rPr>
              <w:t xml:space="preserve">) = </w:t>
            </w:r>
            <m:oMath>
              <m:sSup>
                <m:sSupPr>
                  <m:ctrlPr>
                    <w:rPr>
                      <w:rFonts w:ascii="Cambria Math" w:hAnsi="Cambria Math"/>
                      <w:i/>
                      <w:sz w:val="20"/>
                      <w:szCs w:val="20"/>
                    </w:rPr>
                  </m:ctrlPr>
                </m:sSupPr>
                <m:e>
                  <m:f>
                    <m:fPr>
                      <m:ctrlPr>
                        <w:rPr>
                          <w:rFonts w:ascii="Cambria Math" w:hAnsi="Cambria Math"/>
                          <w:i/>
                          <w:sz w:val="20"/>
                          <w:szCs w:val="20"/>
                        </w:rPr>
                      </m:ctrlPr>
                    </m:fPr>
                    <m:num>
                      <m:r>
                        <w:rPr>
                          <w:rFonts w:ascii="Cambria Math" w:hAnsi="Cambria Math"/>
                          <w:sz w:val="20"/>
                          <w:szCs w:val="20"/>
                        </w:rPr>
                        <m:t>π</m:t>
                      </m:r>
                      <m:r>
                        <w:rPr>
                          <w:rFonts w:ascii="Cambria Math" w:hAnsi="Cambria Math"/>
                          <w:sz w:val="20"/>
                          <w:szCs w:val="20"/>
                          <w:lang w:val="en-US"/>
                        </w:rPr>
                        <m:t xml:space="preserve"> (</m:t>
                      </m:r>
                      <m:r>
                        <w:rPr>
                          <w:rFonts w:ascii="Cambria Math" w:hAnsi="Cambria Math"/>
                          <w:sz w:val="20"/>
                          <w:szCs w:val="20"/>
                        </w:rPr>
                        <m:t>db</m:t>
                      </m:r>
                      <m:r>
                        <w:rPr>
                          <w:rFonts w:ascii="Cambria Math" w:hAnsi="Cambria Math"/>
                          <w:sz w:val="20"/>
                          <w:szCs w:val="20"/>
                          <w:lang w:val="en-US"/>
                        </w:rPr>
                        <m:t>h×0.01)</m:t>
                      </m:r>
                    </m:num>
                    <m:den>
                      <m:r>
                        <w:rPr>
                          <w:rFonts w:ascii="Cambria Math" w:hAnsi="Cambria Math"/>
                          <w:sz w:val="20"/>
                          <w:szCs w:val="20"/>
                          <w:lang w:val="en-US"/>
                        </w:rPr>
                        <m:t>4</m:t>
                      </m:r>
                    </m:den>
                  </m:f>
                </m:e>
                <m:sup>
                  <m:r>
                    <w:rPr>
                      <w:rFonts w:ascii="Cambria Math" w:hAnsi="Cambria Math"/>
                      <w:sz w:val="20"/>
                      <w:szCs w:val="20"/>
                      <w:lang w:val="en-US"/>
                    </w:rPr>
                    <m:t>2</m:t>
                  </m:r>
                </m:sup>
              </m:sSup>
            </m:oMath>
          </w:p>
        </w:tc>
        <w:tc>
          <w:tcPr>
            <w:tcW w:w="2647" w:type="dxa"/>
          </w:tcPr>
          <w:p w14:paraId="2636DBB3" w14:textId="0F80640A" w:rsidR="00C64ADF" w:rsidRPr="007E306A" w:rsidRDefault="00C64ADF" w:rsidP="00B97079">
            <w:pPr>
              <w:rPr>
                <w:rFonts w:ascii="Times New Roman" w:hAnsi="Times New Roman" w:cs="Times New Roman"/>
                <w:sz w:val="20"/>
                <w:szCs w:val="20"/>
              </w:rPr>
            </w:pPr>
            <w:r w:rsidRPr="007E306A">
              <w:rPr>
                <w:rFonts w:ascii="Times New Roman" w:hAnsi="Times New Roman" w:cs="Times New Roman"/>
                <w:sz w:val="20"/>
                <w:szCs w:val="20"/>
              </w:rPr>
              <w:fldChar w:fldCharType="begin" w:fldLock="1"/>
            </w:r>
            <w:r w:rsidRPr="007E306A">
              <w:rPr>
                <w:rFonts w:ascii="Times New Roman" w:hAnsi="Times New Roman" w:cs="Times New Roman"/>
                <w:sz w:val="20"/>
                <w:szCs w:val="20"/>
              </w:rPr>
              <w:instrText>ADDIN CSL_CITATION {"citationItems":[{"id":"ITEM-1","itemData":{"author":[{"dropping-particle":"","family":"Baul","given":"Tarit Kumar","non-dropping-particle":"","parse-names":false,"suffix":""},{"dropping-particle":"","family":"Charlery","given":"Lindy Callen","non-dropping-particle":"","parse-names":false,"suffix":""},{"dropping-particle":"","family":"Suber","given":"Marta","non-dropping-particle":"","parse-names":false,"suffix":""},{"dropping-particle":"","family":"Hardial","given":"Urmilla","non-dropping-particle":"","parse-names":false,"suffix":""},{"dropping-particle":"","family":"Muller","given":"Michael","non-dropping-particle":"","parse-names":false,"suffix":""}],"container-title":"Indian Forester","id":"ITEM-1","issue":"5","issued":{"date-parts":[["2013"]]},"page":"459-464","title":"Vegetation characteristics and volume estimation of Shorea and Schima-Castanopsis of Kaski District of Nepal","type":"article-journal","volume":"139"},"uris":["http://www.mendeley.com/documents/?uuid=1b2ac402-4076-42d7-a3ee-5934c8b9588b"]}],"mendeley":{"formattedCitation":"(Baul et al. 2013)","manualFormatting":"(Shukla and Chandel 2000)","plainTextFormattedCitation":"(Baul et al. 2013)","previouslyFormattedCitation":"(Baul et al. 2013)"},"properties":{"noteIndex":0},"schema":"https://github.com/citation-style-language/schema/raw/master/csl-citation.json"}</w:instrText>
            </w:r>
            <w:r w:rsidRPr="007E306A">
              <w:rPr>
                <w:rFonts w:ascii="Times New Roman" w:hAnsi="Times New Roman" w:cs="Times New Roman"/>
                <w:sz w:val="20"/>
                <w:szCs w:val="20"/>
              </w:rPr>
              <w:fldChar w:fldCharType="separate"/>
            </w:r>
            <w:r w:rsidRPr="007E306A">
              <w:rPr>
                <w:rFonts w:ascii="Times New Roman" w:hAnsi="Times New Roman" w:cs="Times New Roman"/>
                <w:noProof/>
                <w:sz w:val="20"/>
                <w:szCs w:val="20"/>
              </w:rPr>
              <w:t>(Shukla and Chandel</w:t>
            </w:r>
            <w:r w:rsidR="007E306A" w:rsidRPr="007E306A">
              <w:rPr>
                <w:rFonts w:ascii="Times New Roman" w:hAnsi="Times New Roman" w:cs="Times New Roman"/>
                <w:noProof/>
                <w:sz w:val="20"/>
                <w:szCs w:val="20"/>
                <w:lang w:val="en-FI"/>
              </w:rPr>
              <w:t xml:space="preserve">, </w:t>
            </w:r>
            <w:r w:rsidRPr="007E306A">
              <w:rPr>
                <w:rFonts w:ascii="Times New Roman" w:hAnsi="Times New Roman" w:cs="Times New Roman"/>
                <w:noProof/>
                <w:sz w:val="20"/>
                <w:szCs w:val="20"/>
              </w:rPr>
              <w:t>2000)</w:t>
            </w:r>
            <w:r w:rsidRPr="007E306A">
              <w:rPr>
                <w:rFonts w:ascii="Times New Roman" w:hAnsi="Times New Roman" w:cs="Times New Roman"/>
                <w:sz w:val="20"/>
                <w:szCs w:val="20"/>
              </w:rPr>
              <w:fldChar w:fldCharType="end"/>
            </w:r>
          </w:p>
        </w:tc>
      </w:tr>
      <w:tr w:rsidR="00C64ADF" w:rsidRPr="00D2344D" w14:paraId="271F634B" w14:textId="77777777" w:rsidTr="00B97079">
        <w:trPr>
          <w:trHeight w:val="288"/>
        </w:trPr>
        <w:tc>
          <w:tcPr>
            <w:tcW w:w="930" w:type="dxa"/>
          </w:tcPr>
          <w:p w14:paraId="3E6B2D27" w14:textId="77777777" w:rsidR="00C64ADF" w:rsidRPr="00D2344D" w:rsidRDefault="00C64ADF" w:rsidP="00B97079">
            <w:pPr>
              <w:pStyle w:val="Firstpara"/>
              <w:spacing w:line="240" w:lineRule="auto"/>
              <w:rPr>
                <w:sz w:val="20"/>
                <w:szCs w:val="20"/>
              </w:rPr>
            </w:pPr>
            <w:r w:rsidRPr="00D2344D">
              <w:rPr>
                <w:sz w:val="20"/>
                <w:szCs w:val="20"/>
              </w:rPr>
              <w:t>4</w:t>
            </w:r>
          </w:p>
        </w:tc>
        <w:tc>
          <w:tcPr>
            <w:tcW w:w="5449" w:type="dxa"/>
          </w:tcPr>
          <w:p w14:paraId="30B00DDB" w14:textId="77777777" w:rsidR="00C64ADF" w:rsidRPr="00D2344D" w:rsidRDefault="00C64ADF" w:rsidP="00B97079">
            <w:pPr>
              <w:pStyle w:val="Firstpara"/>
              <w:spacing w:line="240" w:lineRule="auto"/>
              <w:rPr>
                <w:sz w:val="20"/>
                <w:szCs w:val="20"/>
              </w:rPr>
            </w:pPr>
            <w:r w:rsidRPr="00F0106D">
              <w:rPr>
                <w:sz w:val="20"/>
                <w:szCs w:val="20"/>
              </w:rPr>
              <w:t>BA (m</w:t>
            </w:r>
            <w:r w:rsidRPr="00F0106D">
              <w:rPr>
                <w:sz w:val="20"/>
                <w:szCs w:val="20"/>
                <w:vertAlign w:val="superscript"/>
              </w:rPr>
              <w:t>2</w:t>
            </w:r>
            <w:r w:rsidRPr="00F0106D">
              <w:rPr>
                <w:sz w:val="20"/>
                <w:szCs w:val="20"/>
              </w:rPr>
              <w:t xml:space="preserve"> ha</w:t>
            </w:r>
            <w:r w:rsidRPr="00F0106D">
              <w:rPr>
                <w:sz w:val="20"/>
                <w:szCs w:val="20"/>
                <w:vertAlign w:val="superscript"/>
              </w:rPr>
              <w:t>-1</w:t>
            </w:r>
            <w:r w:rsidRPr="00F0106D">
              <w:rPr>
                <w:sz w:val="20"/>
                <w:szCs w:val="20"/>
              </w:rPr>
              <w:t xml:space="preserve">) = </w:t>
            </w:r>
            <m:oMath>
              <m:f>
                <m:fPr>
                  <m:ctrlPr>
                    <w:rPr>
                      <w:rFonts w:ascii="Cambria Math" w:eastAsiaTheme="minorEastAsia" w:hAnsi="Cambria Math"/>
                      <w:i/>
                      <w:sz w:val="20"/>
                      <w:szCs w:val="20"/>
                    </w:rPr>
                  </m:ctrlPr>
                </m:fPr>
                <m:num>
                  <m:r>
                    <w:rPr>
                      <w:rFonts w:ascii="Cambria Math" w:eastAsiaTheme="minorEastAsia" w:hAnsi="Cambria Math"/>
                      <w:sz w:val="20"/>
                      <w:szCs w:val="20"/>
                    </w:rPr>
                    <m:t>ΣBA</m:t>
                  </m:r>
                </m:num>
                <m:den>
                  <m:r>
                    <w:rPr>
                      <w:rFonts w:ascii="Cambria Math" w:eastAsiaTheme="minorEastAsia" w:hAnsi="Cambria Math"/>
                      <w:sz w:val="20"/>
                      <w:szCs w:val="20"/>
                    </w:rPr>
                    <m:t xml:space="preserve">Σ </m:t>
                  </m:r>
                  <m:r>
                    <w:rPr>
                      <w:rFonts w:ascii="Cambria Math" w:eastAsiaTheme="minorEastAsia" w:hAnsi="Cambria Math"/>
                      <w:sz w:val="20"/>
                      <w:szCs w:val="20"/>
                      <w:lang w:val="en-US"/>
                    </w:rPr>
                    <m:t>A</m:t>
                  </m:r>
                </m:den>
              </m:f>
              <m:r>
                <w:rPr>
                  <w:rFonts w:ascii="Cambria Math" w:eastAsiaTheme="minorEastAsia" w:hAnsi="Cambria Math"/>
                  <w:sz w:val="20"/>
                  <w:szCs w:val="20"/>
                </w:rPr>
                <m:t xml:space="preserve"> ×10000</m:t>
              </m:r>
            </m:oMath>
          </w:p>
        </w:tc>
        <w:tc>
          <w:tcPr>
            <w:tcW w:w="2647" w:type="dxa"/>
          </w:tcPr>
          <w:p w14:paraId="6D10587B" w14:textId="2AEE1E67" w:rsidR="00C64ADF" w:rsidRPr="007E306A" w:rsidRDefault="00C64ADF" w:rsidP="00B97079">
            <w:pPr>
              <w:pStyle w:val="Firstpara"/>
              <w:spacing w:line="240" w:lineRule="auto"/>
              <w:rPr>
                <w:sz w:val="20"/>
                <w:szCs w:val="20"/>
              </w:rPr>
            </w:pPr>
            <w:r w:rsidRPr="007E306A">
              <w:rPr>
                <w:sz w:val="20"/>
                <w:szCs w:val="20"/>
              </w:rPr>
              <w:fldChar w:fldCharType="begin" w:fldLock="1"/>
            </w:r>
            <w:r w:rsidRPr="007E306A">
              <w:rPr>
                <w:sz w:val="20"/>
                <w:szCs w:val="20"/>
              </w:rPr>
              <w:instrText>ADDIN CSL_CITATION {"citationItems":[{"id":"ITEM-1","itemData":{"author":[{"dropping-particle":"","family":"Baul","given":"Tarit Kumar","non-dropping-particle":"","parse-names":false,"suffix":""},{"dropping-particle":"","family":"Charlery","given":"Lindy Callen","non-dropping-particle":"","parse-names":false,"suffix":""},{"dropping-particle":"","family":"Suber","given":"Marta","non-dropping-particle":"","parse-names":false,"suffix":""},{"dropping-particle":"","family":"Hardial","given":"Urmilla","non-dropping-particle":"","parse-names":false,"suffix":""},{"dropping-particle":"","family":"Muller","given":"Michael","non-dropping-particle":"","parse-names":false,"suffix":""}],"container-title":"Indian Forester","id":"ITEM-1","issue":"5","issued":{"date-parts":[["2013"]]},"page":"459-464","title":"Vegetation characteristics and volume estimation of Shorea and Schima-Castanopsis of Kaski District of Nepal","type":"article-journal","volume":"139"},"uris":["http://www.mendeley.com/documents/?uuid=1b2ac402-4076-42d7-a3ee-5934c8b9588b"]}],"mendeley":{"formattedCitation":"(Baul et al. 2013)","manualFormatting":"(Shukla and Chandel 2000)","plainTextFormattedCitation":"(Baul et al. 2013)","previouslyFormattedCitation":"(Baul et al. 2013)"},"properties":{"noteIndex":0},"schema":"https://github.com/citation-style-language/schema/raw/master/csl-citation.json"}</w:instrText>
            </w:r>
            <w:r w:rsidRPr="007E306A">
              <w:rPr>
                <w:sz w:val="20"/>
                <w:szCs w:val="20"/>
              </w:rPr>
              <w:fldChar w:fldCharType="separate"/>
            </w:r>
            <w:r w:rsidRPr="007E306A">
              <w:rPr>
                <w:noProof/>
                <w:sz w:val="20"/>
                <w:szCs w:val="20"/>
              </w:rPr>
              <w:t>(Shukla and Chandel</w:t>
            </w:r>
            <w:r w:rsidR="007E306A" w:rsidRPr="007E306A">
              <w:rPr>
                <w:noProof/>
                <w:sz w:val="20"/>
                <w:szCs w:val="20"/>
                <w:lang w:val="en-FI"/>
              </w:rPr>
              <w:t>,</w:t>
            </w:r>
            <w:r w:rsidRPr="007E306A">
              <w:rPr>
                <w:noProof/>
                <w:sz w:val="20"/>
                <w:szCs w:val="20"/>
              </w:rPr>
              <w:t xml:space="preserve"> 2000)</w:t>
            </w:r>
            <w:r w:rsidRPr="007E306A">
              <w:rPr>
                <w:sz w:val="20"/>
                <w:szCs w:val="20"/>
              </w:rPr>
              <w:fldChar w:fldCharType="end"/>
            </w:r>
          </w:p>
        </w:tc>
      </w:tr>
      <w:tr w:rsidR="00C64ADF" w:rsidRPr="00D2344D" w14:paraId="0E665142" w14:textId="77777777" w:rsidTr="00B97079">
        <w:trPr>
          <w:trHeight w:val="540"/>
        </w:trPr>
        <w:tc>
          <w:tcPr>
            <w:tcW w:w="930" w:type="dxa"/>
          </w:tcPr>
          <w:p w14:paraId="7A30EA6B" w14:textId="77777777" w:rsidR="00C64ADF" w:rsidRPr="00D2344D" w:rsidRDefault="00C64ADF" w:rsidP="00B97079">
            <w:pPr>
              <w:pStyle w:val="Firstpara"/>
              <w:spacing w:line="240" w:lineRule="auto"/>
              <w:rPr>
                <w:sz w:val="20"/>
                <w:szCs w:val="20"/>
              </w:rPr>
            </w:pPr>
            <w:r>
              <w:rPr>
                <w:sz w:val="20"/>
                <w:szCs w:val="20"/>
              </w:rPr>
              <w:t>5</w:t>
            </w:r>
          </w:p>
        </w:tc>
        <w:tc>
          <w:tcPr>
            <w:tcW w:w="5449" w:type="dxa"/>
          </w:tcPr>
          <w:p w14:paraId="419DF139" w14:textId="77777777" w:rsidR="00C64ADF" w:rsidRPr="00D2344D" w:rsidRDefault="00C64ADF" w:rsidP="00B97079">
            <w:pPr>
              <w:pStyle w:val="Firstpara"/>
              <w:spacing w:line="240" w:lineRule="auto"/>
              <w:jc w:val="left"/>
              <w:rPr>
                <w:sz w:val="20"/>
                <w:szCs w:val="20"/>
                <w:lang w:val="en-US"/>
              </w:rPr>
            </w:pPr>
            <w:r w:rsidRPr="00CE6202">
              <w:rPr>
                <w:rFonts w:eastAsiaTheme="minorEastAsia"/>
                <w:sz w:val="20"/>
                <w:szCs w:val="20"/>
                <w:lang w:val="en-US"/>
              </w:rPr>
              <w:t xml:space="preserve">Tree </w:t>
            </w:r>
            <w:r w:rsidRPr="00D7029E">
              <w:rPr>
                <w:rFonts w:eastAsia="Calibri"/>
                <w:sz w:val="20"/>
                <w:szCs w:val="20"/>
                <w:lang w:val="en-US"/>
              </w:rPr>
              <w:t xml:space="preserve">aboveground biomass </w:t>
            </w:r>
            <m:oMath>
              <m:r>
                <w:rPr>
                  <w:rFonts w:ascii="Cambria Math" w:hAnsi="Cambria Math"/>
                  <w:sz w:val="20"/>
                  <w:szCs w:val="20"/>
                </w:rPr>
                <m:t>AGB</m:t>
              </m:r>
              <m:r>
                <w:rPr>
                  <w:rFonts w:ascii="Cambria Math" w:hAnsi="Cambria Math"/>
                  <w:sz w:val="20"/>
                  <w:szCs w:val="20"/>
                  <w:lang w:val="en-US"/>
                </w:rPr>
                <m:t xml:space="preserve"> (</m:t>
              </m:r>
              <m:r>
                <w:rPr>
                  <w:rFonts w:ascii="Cambria Math" w:hAnsi="Cambria Math"/>
                  <w:sz w:val="20"/>
                  <w:szCs w:val="20"/>
                </w:rPr>
                <m:t>kg</m:t>
              </m:r>
              <m:r>
                <w:rPr>
                  <w:rFonts w:ascii="Cambria Math" w:hAnsi="Cambria Math"/>
                  <w:sz w:val="20"/>
                  <w:szCs w:val="20"/>
                  <w:lang w:val="en-US"/>
                </w:rPr>
                <m:t>)=0.0673 ×(</m:t>
              </m:r>
              <m:r>
                <m:rPr>
                  <m:sty m:val="p"/>
                </m:rPr>
                <w:rPr>
                  <w:rFonts w:ascii="Cambria Math" w:hAnsi="Cambria Math"/>
                  <w:sz w:val="20"/>
                  <w:szCs w:val="20"/>
                </w:rPr>
                <m:t>ρ</m:t>
              </m:r>
              <m:sSup>
                <m:sSupPr>
                  <m:ctrlPr>
                    <w:rPr>
                      <w:rFonts w:ascii="Cambria Math" w:hAnsi="Cambria Math"/>
                      <w:sz w:val="20"/>
                      <w:szCs w:val="20"/>
                    </w:rPr>
                  </m:ctrlPr>
                </m:sSupPr>
                <m:e>
                  <m:r>
                    <w:rPr>
                      <w:rFonts w:ascii="Cambria Math" w:hAnsi="Cambria Math"/>
                      <w:sz w:val="20"/>
                      <w:szCs w:val="20"/>
                      <w:lang w:val="en-US"/>
                    </w:rPr>
                    <m:t>(</m:t>
                  </m:r>
                  <m:r>
                    <w:rPr>
                      <w:rFonts w:ascii="Cambria Math" w:hAnsi="Cambria Math"/>
                      <w:sz w:val="20"/>
                      <w:szCs w:val="20"/>
                    </w:rPr>
                    <m:t>db</m:t>
                  </m:r>
                  <m:r>
                    <w:rPr>
                      <w:rFonts w:ascii="Cambria Math" w:hAnsi="Cambria Math"/>
                      <w:sz w:val="20"/>
                      <w:szCs w:val="20"/>
                      <w:lang w:val="en-US"/>
                    </w:rPr>
                    <m:t>h)</m:t>
                  </m:r>
                </m:e>
                <m:sup>
                  <m:r>
                    <w:rPr>
                      <w:rFonts w:ascii="Cambria Math" w:hAnsi="Cambria Math"/>
                      <w:sz w:val="20"/>
                      <w:szCs w:val="20"/>
                      <w:lang w:val="en-US"/>
                    </w:rPr>
                    <m:t>2</m:t>
                  </m:r>
                </m:sup>
              </m:sSup>
              <m:r>
                <w:rPr>
                  <w:rFonts w:ascii="Cambria Math" w:hAnsi="Cambria Math"/>
                  <w:sz w:val="20"/>
                  <w:szCs w:val="20"/>
                  <w:lang w:val="en-US"/>
                </w:rPr>
                <m:t xml:space="preserve"> </m:t>
              </m:r>
              <m:sSup>
                <m:sSupPr>
                  <m:ctrlPr>
                    <w:rPr>
                      <w:rFonts w:ascii="Cambria Math" w:hAnsi="Cambria Math"/>
                      <w:i/>
                      <w:sz w:val="20"/>
                      <w:szCs w:val="20"/>
                    </w:rPr>
                  </m:ctrlPr>
                </m:sSupPr>
                <m:e>
                  <m:r>
                    <w:rPr>
                      <w:rFonts w:ascii="Cambria Math" w:hAnsi="Cambria Math"/>
                      <w:sz w:val="20"/>
                      <w:szCs w:val="20"/>
                    </w:rPr>
                    <m:t>H</m:t>
                  </m:r>
                  <m:r>
                    <w:rPr>
                      <w:rFonts w:ascii="Cambria Math" w:hAnsi="Cambria Math"/>
                      <w:sz w:val="20"/>
                      <w:szCs w:val="20"/>
                      <w:lang w:val="en-US"/>
                    </w:rPr>
                    <m:t>)</m:t>
                  </m:r>
                </m:e>
                <m:sup>
                  <m:r>
                    <w:rPr>
                      <w:rFonts w:ascii="Cambria Math" w:hAnsi="Cambria Math"/>
                      <w:sz w:val="20"/>
                      <w:szCs w:val="20"/>
                      <w:lang w:val="en-US"/>
                    </w:rPr>
                    <m:t>0.976</m:t>
                  </m:r>
                </m:sup>
              </m:sSup>
            </m:oMath>
          </w:p>
        </w:tc>
        <w:tc>
          <w:tcPr>
            <w:tcW w:w="2647" w:type="dxa"/>
          </w:tcPr>
          <w:p w14:paraId="633BF657" w14:textId="77777777" w:rsidR="00C64ADF" w:rsidRPr="007E306A" w:rsidRDefault="00C64ADF" w:rsidP="00B97079">
            <w:pPr>
              <w:pStyle w:val="Firstpara"/>
              <w:spacing w:line="240" w:lineRule="auto"/>
              <w:jc w:val="left"/>
              <w:rPr>
                <w:sz w:val="20"/>
                <w:szCs w:val="20"/>
              </w:rPr>
            </w:pPr>
            <w:r w:rsidRPr="007E306A">
              <w:rPr>
                <w:sz w:val="20"/>
                <w:szCs w:val="20"/>
              </w:rPr>
              <w:fldChar w:fldCharType="begin" w:fldLock="1"/>
            </w:r>
            <w:r w:rsidRPr="007E306A">
              <w:rPr>
                <w:sz w:val="20"/>
                <w:szCs w:val="20"/>
                <w:lang w:val="en-US"/>
              </w:rPr>
              <w:instrText>ADDIN CSL_CITATION {"citationItems":[{"id":"ITEM-1","itemData":{"DOI":"10.1111/gcb.12629","ISSN":"13652486","PMID":"24817483","abstract":"Terrestrial carbon stock mapping is important for the successful implementation of climate change mitigation policies. Its accuracy depends on the availability of reliable allometric models to infer oven-dry aboveground biomass of trees from census data. The degree of uncertainty associated with previously published pantropical aboveground biomass allometries is large. We analyzed a global database of directly harvested trees at 58 sites, spanning a wide range of climatic conditions and vegetation types (4004 trees = 5 cm trunk diameter). When trunk diameter, total tree height, and wood specific gravity were included in the aboveground biomass model as covariates, a single model was found to hold across tropical vegetation types, with no detectable effect of region or environmental factors. The mean percent bias and variance of this model was only slightly higher than that of locally fitted models. Wood specific gravity was an important predictor of aboveground biomass, especially when including a much broader range of vegetation types than previous studies. The generic tree diameter-height relationship depended linearly on a bioclimatic stress variable E, which compounds indices of temperature variability, precipitation variabilit</w:instrText>
            </w:r>
            <w:r w:rsidRPr="007E306A">
              <w:rPr>
                <w:sz w:val="20"/>
                <w:szCs w:val="20"/>
              </w:rPr>
              <w:instrText>y, and drought intensity. For cases in which total tree height is unavailable for aboveground biomass estimation, a pantropical model incorporating wood density, trunk diameter, and the variable E outperformed previously published models without height. However, to minimize bias, the development of locally derived diameter-height relationships is advised whenever possible. Both new allometric models should contribute to improve the accuracy of biomass assessment protocols in tropical vegetation types, and to advancing our understanding of architectural and evolutionary constraints on woody plant development.","author":[{"dropping-particle":"","family":"Chave","given":"Jérôme","non-dropping-particle":"","parse-names":false,"suffix":""},{"dropping-particle":"","family":"Réjou-Méchain","given":"Maxime","non-dropping-particle":"","parse-names":false,"suffix":""},{"dropping-particle":"","family":"Búrquez","given":"Alberto","non-dropping-particle":"","parse-names":false,"suffix":""},{"dropping-particle":"","family":"Chidumayo","given":"Emmanuel","non-dropping-particle":"","parse-names":false,"suffix":""},{"dropping-particle":"","family":"Colgan","given":"Matthew S.","non-dropping-particle":"","parse-names":false,"suffix":""},{"dropping-particle":"","family":"Delitti","given":"Welington B.C.","non-dropping-particle":"","parse-names":false,"suffix":""},{"dropping-particle":"","family":"Duque","given":"Alvaro","non-dropping-particle":"","parse-names":false,"suffix":""},{"dropping-particle":"","family":"Eid","given":"Tron","non-dropping-particle":"","parse-names":false,"suffix":""},{"dropping-particle":"","family":"Fearnside","given":"Philip M.","non-dropping-particle":"","parse-names":false,"suffix":""},{"dropping-particle":"","family":"Goodman","given":"Rosa C.","non-dropping-particle":"","parse-names":false,"suffix":""},{"dropping-particle":"","family":"Henry","given":"Matieu","non-dropping-particle":"","parse-names":false,"suffix":""},{"dropping-particle":"","family":"Martínez-Yrízar","given":"Angelina","non-dropping-particle":"","parse-names":false,"suffix":""},{"dropping-particle":"","family":"Mugasha","given":"Wilson A.","non-dropping-particle":"","parse-names":false,"suffix":""},{"dropping-particle":"","family":"Muller-Landau","given":"Helene C.","non-dropping-particle":"","parse-names":false,"suffix":""},{"dropping-particle":"","family":"Mencuccini","given":"Maurizio","non-dropping-particle":"","parse-names":false,"suffix":""},{"dropping-particle":"","family":"Nelson","given":"Bruce W.","non-dropping-particle":"","parse-names":false,"suffix":""},{"dropping-particle":"","family":"Ngomanda","given":"Alfred","non-dropping-particle":"","parse-names":false,"suffix":""},{"dropping-particle":"","family":"Nogueira","given":"Euler M.","non-dropping-particle":"","parse-names":false,"suffix":""},{"dropping-particle":"","family":"Ortiz-Malavassi","given":"Edgar","non-dropping-particle":"","parse-names":false,"suffix":""},{"dropping-particle":"","family":"Pélissier","given":"Raphaël","non-dropping-particle":"","parse-names":false,"suffix":""},{"dropping-particle":"","family":"Ploton","given":"Pierre","non-dropping-particle":"","parse-names":false,"suffix":""},{"dropping-particle":"","family":"Ryan","given":"Casey M.","non-dropping-particle":"","parse-names":false,"suffix":""},{"dropping-particle":"","family":"Saldarriaga","given":"Juan G.","non-dropping-particle":"","parse-names":false,"suffix":""},{"dropping-particle":"","family":"Vieilledent","given":"Ghislain","non-dropping-particle":"","parse-names":false,"suffix":""}],"container-title":"Global Change Biology","id":"ITEM-1","issue":"10","issued":{"date-parts":[["2014"]]},"page":"3177-3190","title":"Improved allometric models to estimate the aboveground biomass of tropical trees","type":"article-journal","volume":"20"},"uris":["http://www.mendeley.com/documents/?uuid=319d926e-d4e2-4278-a570-78f635299c2e"]}],"mendeley":{"formattedCitation":"(Chave et al., 2014)","plainTextFormattedCitation":"(Chave et al., 2014)","previouslyFormattedCitation":"(Chave et al., 2014)"},"properties":{"noteIndex":0},"schema":"https://github.com/citation-style-language/schema/raw/master/csl-citation.json"}</w:instrText>
            </w:r>
            <w:r w:rsidRPr="007E306A">
              <w:rPr>
                <w:sz w:val="20"/>
                <w:szCs w:val="20"/>
              </w:rPr>
              <w:fldChar w:fldCharType="separate"/>
            </w:r>
            <w:r w:rsidRPr="007E306A">
              <w:rPr>
                <w:noProof/>
                <w:sz w:val="20"/>
                <w:szCs w:val="20"/>
              </w:rPr>
              <w:t>(Chave et al., 2014)</w:t>
            </w:r>
            <w:r w:rsidRPr="007E306A">
              <w:rPr>
                <w:sz w:val="20"/>
                <w:szCs w:val="20"/>
              </w:rPr>
              <w:fldChar w:fldCharType="end"/>
            </w:r>
            <w:r w:rsidRPr="007E306A">
              <w:rPr>
                <w:sz w:val="20"/>
                <w:szCs w:val="20"/>
              </w:rPr>
              <w:t xml:space="preserve"> </w:t>
            </w:r>
          </w:p>
        </w:tc>
      </w:tr>
      <w:tr w:rsidR="00C64ADF" w:rsidRPr="00D2344D" w14:paraId="13F61DA1" w14:textId="77777777" w:rsidTr="00B97079">
        <w:trPr>
          <w:trHeight w:val="270"/>
        </w:trPr>
        <w:tc>
          <w:tcPr>
            <w:tcW w:w="930" w:type="dxa"/>
          </w:tcPr>
          <w:p w14:paraId="064808CD" w14:textId="77777777" w:rsidR="00C64ADF" w:rsidRPr="00D2344D" w:rsidRDefault="00C64ADF" w:rsidP="00B97079">
            <w:pPr>
              <w:pStyle w:val="Firstpara"/>
              <w:spacing w:line="240" w:lineRule="auto"/>
              <w:rPr>
                <w:sz w:val="20"/>
                <w:szCs w:val="20"/>
                <w:lang w:val="en-US"/>
              </w:rPr>
            </w:pPr>
            <w:r>
              <w:rPr>
                <w:sz w:val="20"/>
                <w:szCs w:val="20"/>
                <w:lang w:val="en-US"/>
              </w:rPr>
              <w:t>6</w:t>
            </w:r>
          </w:p>
        </w:tc>
        <w:tc>
          <w:tcPr>
            <w:tcW w:w="5449" w:type="dxa"/>
          </w:tcPr>
          <w:p w14:paraId="14866051" w14:textId="77777777" w:rsidR="00C64ADF" w:rsidRPr="00D2344D" w:rsidRDefault="00C64ADF" w:rsidP="00B97079">
            <w:pPr>
              <w:pStyle w:val="Firstpara"/>
              <w:spacing w:line="240" w:lineRule="auto"/>
              <w:rPr>
                <w:noProof/>
                <w:sz w:val="20"/>
                <w:szCs w:val="20"/>
                <w:lang w:val="en-US"/>
              </w:rPr>
            </w:pPr>
            <w:r>
              <w:rPr>
                <w:rFonts w:eastAsiaTheme="minorEastAsia"/>
                <w:sz w:val="20"/>
                <w:szCs w:val="20"/>
              </w:rPr>
              <w:t xml:space="preserve">Bamboo </w:t>
            </w:r>
            <m:oMath>
              <m:r>
                <w:rPr>
                  <w:rFonts w:ascii="Cambria Math" w:hAnsi="Cambria Math"/>
                  <w:sz w:val="20"/>
                  <w:szCs w:val="20"/>
                </w:rPr>
                <m:t>AGB (kg)=11.403+0.0006</m:t>
              </m:r>
              <m:sSup>
                <m:sSupPr>
                  <m:ctrlPr>
                    <w:rPr>
                      <w:rFonts w:ascii="Cambria Math" w:hAnsi="Cambria Math"/>
                      <w:sz w:val="20"/>
                      <w:szCs w:val="20"/>
                    </w:rPr>
                  </m:ctrlPr>
                </m:sSupPr>
                <m:e>
                  <m:r>
                    <w:rPr>
                      <w:rFonts w:ascii="Cambria Math" w:hAnsi="Cambria Math"/>
                      <w:sz w:val="20"/>
                      <w:szCs w:val="20"/>
                    </w:rPr>
                    <m:t xml:space="preserve"> ×(dbh)</m:t>
                  </m:r>
                </m:e>
                <m:sup>
                  <m:r>
                    <w:rPr>
                      <w:rFonts w:ascii="Cambria Math" w:hAnsi="Cambria Math"/>
                      <w:sz w:val="20"/>
                      <w:szCs w:val="20"/>
                    </w:rPr>
                    <m:t>2</m:t>
                  </m:r>
                </m:sup>
              </m:sSup>
              <m:r>
                <w:rPr>
                  <w:rFonts w:ascii="Cambria Math" w:hAnsi="Cambria Math"/>
                  <w:sz w:val="20"/>
                  <w:szCs w:val="20"/>
                </w:rPr>
                <m:t xml:space="preserve">×h </m:t>
              </m:r>
            </m:oMath>
          </w:p>
        </w:tc>
        <w:tc>
          <w:tcPr>
            <w:tcW w:w="2647" w:type="dxa"/>
          </w:tcPr>
          <w:p w14:paraId="0229AD9D" w14:textId="77777777" w:rsidR="00C64ADF" w:rsidRPr="007E306A" w:rsidRDefault="00C64ADF" w:rsidP="00B97079">
            <w:pPr>
              <w:pStyle w:val="Firstpara"/>
              <w:spacing w:line="240" w:lineRule="auto"/>
              <w:jc w:val="left"/>
              <w:rPr>
                <w:sz w:val="20"/>
                <w:szCs w:val="20"/>
              </w:rPr>
            </w:pPr>
            <w:r w:rsidRPr="007E306A">
              <w:rPr>
                <w:sz w:val="20"/>
                <w:szCs w:val="20"/>
              </w:rPr>
              <w:fldChar w:fldCharType="begin" w:fldLock="1"/>
            </w:r>
            <w:r w:rsidRPr="007E306A">
              <w:rPr>
                <w:sz w:val="20"/>
                <w:szCs w:val="20"/>
              </w:rPr>
              <w:instrText>ADDIN CSL_CITATION {"citationItems":[{"id":"ITEM-1","itemData":{"DOI":"10.1016/j.landusepol.2015.07.011","ISSN":"02648377","abstract":"Tropical forests potentially contribute to global climate change mitigation through carbon sequestration, hence a global carbon pool. In order to mitigate the global climate change impact, the Kyoto protocol developed the clean development mechanism (CDM) which supports carbon credits for plantation activities in developing countries. Unfortunately, none of the CDM forestry projects included bamboo as a carbon reservoir. Although bamboo is an integrating part of tropical forest ecosystems, it was overlooked in the initial negotiating process. The present study, therefore, investigated the carbon storage potential of a common bamboo species, Bambusa vulgaris at Lawachara forest reserve of Bangladesh. Results showed that five-year-old B. vulgaris stand stored in total 77.67tCha&lt;sup&gt;-1&lt;/sup&gt; of which 50.44tCha&lt;sup&gt;-1&lt;/sup&gt; were stored in the above ground biomass (culms, branches and leaves), 2.52tCha&lt;sup&gt;-1&lt;/sup&gt; in the below ground biomass and 24.71tCha&lt;sup&gt;-1&lt;/sup&gt; in the soils. This amount of carbon storage is much more promising than the carbon storage of many other tree species considered in the CDM projects. These findings demonstrate the potential of B. vulgaris to be considered in CDM projects as a plantation species and thereby mitigate climate change impact more efficiently.","author":[{"dropping-particle":"","family":"Sohel","given":"Md Shawkat Islam","non-dropping-particle":"","parse-names":false,"suffix":""},{"dropping-particle":"","family":"Alamgir","given":"Mohammed","non-dropping-particle":"","parse-names":false,"suffix":""},{"dropping-particle":"","family":"Akhter","given":"Sayma","non-dropping-particle":"","parse-names":false,"suffix":""},{"dropping-particle":"","family":"Rahman","given":"Mizanur","non-dropping-particle":"","parse-names":false,"suffix":""}],"container-title":"Land Use Policy","id":"ITEM-1","issued":{"date-parts":[["2015"]]},"page":"142-151","publisher":"Elsevier Ltd","title":"Carbon storage in a bamboo (Bambusa vulgaris) plantation in the degraded tropical forests: Implications for policy development","type":"article-journal","volume":"49"},"uris":["http://www.mendeley.com/documents/?uuid=beff2a19-f2b8-43e4-8e03-e02a3118e27a"]}],"mendeley":{"formattedCitation":"(Sohel et al., 2015)","plainTextFormattedCitation":"(Sohel et al., 2015)","previouslyFormattedCitation":"(Sohel et al., 2015)"},"properties":{"noteIndex":0},"schema":"https://github.com/citation-style-language/schema/raw/master/csl-citation.json"}</w:instrText>
            </w:r>
            <w:r w:rsidRPr="007E306A">
              <w:rPr>
                <w:sz w:val="20"/>
                <w:szCs w:val="20"/>
              </w:rPr>
              <w:fldChar w:fldCharType="separate"/>
            </w:r>
            <w:r w:rsidRPr="007E306A">
              <w:rPr>
                <w:noProof/>
                <w:sz w:val="20"/>
                <w:szCs w:val="20"/>
              </w:rPr>
              <w:t>(Sohel et al., 2015)</w:t>
            </w:r>
            <w:r w:rsidRPr="007E306A">
              <w:rPr>
                <w:sz w:val="20"/>
                <w:szCs w:val="20"/>
              </w:rPr>
              <w:fldChar w:fldCharType="end"/>
            </w:r>
          </w:p>
        </w:tc>
      </w:tr>
      <w:tr w:rsidR="00C64ADF" w:rsidRPr="00D2344D" w14:paraId="2536810C" w14:textId="77777777" w:rsidTr="00B97079">
        <w:trPr>
          <w:trHeight w:val="378"/>
        </w:trPr>
        <w:tc>
          <w:tcPr>
            <w:tcW w:w="930" w:type="dxa"/>
          </w:tcPr>
          <w:p w14:paraId="63DB68CE" w14:textId="77777777" w:rsidR="00C64ADF" w:rsidRPr="00D2344D" w:rsidRDefault="00C64ADF" w:rsidP="00B97079">
            <w:pPr>
              <w:pStyle w:val="Firstpara"/>
              <w:spacing w:line="240" w:lineRule="auto"/>
              <w:rPr>
                <w:sz w:val="20"/>
                <w:szCs w:val="20"/>
                <w:lang w:val="en-US"/>
              </w:rPr>
            </w:pPr>
            <w:r w:rsidRPr="00D2344D">
              <w:rPr>
                <w:sz w:val="20"/>
                <w:szCs w:val="20"/>
                <w:lang w:val="en-US"/>
              </w:rPr>
              <w:t>7</w:t>
            </w:r>
          </w:p>
        </w:tc>
        <w:tc>
          <w:tcPr>
            <w:tcW w:w="5449" w:type="dxa"/>
          </w:tcPr>
          <w:p w14:paraId="735083F8" w14:textId="77777777" w:rsidR="00C64ADF" w:rsidRPr="00D2344D" w:rsidRDefault="00C64ADF" w:rsidP="00B97079">
            <w:pPr>
              <w:pStyle w:val="Firstpara"/>
              <w:spacing w:line="240" w:lineRule="auto"/>
              <w:rPr>
                <w:noProof/>
                <w:sz w:val="20"/>
                <w:szCs w:val="20"/>
                <w:lang w:val="en-US"/>
              </w:rPr>
            </w:pPr>
            <w:r w:rsidRPr="00CE6202">
              <w:rPr>
                <w:sz w:val="20"/>
                <w:szCs w:val="20"/>
                <w:shd w:val="clear" w:color="auto" w:fill="FFFFFF"/>
                <w:lang w:val="en-US"/>
              </w:rPr>
              <w:t>Loss of ignition, LOI % = W1/W2×100</w:t>
            </w:r>
          </w:p>
        </w:tc>
        <w:tc>
          <w:tcPr>
            <w:tcW w:w="2647" w:type="dxa"/>
          </w:tcPr>
          <w:p w14:paraId="72E3B8D4" w14:textId="067485ED" w:rsidR="00C64ADF" w:rsidRPr="007E306A" w:rsidRDefault="00C64ADF" w:rsidP="00B97079">
            <w:pPr>
              <w:pStyle w:val="Firstpara"/>
              <w:spacing w:line="240" w:lineRule="auto"/>
              <w:jc w:val="left"/>
              <w:rPr>
                <w:sz w:val="20"/>
                <w:szCs w:val="20"/>
              </w:rPr>
            </w:pPr>
            <w:r w:rsidRPr="007E306A">
              <w:rPr>
                <w:noProof/>
                <w:sz w:val="20"/>
                <w:szCs w:val="20"/>
              </w:rPr>
              <w:fldChar w:fldCharType="begin" w:fldLock="1"/>
            </w:r>
            <w:r w:rsidRPr="007E306A">
              <w:rPr>
                <w:noProof/>
                <w:sz w:val="20"/>
                <w:szCs w:val="20"/>
              </w:rPr>
              <w:instrText>ADDIN CSL_CITATION {"citationItems":[{"id":"ITEM-1","itemData":{"author":[{"dropping-particle":"","family":"Ball","given":"D F","non-dropping-particle":"","parse-names":false,"suffix":""}],"container-title":"Journal of Soil Science","id":"ITEM-1","issue":"1","issued":{"date-parts":[["1964"]]},"page":"84-92","title":"Loss-on-ignition as an estimate","type":"article-journal","volume":"15"},"uris":["http://www.mendeley.com/documents/?uuid=02331fb1-6b8f-40ac-bef8-793aa236fa72"]}],"mendeley":{"formattedCitation":"(Ball 1964)","plainTextFormattedCitation":"(Ball 1964)","previouslyFormattedCitation":"(Ball 1964)"},"properties":{"noteIndex":0},"schema":"https://github.com/citation-style-language/schema/raw/master/csl-citation.json"}</w:instrText>
            </w:r>
            <w:r w:rsidRPr="007E306A">
              <w:rPr>
                <w:noProof/>
                <w:sz w:val="20"/>
                <w:szCs w:val="20"/>
              </w:rPr>
              <w:fldChar w:fldCharType="separate"/>
            </w:r>
            <w:r w:rsidRPr="007E306A">
              <w:rPr>
                <w:noProof/>
                <w:sz w:val="20"/>
                <w:szCs w:val="20"/>
              </w:rPr>
              <w:t>(Ball</w:t>
            </w:r>
            <w:r w:rsidR="007E306A" w:rsidRPr="007E306A">
              <w:rPr>
                <w:noProof/>
                <w:sz w:val="20"/>
                <w:szCs w:val="20"/>
                <w:lang w:val="en-FI"/>
              </w:rPr>
              <w:t>,</w:t>
            </w:r>
            <w:r w:rsidRPr="007E306A">
              <w:rPr>
                <w:noProof/>
                <w:sz w:val="20"/>
                <w:szCs w:val="20"/>
              </w:rPr>
              <w:t xml:space="preserve"> 1964)</w:t>
            </w:r>
            <w:r w:rsidRPr="007E306A">
              <w:rPr>
                <w:noProof/>
                <w:sz w:val="20"/>
                <w:szCs w:val="20"/>
              </w:rPr>
              <w:fldChar w:fldCharType="end"/>
            </w:r>
          </w:p>
        </w:tc>
      </w:tr>
      <w:tr w:rsidR="00C64ADF" w:rsidRPr="00D2344D" w14:paraId="453C2EE1" w14:textId="77777777" w:rsidTr="00B97079">
        <w:trPr>
          <w:trHeight w:val="414"/>
        </w:trPr>
        <w:tc>
          <w:tcPr>
            <w:tcW w:w="930" w:type="dxa"/>
          </w:tcPr>
          <w:p w14:paraId="37016FB8" w14:textId="77777777" w:rsidR="00C64ADF" w:rsidRPr="00D2344D" w:rsidRDefault="00C64ADF" w:rsidP="00B97079">
            <w:pPr>
              <w:pStyle w:val="Firstpara"/>
              <w:spacing w:line="240" w:lineRule="auto"/>
              <w:rPr>
                <w:sz w:val="20"/>
                <w:szCs w:val="20"/>
                <w:lang w:val="en-US"/>
              </w:rPr>
            </w:pPr>
            <w:r w:rsidRPr="00D2344D">
              <w:rPr>
                <w:sz w:val="20"/>
                <w:szCs w:val="20"/>
                <w:lang w:val="en-US"/>
              </w:rPr>
              <w:t>8</w:t>
            </w:r>
          </w:p>
        </w:tc>
        <w:tc>
          <w:tcPr>
            <w:tcW w:w="5449" w:type="dxa"/>
          </w:tcPr>
          <w:p w14:paraId="4D27AED3" w14:textId="77777777" w:rsidR="00C64ADF" w:rsidRPr="00CE6202" w:rsidRDefault="00C64ADF" w:rsidP="00B97079">
            <w:pPr>
              <w:pStyle w:val="Firstpara"/>
              <w:spacing w:line="240" w:lineRule="auto"/>
              <w:rPr>
                <w:noProof/>
                <w:sz w:val="20"/>
                <w:szCs w:val="20"/>
                <w:lang w:val="en-US"/>
              </w:rPr>
            </w:pPr>
            <w:r w:rsidRPr="00D2344D">
              <w:rPr>
                <w:sz w:val="20"/>
                <w:szCs w:val="20"/>
                <w:shd w:val="clear" w:color="auto" w:fill="FFFFFF"/>
                <w:lang w:val="en-US"/>
              </w:rPr>
              <w:t>Soil organic carbon, SOC % = 0.47 × (LOI % – 1.87)</w:t>
            </w:r>
          </w:p>
        </w:tc>
        <w:tc>
          <w:tcPr>
            <w:tcW w:w="2647" w:type="dxa"/>
          </w:tcPr>
          <w:p w14:paraId="066AAB59" w14:textId="7B87FC7C" w:rsidR="00C64ADF" w:rsidRPr="007E306A" w:rsidRDefault="00C64ADF" w:rsidP="00B97079">
            <w:pPr>
              <w:pStyle w:val="Firstpara"/>
              <w:spacing w:line="240" w:lineRule="auto"/>
              <w:jc w:val="left"/>
              <w:rPr>
                <w:sz w:val="20"/>
                <w:szCs w:val="20"/>
              </w:rPr>
            </w:pPr>
            <w:r w:rsidRPr="007E306A">
              <w:rPr>
                <w:noProof/>
                <w:sz w:val="20"/>
                <w:szCs w:val="20"/>
              </w:rPr>
              <w:fldChar w:fldCharType="begin" w:fldLock="1"/>
            </w:r>
            <w:r w:rsidRPr="007E306A">
              <w:rPr>
                <w:noProof/>
                <w:sz w:val="20"/>
                <w:szCs w:val="20"/>
              </w:rPr>
              <w:instrText>ADDIN CSL_CITATION {"citationItems":[{"id":"ITEM-1","itemData":{"author":[{"dropping-particle":"","family":"Ball","given":"D F","non-dropping-particle":"","parse-names":false,"suffix":""}],"container-title":"Journal of Soil Science","id":"ITEM-1","issue":"1","issued":{"date-parts":[["1964"]]},"page":"84-92","title":"Loss-on-ignition as an estimate","type":"article-journal","volume":"15"},"uris":["http://www.mendeley.com/documents/?uuid=02331fb1-6b8f-40ac-bef8-793aa236fa72"]}],"mendeley":{"formattedCitation":"(Ball 1964)","plainTextFormattedCitation":"(Ball 1964)","previouslyFormattedCitation":"(Ball 1964)"},"properties":{"noteIndex":0},"schema":"https://github.com/citation-style-language/schema/raw/master/csl-citation.json"}</w:instrText>
            </w:r>
            <w:r w:rsidRPr="007E306A">
              <w:rPr>
                <w:noProof/>
                <w:sz w:val="20"/>
                <w:szCs w:val="20"/>
              </w:rPr>
              <w:fldChar w:fldCharType="separate"/>
            </w:r>
            <w:r w:rsidRPr="007E306A">
              <w:rPr>
                <w:noProof/>
                <w:sz w:val="20"/>
                <w:szCs w:val="20"/>
              </w:rPr>
              <w:t>(Ball</w:t>
            </w:r>
            <w:r w:rsidR="007E306A" w:rsidRPr="007E306A">
              <w:rPr>
                <w:noProof/>
                <w:sz w:val="20"/>
                <w:szCs w:val="20"/>
                <w:lang w:val="en-FI"/>
              </w:rPr>
              <w:t>,</w:t>
            </w:r>
            <w:r w:rsidRPr="007E306A">
              <w:rPr>
                <w:noProof/>
                <w:sz w:val="20"/>
                <w:szCs w:val="20"/>
              </w:rPr>
              <w:t xml:space="preserve"> 1964)</w:t>
            </w:r>
            <w:r w:rsidRPr="007E306A">
              <w:rPr>
                <w:noProof/>
                <w:sz w:val="20"/>
                <w:szCs w:val="20"/>
              </w:rPr>
              <w:fldChar w:fldCharType="end"/>
            </w:r>
          </w:p>
        </w:tc>
      </w:tr>
      <w:tr w:rsidR="00C64ADF" w:rsidRPr="00D2344D" w14:paraId="5D210DA8" w14:textId="77777777" w:rsidTr="00B97079">
        <w:trPr>
          <w:trHeight w:val="346"/>
        </w:trPr>
        <w:tc>
          <w:tcPr>
            <w:tcW w:w="930" w:type="dxa"/>
          </w:tcPr>
          <w:p w14:paraId="30DF3466" w14:textId="77777777" w:rsidR="00C64ADF" w:rsidRPr="00D2344D" w:rsidRDefault="00C64ADF" w:rsidP="00B97079">
            <w:pPr>
              <w:pStyle w:val="Firstpara"/>
              <w:spacing w:line="240" w:lineRule="auto"/>
              <w:rPr>
                <w:sz w:val="20"/>
                <w:szCs w:val="20"/>
              </w:rPr>
            </w:pPr>
            <w:r>
              <w:rPr>
                <w:sz w:val="20"/>
                <w:szCs w:val="20"/>
              </w:rPr>
              <w:t>9</w:t>
            </w:r>
          </w:p>
        </w:tc>
        <w:tc>
          <w:tcPr>
            <w:tcW w:w="5449" w:type="dxa"/>
          </w:tcPr>
          <w:p w14:paraId="7DE9EB8B" w14:textId="77777777" w:rsidR="00C64ADF" w:rsidRPr="00D2344D" w:rsidRDefault="00C64ADF" w:rsidP="00B97079">
            <w:pPr>
              <w:pStyle w:val="Firstpara"/>
              <w:spacing w:line="240" w:lineRule="auto"/>
              <w:rPr>
                <w:sz w:val="20"/>
                <w:szCs w:val="20"/>
                <w:shd w:val="clear" w:color="auto" w:fill="FFFFFF"/>
                <w:lang w:val="en-US"/>
              </w:rPr>
            </w:pPr>
            <w:r w:rsidRPr="001B62A9">
              <w:rPr>
                <w:sz w:val="20"/>
                <w:szCs w:val="20"/>
                <w:lang w:val="en-US" w:bidi="bn-IN"/>
              </w:rPr>
              <w:t>Soil C and N stock (Mg ha</w:t>
            </w:r>
            <w:r w:rsidRPr="001B62A9">
              <w:rPr>
                <w:sz w:val="20"/>
                <w:szCs w:val="20"/>
                <w:vertAlign w:val="superscript"/>
                <w:lang w:val="en-US" w:bidi="bn-IN"/>
              </w:rPr>
              <w:t>-1</w:t>
            </w:r>
            <w:r w:rsidRPr="001B62A9">
              <w:rPr>
                <w:sz w:val="20"/>
                <w:szCs w:val="20"/>
                <w:lang w:val="en-US" w:bidi="bn-IN"/>
              </w:rPr>
              <w:t>)</w:t>
            </w:r>
            <w:r w:rsidRPr="001B62A9">
              <w:rPr>
                <w:sz w:val="20"/>
                <w:szCs w:val="20"/>
                <w:shd w:val="clear" w:color="auto" w:fill="FFFFFF"/>
                <w:lang w:val="en-US"/>
              </w:rPr>
              <w:t xml:space="preserve"> = SOC % × BD × SD </w:t>
            </w:r>
          </w:p>
        </w:tc>
        <w:tc>
          <w:tcPr>
            <w:tcW w:w="2647" w:type="dxa"/>
          </w:tcPr>
          <w:p w14:paraId="11FE2012" w14:textId="4326243E" w:rsidR="00C64ADF" w:rsidRPr="007E306A" w:rsidRDefault="00C64ADF" w:rsidP="00B97079">
            <w:pPr>
              <w:pStyle w:val="Firstpara"/>
              <w:spacing w:line="240" w:lineRule="auto"/>
              <w:rPr>
                <w:sz w:val="20"/>
                <w:szCs w:val="20"/>
                <w:shd w:val="clear" w:color="auto" w:fill="FFFFFF"/>
                <w:lang w:val="en-US"/>
              </w:rPr>
            </w:pPr>
            <w:r w:rsidRPr="007E306A">
              <w:rPr>
                <w:sz w:val="20"/>
                <w:szCs w:val="20"/>
              </w:rPr>
              <w:fldChar w:fldCharType="begin" w:fldLock="1"/>
            </w:r>
            <w:r w:rsidRPr="007E306A">
              <w:rPr>
                <w:sz w:val="20"/>
                <w:szCs w:val="20"/>
              </w:rPr>
              <w:instrText>ADDIN CSL_CITATION {"citationItems":[{"id":"ITEM-1","itemData":{"DOI":"10.1111/gcbb.12243","author":[{"dropping-particle":"","family":"KILPELÄINEN","given":"ANTTI","non-dropping-particle":"","parse-names":false,"suffix":""},{"dropping-particle":"","family":"AINEN1 , PIRITTA TORSSONEN1","given":"HARRI STRANDMAN","non-dropping-particle":"","parse-names":false,"suffix":""},{"dropping-particle":"","family":"KELLOMÄKI","given":"SEPPO","non-dropping-particle":"","parse-names":false,"suffix":""},{"dropping-particle":"","family":"AKI","given":"ANTTI ASIKAINEN and HELI PELTOLA","non-dropping-particle":"","parse-names":false,"suffix":""}],"id":"ITEM-1","issued":{"date-parts":[["2016"]]},"page":"307-316","title":"Net climate impacts of forest biomass production and utilization in managed boreal forests","type":"article-journal"},"uris":["http://www.mendeley.com/documents/?uuid=4b791cbd-c046-4aeb-b41c-a831c9c4c6d9"]}],"mendeley":{"formattedCitation":"(KILPELÄINEN et al. 2016)","manualFormatting":"(Pearson et al. 2005)","plainTextFormattedCitation":"(KILPELÄINEN et al. 2016)","previouslyFormattedCitation":"(KILPELÄINEN et al. 2016)"},"properties":{"noteIndex":0},"schema":"https://github.com/citation-style-language/schema/raw/master/csl-citation.json"}</w:instrText>
            </w:r>
            <w:r w:rsidRPr="007E306A">
              <w:rPr>
                <w:sz w:val="20"/>
                <w:szCs w:val="20"/>
              </w:rPr>
              <w:fldChar w:fldCharType="separate"/>
            </w:r>
            <w:r w:rsidRPr="007E306A">
              <w:rPr>
                <w:noProof/>
                <w:sz w:val="20"/>
                <w:szCs w:val="20"/>
              </w:rPr>
              <w:t>(Pearson et al.</w:t>
            </w:r>
            <w:r w:rsidR="007E306A" w:rsidRPr="007E306A">
              <w:rPr>
                <w:noProof/>
                <w:sz w:val="20"/>
                <w:szCs w:val="20"/>
                <w:lang w:val="en-FI"/>
              </w:rPr>
              <w:t>,</w:t>
            </w:r>
            <w:r w:rsidRPr="007E306A">
              <w:rPr>
                <w:noProof/>
                <w:sz w:val="20"/>
                <w:szCs w:val="20"/>
              </w:rPr>
              <w:t xml:space="preserve"> 2005)</w:t>
            </w:r>
            <w:r w:rsidRPr="007E306A">
              <w:rPr>
                <w:sz w:val="20"/>
                <w:szCs w:val="20"/>
              </w:rPr>
              <w:fldChar w:fldCharType="end"/>
            </w:r>
          </w:p>
        </w:tc>
      </w:tr>
      <w:tr w:rsidR="00C64ADF" w:rsidRPr="00D2344D" w14:paraId="384BA39A" w14:textId="77777777" w:rsidTr="00B97079">
        <w:trPr>
          <w:trHeight w:val="346"/>
        </w:trPr>
        <w:tc>
          <w:tcPr>
            <w:tcW w:w="930" w:type="dxa"/>
          </w:tcPr>
          <w:p w14:paraId="5815CBEF" w14:textId="77777777" w:rsidR="00C64ADF" w:rsidRPr="00D2344D" w:rsidRDefault="00C64ADF" w:rsidP="00B97079">
            <w:pPr>
              <w:pStyle w:val="Firstpara"/>
              <w:spacing w:line="240" w:lineRule="auto"/>
              <w:rPr>
                <w:sz w:val="20"/>
                <w:szCs w:val="20"/>
              </w:rPr>
            </w:pPr>
            <w:r>
              <w:rPr>
                <w:sz w:val="20"/>
                <w:szCs w:val="20"/>
              </w:rPr>
              <w:t>10</w:t>
            </w:r>
          </w:p>
        </w:tc>
        <w:tc>
          <w:tcPr>
            <w:tcW w:w="5449" w:type="dxa"/>
          </w:tcPr>
          <w:p w14:paraId="573D6ADC" w14:textId="77777777" w:rsidR="00C64ADF" w:rsidRPr="00D2344D" w:rsidRDefault="00C64ADF" w:rsidP="00B97079">
            <w:pPr>
              <w:pStyle w:val="Firstpara"/>
              <w:spacing w:line="240" w:lineRule="auto"/>
              <w:rPr>
                <w:sz w:val="20"/>
                <w:szCs w:val="20"/>
                <w:shd w:val="clear" w:color="auto" w:fill="FFFFFF"/>
                <w:lang w:val="en-US"/>
              </w:rPr>
            </w:pPr>
            <w:r w:rsidRPr="00D2344D">
              <w:rPr>
                <w:sz w:val="20"/>
                <w:szCs w:val="20"/>
                <w:lang w:val="en-US" w:bidi="bn-IN"/>
              </w:rPr>
              <w:t>Nutrient stock (Mg ha</w:t>
            </w:r>
            <w:r w:rsidRPr="00D2344D">
              <w:rPr>
                <w:sz w:val="20"/>
                <w:szCs w:val="20"/>
                <w:vertAlign w:val="superscript"/>
                <w:lang w:val="en-US" w:bidi="bn-IN"/>
              </w:rPr>
              <w:t>-1</w:t>
            </w:r>
            <w:r w:rsidRPr="00D2344D">
              <w:rPr>
                <w:sz w:val="20"/>
                <w:szCs w:val="20"/>
                <w:lang w:val="en-US" w:bidi="bn-IN"/>
              </w:rPr>
              <w:t>)</w:t>
            </w:r>
            <w:r w:rsidRPr="00D2344D">
              <w:rPr>
                <w:sz w:val="20"/>
                <w:szCs w:val="20"/>
                <w:shd w:val="clear" w:color="auto" w:fill="FFFFFF"/>
                <w:lang w:val="en-US"/>
              </w:rPr>
              <w:t xml:space="preserve"> = Nutrient (</w:t>
            </w:r>
            <w:proofErr w:type="gramStart"/>
            <w:r w:rsidRPr="00D2344D">
              <w:rPr>
                <w:sz w:val="20"/>
                <w:szCs w:val="20"/>
                <w:shd w:val="clear" w:color="auto" w:fill="FFFFFF"/>
                <w:lang w:val="en-US"/>
              </w:rPr>
              <w:t>conc.)×</w:t>
            </w:r>
            <w:proofErr w:type="gramEnd"/>
            <w:r w:rsidRPr="00D2344D">
              <w:rPr>
                <w:sz w:val="20"/>
                <w:szCs w:val="20"/>
                <w:shd w:val="clear" w:color="auto" w:fill="FFFFFF"/>
                <w:lang w:val="en-US"/>
              </w:rPr>
              <w:t xml:space="preserve"> BD × SD</w:t>
            </w:r>
          </w:p>
        </w:tc>
        <w:tc>
          <w:tcPr>
            <w:tcW w:w="2647" w:type="dxa"/>
          </w:tcPr>
          <w:p w14:paraId="6A396E5C" w14:textId="29494926" w:rsidR="00C64ADF" w:rsidRPr="007E306A" w:rsidRDefault="00C64ADF" w:rsidP="00B97079">
            <w:pPr>
              <w:pStyle w:val="Firstpara"/>
              <w:spacing w:line="240" w:lineRule="auto"/>
              <w:rPr>
                <w:sz w:val="20"/>
                <w:szCs w:val="20"/>
                <w:shd w:val="clear" w:color="auto" w:fill="FFFFFF"/>
                <w:lang w:val="en-US"/>
              </w:rPr>
            </w:pPr>
            <w:r w:rsidRPr="007E306A">
              <w:rPr>
                <w:sz w:val="20"/>
                <w:szCs w:val="20"/>
              </w:rPr>
              <w:fldChar w:fldCharType="begin" w:fldLock="1"/>
            </w:r>
            <w:r w:rsidRPr="007E306A">
              <w:rPr>
                <w:sz w:val="20"/>
                <w:szCs w:val="20"/>
              </w:rPr>
              <w:instrText>ADDIN CSL_CITATION {"citationItems":[{"id":"ITEM-1","itemData":{"DOI":"10.1080/21580103.2017.1341434","ISSN":"21580715","abstract":"Land use change greatly affects the carbon cycling of the Earth. Soil carbon and nutrient stock distributions were identified in the five land use types: Quercus spp. mixed forest (QM); Larix leptolepis plantation (LP); Castanea crenata plantation (CP); Malus pumila orchard (MF); and abandoned fields (AF). Carbon and nutrient concentrations in the organic horizon and the soil were significantly different according to land use type and soil depth. Carbon concentrations of the organic horizon were higher in QM than in AF, while phosphorus concentrations were higher in MF and AF by 7 times and 4 times compared to that in QM and LP, respectively. The total carbon was distributed in A horizon by 51.8% and in B horizon by 38.0%. The amount of phosphorus decreased in the order of MF &gt; AF &gt; CP &gt; LP ≈ QM, showing clear differences among land use types. This research shows that soil carbon and nutrient contents are significantly different across land use types, and it suggests that the horizontal and vertical distribution properties of carbon and nutrients by land use type need to be considered to accurately predict amounts of fixed carbon and nutrients during the transition of farmland to forest.","author":[{"dropping-particle":"","family":"Han","given":"Si Ho","non-dropping-particle":"","parse-names":false,"suffix":""},{"dropping-particle":"","family":"Meng","given":"Loth","non-dropping-particle":"","parse-names":false,"suffix":""},{"dropping-particle":"","family":"Park","given":"Gwan Soo","non-dropping-particle":"","parse-names":false,"suffix":""},{"dropping-particle":"Bin","family":"Kim","given":"Se","non-dropping-particle":"","parse-names":false,"suffix":""},{"dropping-particle":"","family":"Cho","given":"Min Seok","non-dropping-particle":"","parse-names":false,"suffix":""},{"dropping-particle":"","family":"Park","given":"Byung Bae","non-dropping-particle":"","parse-names":false,"suffix":""}],"container-title":"Forest Science and Technology","id":"ITEM-1","issue":"3","issued":{"date-parts":[["2017"]]},"page":"93-99","publisher":"Taylor &amp; Francis","title":"Characteristics of soil carbon and nutrient stocks across land use types in a forest region of central Korea","type":"article-journal","volume":"13"},"uris":["http://www.mendeley.com/documents/?uuid=bed4d2b0-a6a1-47d9-a7bc-213141cef8b3"]}],"mendeley":{"formattedCitation":"(Han et al. 2017)","plainTextFormattedCitation":"(Han et al. 2017)","previouslyFormattedCitation":"(Han et al. 2017)"},"properties":{"noteIndex":0},"schema":"https://github.com/citation-style-language/schema/raw/master/csl-citation.json"}</w:instrText>
            </w:r>
            <w:r w:rsidRPr="007E306A">
              <w:rPr>
                <w:sz w:val="20"/>
                <w:szCs w:val="20"/>
              </w:rPr>
              <w:fldChar w:fldCharType="separate"/>
            </w:r>
            <w:r w:rsidRPr="007E306A">
              <w:rPr>
                <w:noProof/>
                <w:sz w:val="20"/>
                <w:szCs w:val="20"/>
              </w:rPr>
              <w:t>(Han et al.</w:t>
            </w:r>
            <w:r w:rsidR="007E306A" w:rsidRPr="007E306A">
              <w:rPr>
                <w:noProof/>
                <w:sz w:val="20"/>
                <w:szCs w:val="20"/>
                <w:lang w:val="en-FI"/>
              </w:rPr>
              <w:t>,</w:t>
            </w:r>
            <w:r w:rsidRPr="007E306A">
              <w:rPr>
                <w:noProof/>
                <w:sz w:val="20"/>
                <w:szCs w:val="20"/>
              </w:rPr>
              <w:t xml:space="preserve"> 2017)</w:t>
            </w:r>
            <w:r w:rsidRPr="007E306A">
              <w:rPr>
                <w:sz w:val="20"/>
                <w:szCs w:val="20"/>
              </w:rPr>
              <w:fldChar w:fldCharType="end"/>
            </w:r>
          </w:p>
        </w:tc>
      </w:tr>
      <w:tr w:rsidR="00C64ADF" w:rsidRPr="00D2344D" w14:paraId="3CBFCDE4" w14:textId="77777777" w:rsidTr="00B97079">
        <w:trPr>
          <w:trHeight w:val="346"/>
        </w:trPr>
        <w:tc>
          <w:tcPr>
            <w:tcW w:w="930" w:type="dxa"/>
          </w:tcPr>
          <w:p w14:paraId="48D01F2A" w14:textId="77777777" w:rsidR="00C64ADF" w:rsidRPr="00D2344D" w:rsidRDefault="00C64ADF" w:rsidP="00B97079">
            <w:pPr>
              <w:pStyle w:val="Firstpara"/>
              <w:spacing w:line="240" w:lineRule="auto"/>
              <w:rPr>
                <w:sz w:val="20"/>
                <w:szCs w:val="20"/>
              </w:rPr>
            </w:pPr>
            <w:r w:rsidRPr="00D2344D">
              <w:rPr>
                <w:sz w:val="20"/>
                <w:szCs w:val="20"/>
              </w:rPr>
              <w:t>Legend</w:t>
            </w:r>
          </w:p>
        </w:tc>
        <w:tc>
          <w:tcPr>
            <w:tcW w:w="8096" w:type="dxa"/>
            <w:gridSpan w:val="2"/>
          </w:tcPr>
          <w:p w14:paraId="73486E63" w14:textId="77777777" w:rsidR="00C64ADF" w:rsidRPr="00D2344D" w:rsidRDefault="00C64ADF" w:rsidP="00B97079">
            <w:pPr>
              <w:pStyle w:val="Firstpara"/>
              <w:spacing w:line="240" w:lineRule="auto"/>
              <w:rPr>
                <w:sz w:val="20"/>
                <w:szCs w:val="20"/>
                <w:lang w:val="en-US"/>
              </w:rPr>
            </w:pPr>
            <w:proofErr w:type="spellStart"/>
            <w:r w:rsidRPr="00D2344D">
              <w:rPr>
                <w:sz w:val="20"/>
                <w:szCs w:val="20"/>
                <w:lang w:val="en-US"/>
              </w:rPr>
              <w:t>n</w:t>
            </w:r>
            <w:r w:rsidRPr="00D2344D">
              <w:rPr>
                <w:sz w:val="20"/>
                <w:szCs w:val="20"/>
                <w:vertAlign w:val="subscript"/>
                <w:lang w:val="en-US"/>
              </w:rPr>
              <w:t>i</w:t>
            </w:r>
            <w:proofErr w:type="spellEnd"/>
            <w:r w:rsidRPr="00D2344D">
              <w:rPr>
                <w:sz w:val="20"/>
                <w:szCs w:val="20"/>
                <w:lang w:val="en-US"/>
              </w:rPr>
              <w:t xml:space="preserve"> is the quantity of individual</w:t>
            </w:r>
            <w:r>
              <w:rPr>
                <w:sz w:val="20"/>
                <w:szCs w:val="20"/>
                <w:lang w:val="en-US"/>
              </w:rPr>
              <w:t xml:space="preserve"> of a</w:t>
            </w:r>
            <w:r w:rsidRPr="00D2344D">
              <w:rPr>
                <w:sz w:val="20"/>
                <w:szCs w:val="20"/>
                <w:lang w:val="en-US"/>
              </w:rPr>
              <w:t xml:space="preserve"> species</w:t>
            </w:r>
            <w:r>
              <w:rPr>
                <w:sz w:val="20"/>
                <w:szCs w:val="20"/>
                <w:lang w:val="en-US"/>
              </w:rPr>
              <w:t>,</w:t>
            </w:r>
            <w:r w:rsidRPr="00D2344D">
              <w:rPr>
                <w:sz w:val="20"/>
                <w:szCs w:val="20"/>
                <w:lang w:val="en-US"/>
              </w:rPr>
              <w:t xml:space="preserve"> N is the total quantity of </w:t>
            </w:r>
            <w:r>
              <w:rPr>
                <w:sz w:val="20"/>
                <w:szCs w:val="20"/>
                <w:lang w:val="en-US"/>
              </w:rPr>
              <w:t xml:space="preserve">all </w:t>
            </w:r>
            <w:r w:rsidRPr="00D2344D">
              <w:rPr>
                <w:sz w:val="20"/>
                <w:szCs w:val="20"/>
                <w:lang w:val="en-US"/>
              </w:rPr>
              <w:t xml:space="preserve">species within the </w:t>
            </w:r>
            <w:r>
              <w:rPr>
                <w:sz w:val="20"/>
                <w:szCs w:val="20"/>
                <w:lang w:val="en-US"/>
              </w:rPr>
              <w:t>plot</w:t>
            </w:r>
            <w:r w:rsidRPr="00D2344D">
              <w:rPr>
                <w:sz w:val="20"/>
                <w:szCs w:val="20"/>
                <w:lang w:val="en-US"/>
              </w:rPr>
              <w:t>, ln is the natural log of the number</w:t>
            </w:r>
            <w:r>
              <w:rPr>
                <w:sz w:val="20"/>
                <w:szCs w:val="20"/>
                <w:lang w:val="en-US"/>
              </w:rPr>
              <w:t>,</w:t>
            </w:r>
            <w:r w:rsidRPr="00D2344D">
              <w:rPr>
                <w:sz w:val="20"/>
                <w:szCs w:val="20"/>
                <w:shd w:val="clear" w:color="auto" w:fill="FFFFFF"/>
                <w:lang w:val="en-US"/>
              </w:rPr>
              <w:t xml:space="preserve"> </w:t>
            </w:r>
            <w:proofErr w:type="spellStart"/>
            <w:r w:rsidRPr="00D2344D">
              <w:rPr>
                <w:sz w:val="20"/>
                <w:szCs w:val="20"/>
                <w:lang w:val="en-US"/>
              </w:rPr>
              <w:t>dbh</w:t>
            </w:r>
            <w:proofErr w:type="spellEnd"/>
            <w:r w:rsidRPr="00D2344D">
              <w:rPr>
                <w:sz w:val="20"/>
                <w:szCs w:val="20"/>
                <w:lang w:val="en-US"/>
              </w:rPr>
              <w:t xml:space="preserve"> </w:t>
            </w:r>
            <w:r w:rsidRPr="009E02A7">
              <w:rPr>
                <w:sz w:val="20"/>
                <w:szCs w:val="20"/>
                <w:lang w:val="en-US"/>
              </w:rPr>
              <w:t xml:space="preserve">tree </w:t>
            </w:r>
            <w:r w:rsidRPr="00D2344D">
              <w:rPr>
                <w:sz w:val="20"/>
                <w:szCs w:val="20"/>
                <w:lang w:val="en-US"/>
              </w:rPr>
              <w:t xml:space="preserve">diameter at breast height </w:t>
            </w:r>
            <w:r w:rsidRPr="009E02A7">
              <w:rPr>
                <w:sz w:val="20"/>
                <w:szCs w:val="20"/>
                <w:lang w:val="en-US"/>
              </w:rPr>
              <w:t>(</w:t>
            </w:r>
            <w:r w:rsidRPr="00D2344D">
              <w:rPr>
                <w:sz w:val="20"/>
                <w:szCs w:val="20"/>
                <w:lang w:val="en-US"/>
              </w:rPr>
              <w:t>cm</w:t>
            </w:r>
            <w:r w:rsidRPr="009E02A7">
              <w:rPr>
                <w:sz w:val="20"/>
                <w:szCs w:val="20"/>
                <w:lang w:val="en-US"/>
              </w:rPr>
              <w:t>)</w:t>
            </w:r>
            <w:r>
              <w:rPr>
                <w:sz w:val="20"/>
                <w:szCs w:val="20"/>
                <w:lang w:val="en-US"/>
              </w:rPr>
              <w:t xml:space="preserve">, </w:t>
            </w:r>
            <w:r w:rsidRPr="009E02A7">
              <w:rPr>
                <w:sz w:val="20"/>
                <w:szCs w:val="20"/>
                <w:lang w:val="en-US"/>
              </w:rPr>
              <w:t xml:space="preserve">A is area of all plots (ha), </w:t>
            </w:r>
            <w:r w:rsidRPr="00CA2469">
              <w:rPr>
                <w:sz w:val="20"/>
                <w:szCs w:val="20"/>
              </w:rPr>
              <w:t>ρ</w:t>
            </w:r>
            <w:r w:rsidRPr="00CE6202">
              <w:rPr>
                <w:sz w:val="20"/>
                <w:szCs w:val="20"/>
                <w:lang w:val="en-US"/>
              </w:rPr>
              <w:t xml:space="preserve"> wood density (g cm</w:t>
            </w:r>
            <w:r w:rsidRPr="00CE6202">
              <w:rPr>
                <w:sz w:val="20"/>
                <w:szCs w:val="20"/>
                <w:vertAlign w:val="superscript"/>
                <w:lang w:val="en-US"/>
              </w:rPr>
              <w:t>-3</w:t>
            </w:r>
            <w:r w:rsidRPr="00CE6202">
              <w:rPr>
                <w:sz w:val="20"/>
                <w:szCs w:val="20"/>
                <w:lang w:val="en-US"/>
              </w:rPr>
              <w:t>)</w:t>
            </w:r>
            <w:r w:rsidRPr="009E02A7">
              <w:rPr>
                <w:sz w:val="20"/>
                <w:szCs w:val="20"/>
                <w:lang w:val="en-US"/>
              </w:rPr>
              <w:t xml:space="preserve">, h tree height (m), </w:t>
            </w:r>
            <w:r w:rsidRPr="00D2344D">
              <w:rPr>
                <w:sz w:val="20"/>
                <w:szCs w:val="20"/>
                <w:shd w:val="clear" w:color="auto" w:fill="FFFFFF"/>
                <w:lang w:val="en-US"/>
              </w:rPr>
              <w:t>W</w:t>
            </w:r>
            <w:r w:rsidRPr="00D2344D">
              <w:rPr>
                <w:sz w:val="20"/>
                <w:szCs w:val="20"/>
                <w:shd w:val="clear" w:color="auto" w:fill="FFFFFF"/>
                <w:vertAlign w:val="subscript"/>
                <w:lang w:val="en-US"/>
              </w:rPr>
              <w:t xml:space="preserve">1 </w:t>
            </w:r>
            <w:r w:rsidRPr="00D2344D">
              <w:rPr>
                <w:sz w:val="20"/>
                <w:szCs w:val="20"/>
                <w:shd w:val="clear" w:color="auto" w:fill="FFFFFF"/>
                <w:lang w:val="en-US"/>
              </w:rPr>
              <w:t>is the loss in mass, W</w:t>
            </w:r>
            <w:r w:rsidRPr="00D2344D">
              <w:rPr>
                <w:sz w:val="20"/>
                <w:szCs w:val="20"/>
                <w:shd w:val="clear" w:color="auto" w:fill="FFFFFF"/>
                <w:vertAlign w:val="subscript"/>
                <w:lang w:val="en-US"/>
              </w:rPr>
              <w:t>2</w:t>
            </w:r>
            <w:r w:rsidRPr="00D2344D">
              <w:rPr>
                <w:sz w:val="20"/>
                <w:szCs w:val="20"/>
                <w:shd w:val="clear" w:color="auto" w:fill="FFFFFF"/>
                <w:lang w:val="en-US"/>
              </w:rPr>
              <w:t xml:space="preserve"> mass of oven-dry soil, </w:t>
            </w:r>
            <w:r w:rsidRPr="00D2344D">
              <w:rPr>
                <w:sz w:val="20"/>
                <w:szCs w:val="20"/>
                <w:lang w:val="en-US" w:bidi="bn-IN"/>
              </w:rPr>
              <w:t>BD bulk density of soil (g cm</w:t>
            </w:r>
            <w:r w:rsidRPr="00D2344D">
              <w:rPr>
                <w:sz w:val="20"/>
                <w:szCs w:val="20"/>
                <w:vertAlign w:val="superscript"/>
                <w:lang w:val="en-US" w:bidi="bn-IN"/>
              </w:rPr>
              <w:t>-3</w:t>
            </w:r>
            <w:r w:rsidRPr="00D2344D">
              <w:rPr>
                <w:sz w:val="20"/>
                <w:szCs w:val="20"/>
                <w:lang w:val="en-US" w:bidi="bn-IN"/>
              </w:rPr>
              <w:t>)</w:t>
            </w:r>
            <w:r w:rsidRPr="00D2344D">
              <w:rPr>
                <w:sz w:val="20"/>
                <w:szCs w:val="20"/>
                <w:lang w:val="en-US"/>
              </w:rPr>
              <w:t>, SD soil depth (cm)</w:t>
            </w:r>
          </w:p>
        </w:tc>
      </w:tr>
    </w:tbl>
    <w:p w14:paraId="3CD85544" w14:textId="77777777" w:rsidR="00C64ADF" w:rsidRDefault="00C64ADF" w:rsidP="00B3705F">
      <w:pPr>
        <w:pStyle w:val="Subpara"/>
        <w:ind w:firstLine="0"/>
        <w:rPr>
          <w:lang w:val="en-FI"/>
        </w:rPr>
      </w:pPr>
    </w:p>
    <w:p w14:paraId="2441A042" w14:textId="48764366" w:rsidR="00C64ADF" w:rsidRDefault="00C64ADF" w:rsidP="00B3705F">
      <w:pPr>
        <w:pStyle w:val="Subpara"/>
        <w:ind w:firstLine="0"/>
        <w:rPr>
          <w:lang w:val="en-FI"/>
        </w:rPr>
      </w:pPr>
    </w:p>
    <w:p w14:paraId="7C0473BF" w14:textId="51D96278" w:rsidR="00C64ADF" w:rsidRDefault="00C64ADF" w:rsidP="00B3705F">
      <w:pPr>
        <w:pStyle w:val="Subpara"/>
        <w:ind w:firstLine="0"/>
        <w:rPr>
          <w:lang w:val="en-FI"/>
        </w:rPr>
      </w:pPr>
    </w:p>
    <w:p w14:paraId="1BA367A5" w14:textId="66CBD472" w:rsidR="00C64ADF" w:rsidRDefault="00C64ADF" w:rsidP="00B3705F">
      <w:pPr>
        <w:pStyle w:val="Subpara"/>
        <w:ind w:firstLine="0"/>
        <w:rPr>
          <w:lang w:val="en-FI"/>
        </w:rPr>
      </w:pPr>
    </w:p>
    <w:p w14:paraId="34A1F966" w14:textId="44E98BAE" w:rsidR="00C64ADF" w:rsidRDefault="00C64ADF" w:rsidP="00B3705F">
      <w:pPr>
        <w:pStyle w:val="Subpara"/>
        <w:ind w:firstLine="0"/>
        <w:rPr>
          <w:lang w:val="en-FI"/>
        </w:rPr>
      </w:pPr>
    </w:p>
    <w:p w14:paraId="4EA072F1" w14:textId="7C66747E" w:rsidR="00C64ADF" w:rsidRDefault="00C64ADF" w:rsidP="00B3705F">
      <w:pPr>
        <w:pStyle w:val="Subpara"/>
        <w:ind w:firstLine="0"/>
        <w:rPr>
          <w:lang w:val="en-FI"/>
        </w:rPr>
      </w:pPr>
    </w:p>
    <w:p w14:paraId="01900A07" w14:textId="0DDD5296" w:rsidR="00C64ADF" w:rsidRDefault="00C64ADF" w:rsidP="00B3705F">
      <w:pPr>
        <w:pStyle w:val="Subpara"/>
        <w:ind w:firstLine="0"/>
        <w:rPr>
          <w:lang w:val="en-FI"/>
        </w:rPr>
      </w:pPr>
    </w:p>
    <w:p w14:paraId="7EB60621" w14:textId="281609D4" w:rsidR="00C64ADF" w:rsidRDefault="00C64ADF" w:rsidP="00B3705F">
      <w:pPr>
        <w:pStyle w:val="Subpara"/>
        <w:ind w:firstLine="0"/>
        <w:rPr>
          <w:lang w:val="en-FI"/>
        </w:rPr>
      </w:pPr>
    </w:p>
    <w:p w14:paraId="7083C030" w14:textId="0970D7CB" w:rsidR="00C64ADF" w:rsidRDefault="00C64ADF" w:rsidP="00B3705F">
      <w:pPr>
        <w:pStyle w:val="Subpara"/>
        <w:ind w:firstLine="0"/>
        <w:rPr>
          <w:lang w:val="en-FI"/>
        </w:rPr>
      </w:pPr>
    </w:p>
    <w:p w14:paraId="49133F04" w14:textId="0265661B" w:rsidR="00C64ADF" w:rsidRDefault="00C64ADF" w:rsidP="00B3705F">
      <w:pPr>
        <w:pStyle w:val="Subpara"/>
        <w:ind w:firstLine="0"/>
        <w:rPr>
          <w:lang w:val="en-FI"/>
        </w:rPr>
      </w:pPr>
    </w:p>
    <w:p w14:paraId="070AD1A2" w14:textId="4518F3B1" w:rsidR="00C64ADF" w:rsidRDefault="00C64ADF" w:rsidP="00B3705F">
      <w:pPr>
        <w:pStyle w:val="Subpara"/>
        <w:ind w:firstLine="0"/>
        <w:rPr>
          <w:lang w:val="en-FI"/>
        </w:rPr>
      </w:pPr>
    </w:p>
    <w:p w14:paraId="6949B4D7" w14:textId="4BAB8E12" w:rsidR="00C64ADF" w:rsidRDefault="00C64ADF" w:rsidP="00B3705F">
      <w:pPr>
        <w:pStyle w:val="Subpara"/>
        <w:ind w:firstLine="0"/>
        <w:rPr>
          <w:lang w:val="en-FI"/>
        </w:rPr>
      </w:pPr>
    </w:p>
    <w:p w14:paraId="0F762CF2" w14:textId="43A702AD" w:rsidR="00C64ADF" w:rsidRDefault="00C64ADF" w:rsidP="00B3705F">
      <w:pPr>
        <w:pStyle w:val="Subpara"/>
        <w:ind w:firstLine="0"/>
        <w:rPr>
          <w:lang w:val="en-FI"/>
        </w:rPr>
      </w:pPr>
    </w:p>
    <w:p w14:paraId="791E7A9D" w14:textId="2152DC16" w:rsidR="00C64ADF" w:rsidRDefault="00C64ADF" w:rsidP="00B3705F">
      <w:pPr>
        <w:pStyle w:val="Subpara"/>
        <w:ind w:firstLine="0"/>
        <w:rPr>
          <w:lang w:val="en-FI"/>
        </w:rPr>
      </w:pPr>
    </w:p>
    <w:p w14:paraId="02D205FF" w14:textId="77777777" w:rsidR="00C64ADF" w:rsidRDefault="00C64ADF" w:rsidP="00B3705F">
      <w:pPr>
        <w:pStyle w:val="Subpara"/>
        <w:ind w:firstLine="0"/>
        <w:rPr>
          <w:lang w:val="en-FI"/>
        </w:rPr>
      </w:pPr>
    </w:p>
    <w:p w14:paraId="294F3967" w14:textId="77777777" w:rsidR="00C64ADF" w:rsidRDefault="00C64ADF" w:rsidP="00B3705F">
      <w:pPr>
        <w:pStyle w:val="Subpara"/>
        <w:ind w:firstLine="0"/>
        <w:rPr>
          <w:lang w:val="en-F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64ADF" w:rsidRPr="0027212A" w14:paraId="348162A4" w14:textId="77777777" w:rsidTr="00B97079">
        <w:tc>
          <w:tcPr>
            <w:tcW w:w="4513" w:type="dxa"/>
          </w:tcPr>
          <w:p w14:paraId="147F0392" w14:textId="77777777" w:rsidR="00C64ADF" w:rsidRPr="00F402B5" w:rsidRDefault="00C64ADF" w:rsidP="00B97079">
            <w:pPr>
              <w:rPr>
                <w:rFonts w:ascii="Times New Roman" w:hAnsi="Times New Roman" w:cs="Times New Roman"/>
                <w:sz w:val="20"/>
                <w:szCs w:val="20"/>
                <w:lang w:val="en-US"/>
              </w:rPr>
            </w:pPr>
            <w:r>
              <w:rPr>
                <w:noProof/>
              </w:rPr>
              <w:lastRenderedPageBreak/>
              <w:drawing>
                <wp:inline distT="0" distB="0" distL="0" distR="0" wp14:anchorId="6D6A58FB" wp14:editId="23E48D39">
                  <wp:extent cx="2743200" cy="2560320"/>
                  <wp:effectExtent l="0" t="0" r="0" b="0"/>
                  <wp:docPr id="13" name="Chart 13">
                    <a:extLst xmlns:a="http://schemas.openxmlformats.org/drawingml/2006/main">
                      <a:ext uri="{FF2B5EF4-FFF2-40B4-BE49-F238E27FC236}">
                        <a16:creationId xmlns:a16="http://schemas.microsoft.com/office/drawing/2014/main" id="{3B119A36-A9EA-411C-9719-8B0E41F9E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4513" w:type="dxa"/>
          </w:tcPr>
          <w:p w14:paraId="67B8B840" w14:textId="77777777" w:rsidR="00C64ADF" w:rsidRPr="00F402B5" w:rsidRDefault="00C64ADF" w:rsidP="00B97079">
            <w:pPr>
              <w:rPr>
                <w:rFonts w:ascii="Times New Roman" w:hAnsi="Times New Roman" w:cs="Times New Roman"/>
                <w:sz w:val="20"/>
                <w:szCs w:val="20"/>
                <w:lang w:val="en-US"/>
              </w:rPr>
            </w:pPr>
            <w:r>
              <w:rPr>
                <w:noProof/>
              </w:rPr>
              <w:drawing>
                <wp:inline distT="0" distB="0" distL="0" distR="0" wp14:anchorId="120A76E3" wp14:editId="367F9844">
                  <wp:extent cx="2743200" cy="2560320"/>
                  <wp:effectExtent l="0" t="0" r="0" b="11430"/>
                  <wp:docPr id="19" name="Chart 19">
                    <a:extLst xmlns:a="http://schemas.openxmlformats.org/drawingml/2006/main">
                      <a:ext uri="{FF2B5EF4-FFF2-40B4-BE49-F238E27FC236}">
                        <a16:creationId xmlns:a16="http://schemas.microsoft.com/office/drawing/2014/main" id="{849BBDD4-1B09-4D49-BEF8-AE0101FDE8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C64ADF" w:rsidRPr="00F402B5" w14:paraId="14697632" w14:textId="77777777" w:rsidTr="00B97079">
        <w:tc>
          <w:tcPr>
            <w:tcW w:w="4513" w:type="dxa"/>
          </w:tcPr>
          <w:p w14:paraId="62B1FCED" w14:textId="77777777" w:rsidR="00C64ADF" w:rsidRPr="00F402B5" w:rsidRDefault="00C64ADF" w:rsidP="00B97079">
            <w:pPr>
              <w:rPr>
                <w:rFonts w:ascii="Times New Roman" w:hAnsi="Times New Roman" w:cs="Times New Roman"/>
                <w:sz w:val="20"/>
                <w:szCs w:val="20"/>
              </w:rPr>
            </w:pPr>
            <w:r w:rsidRPr="00F402B5">
              <w:rPr>
                <w:rFonts w:ascii="Times New Roman" w:hAnsi="Times New Roman" w:cs="Times New Roman"/>
                <w:sz w:val="20"/>
                <w:szCs w:val="20"/>
              </w:rPr>
              <w:t>a.</w:t>
            </w:r>
          </w:p>
        </w:tc>
        <w:tc>
          <w:tcPr>
            <w:tcW w:w="4513" w:type="dxa"/>
          </w:tcPr>
          <w:p w14:paraId="6140F7A6" w14:textId="77777777" w:rsidR="00C64ADF" w:rsidRPr="00F402B5" w:rsidRDefault="00C64ADF" w:rsidP="00B97079">
            <w:pPr>
              <w:rPr>
                <w:rFonts w:ascii="Times New Roman" w:hAnsi="Times New Roman" w:cs="Times New Roman"/>
                <w:sz w:val="20"/>
                <w:szCs w:val="20"/>
              </w:rPr>
            </w:pPr>
            <w:r w:rsidRPr="00F402B5">
              <w:rPr>
                <w:rFonts w:ascii="Times New Roman" w:hAnsi="Times New Roman" w:cs="Times New Roman"/>
                <w:sz w:val="20"/>
                <w:szCs w:val="20"/>
              </w:rPr>
              <w:t>B</w:t>
            </w:r>
          </w:p>
        </w:tc>
      </w:tr>
      <w:tr w:rsidR="00C64ADF" w:rsidRPr="00F402B5" w14:paraId="176CD02A" w14:textId="77777777" w:rsidTr="00B97079">
        <w:tc>
          <w:tcPr>
            <w:tcW w:w="4513" w:type="dxa"/>
          </w:tcPr>
          <w:p w14:paraId="2CE81C4E" w14:textId="77777777" w:rsidR="00C64ADF" w:rsidRPr="00F402B5" w:rsidRDefault="00C64ADF" w:rsidP="00B97079">
            <w:pPr>
              <w:rPr>
                <w:rFonts w:ascii="Times New Roman" w:hAnsi="Times New Roman" w:cs="Times New Roman"/>
                <w:sz w:val="20"/>
                <w:szCs w:val="20"/>
                <w:lang w:val="en-US"/>
              </w:rPr>
            </w:pPr>
            <w:r>
              <w:rPr>
                <w:noProof/>
              </w:rPr>
              <w:drawing>
                <wp:inline distT="0" distB="0" distL="0" distR="0" wp14:anchorId="58012C36" wp14:editId="400A06B5">
                  <wp:extent cx="2743200" cy="2560320"/>
                  <wp:effectExtent l="0" t="0" r="0" b="11430"/>
                  <wp:docPr id="20" name="Chart 20">
                    <a:extLst xmlns:a="http://schemas.openxmlformats.org/drawingml/2006/main">
                      <a:ext uri="{FF2B5EF4-FFF2-40B4-BE49-F238E27FC236}">
                        <a16:creationId xmlns:a16="http://schemas.microsoft.com/office/drawing/2014/main" id="{BE0D57B9-2AF4-4674-9CC4-B0A4473290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513" w:type="dxa"/>
          </w:tcPr>
          <w:p w14:paraId="5F92A264" w14:textId="77777777" w:rsidR="00C64ADF" w:rsidRPr="00F402B5" w:rsidRDefault="00C64ADF" w:rsidP="00B97079">
            <w:pPr>
              <w:rPr>
                <w:rFonts w:ascii="Times New Roman" w:hAnsi="Times New Roman" w:cs="Times New Roman"/>
                <w:sz w:val="20"/>
                <w:szCs w:val="20"/>
                <w:lang w:val="en-US"/>
              </w:rPr>
            </w:pPr>
            <w:r>
              <w:rPr>
                <w:noProof/>
              </w:rPr>
              <w:drawing>
                <wp:inline distT="0" distB="0" distL="0" distR="0" wp14:anchorId="5BB02797" wp14:editId="0FEBC3E5">
                  <wp:extent cx="2743200" cy="2560320"/>
                  <wp:effectExtent l="0" t="0" r="0" b="11430"/>
                  <wp:docPr id="21" name="Chart 21">
                    <a:extLst xmlns:a="http://schemas.openxmlformats.org/drawingml/2006/main">
                      <a:ext uri="{FF2B5EF4-FFF2-40B4-BE49-F238E27FC236}">
                        <a16:creationId xmlns:a16="http://schemas.microsoft.com/office/drawing/2014/main" id="{31DD245F-0624-4013-9CC2-995C34D906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C64ADF" w:rsidRPr="00F402B5" w14:paraId="6CA90B05" w14:textId="77777777" w:rsidTr="00B97079">
        <w:tc>
          <w:tcPr>
            <w:tcW w:w="4513" w:type="dxa"/>
          </w:tcPr>
          <w:p w14:paraId="447A9C12" w14:textId="77777777" w:rsidR="00C64ADF" w:rsidRPr="00F402B5" w:rsidRDefault="00C64ADF" w:rsidP="00B97079">
            <w:pPr>
              <w:rPr>
                <w:rFonts w:ascii="Times New Roman" w:hAnsi="Times New Roman" w:cs="Times New Roman"/>
                <w:sz w:val="20"/>
                <w:szCs w:val="20"/>
              </w:rPr>
            </w:pPr>
            <w:r w:rsidRPr="00F402B5">
              <w:rPr>
                <w:rFonts w:ascii="Times New Roman" w:hAnsi="Times New Roman" w:cs="Times New Roman"/>
                <w:sz w:val="20"/>
                <w:szCs w:val="20"/>
              </w:rPr>
              <w:t>c.</w:t>
            </w:r>
          </w:p>
        </w:tc>
        <w:tc>
          <w:tcPr>
            <w:tcW w:w="4513" w:type="dxa"/>
          </w:tcPr>
          <w:p w14:paraId="2EC23CF3" w14:textId="77777777" w:rsidR="00C64ADF" w:rsidRPr="00F402B5" w:rsidRDefault="00C64ADF" w:rsidP="00B97079">
            <w:pPr>
              <w:rPr>
                <w:rFonts w:ascii="Times New Roman" w:hAnsi="Times New Roman" w:cs="Times New Roman"/>
                <w:sz w:val="20"/>
                <w:szCs w:val="20"/>
              </w:rPr>
            </w:pPr>
            <w:r w:rsidRPr="00F402B5">
              <w:rPr>
                <w:rFonts w:ascii="Times New Roman" w:hAnsi="Times New Roman" w:cs="Times New Roman"/>
                <w:sz w:val="20"/>
                <w:szCs w:val="20"/>
              </w:rPr>
              <w:t>d.</w:t>
            </w:r>
          </w:p>
        </w:tc>
      </w:tr>
      <w:tr w:rsidR="00C64ADF" w:rsidRPr="00F402B5" w14:paraId="5A8C6E23" w14:textId="77777777" w:rsidTr="00B97079">
        <w:tc>
          <w:tcPr>
            <w:tcW w:w="4513" w:type="dxa"/>
          </w:tcPr>
          <w:p w14:paraId="2C18A95E" w14:textId="77777777" w:rsidR="00C64ADF" w:rsidRPr="00F402B5" w:rsidRDefault="00C64ADF" w:rsidP="00B97079">
            <w:pPr>
              <w:rPr>
                <w:rFonts w:ascii="Times New Roman" w:hAnsi="Times New Roman" w:cs="Times New Roman"/>
                <w:sz w:val="20"/>
                <w:szCs w:val="20"/>
              </w:rPr>
            </w:pPr>
            <w:r>
              <w:rPr>
                <w:noProof/>
              </w:rPr>
              <w:drawing>
                <wp:inline distT="0" distB="0" distL="0" distR="0" wp14:anchorId="62C6DB37" wp14:editId="01D4C193">
                  <wp:extent cx="2743200" cy="2560320"/>
                  <wp:effectExtent l="0" t="0" r="0" b="11430"/>
                  <wp:docPr id="22" name="Chart 22">
                    <a:extLst xmlns:a="http://schemas.openxmlformats.org/drawingml/2006/main">
                      <a:ext uri="{FF2B5EF4-FFF2-40B4-BE49-F238E27FC236}">
                        <a16:creationId xmlns:a16="http://schemas.microsoft.com/office/drawing/2014/main" id="{5E88948F-D31E-4169-957F-795161169F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513" w:type="dxa"/>
          </w:tcPr>
          <w:p w14:paraId="49263A03" w14:textId="77777777" w:rsidR="00C64ADF" w:rsidRPr="00F402B5" w:rsidRDefault="00C64ADF" w:rsidP="00B97079">
            <w:pPr>
              <w:rPr>
                <w:rFonts w:ascii="Times New Roman" w:hAnsi="Times New Roman" w:cs="Times New Roman"/>
                <w:sz w:val="20"/>
                <w:szCs w:val="20"/>
              </w:rPr>
            </w:pPr>
            <w:r>
              <w:rPr>
                <w:noProof/>
              </w:rPr>
              <w:drawing>
                <wp:inline distT="0" distB="0" distL="0" distR="0" wp14:anchorId="5A12C9CA" wp14:editId="1DD43CBA">
                  <wp:extent cx="2743200" cy="2560320"/>
                  <wp:effectExtent l="0" t="0" r="0" b="11430"/>
                  <wp:docPr id="23" name="Chart 23">
                    <a:extLst xmlns:a="http://schemas.openxmlformats.org/drawingml/2006/main">
                      <a:ext uri="{FF2B5EF4-FFF2-40B4-BE49-F238E27FC236}">
                        <a16:creationId xmlns:a16="http://schemas.microsoft.com/office/drawing/2014/main" id="{9AAFBD82-0C96-45F7-9506-B30C9526FA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C64ADF" w:rsidRPr="00F402B5" w14:paraId="48C29F69" w14:textId="77777777" w:rsidTr="00B97079">
        <w:tc>
          <w:tcPr>
            <w:tcW w:w="4513" w:type="dxa"/>
          </w:tcPr>
          <w:p w14:paraId="586A27E1" w14:textId="77777777" w:rsidR="00C64ADF" w:rsidRPr="00E20C69" w:rsidRDefault="00C64ADF" w:rsidP="00B97079">
            <w:pPr>
              <w:rPr>
                <w:rFonts w:ascii="Times New Roman" w:hAnsi="Times New Roman" w:cs="Times New Roman"/>
                <w:sz w:val="20"/>
                <w:szCs w:val="20"/>
                <w:lang w:val="en-US"/>
              </w:rPr>
            </w:pPr>
            <w:r>
              <w:rPr>
                <w:rFonts w:ascii="Times New Roman" w:hAnsi="Times New Roman" w:cs="Times New Roman"/>
                <w:sz w:val="20"/>
                <w:szCs w:val="20"/>
                <w:lang w:val="en-US"/>
              </w:rPr>
              <w:t>e.</w:t>
            </w:r>
          </w:p>
        </w:tc>
        <w:tc>
          <w:tcPr>
            <w:tcW w:w="4513" w:type="dxa"/>
          </w:tcPr>
          <w:p w14:paraId="7B88C38B" w14:textId="77777777" w:rsidR="00C64ADF" w:rsidRPr="00F402B5" w:rsidRDefault="00C64ADF" w:rsidP="00B97079">
            <w:pPr>
              <w:rPr>
                <w:rFonts w:ascii="Times New Roman" w:hAnsi="Times New Roman" w:cs="Times New Roman"/>
                <w:sz w:val="20"/>
                <w:szCs w:val="20"/>
              </w:rPr>
            </w:pPr>
          </w:p>
        </w:tc>
      </w:tr>
    </w:tbl>
    <w:p w14:paraId="559A015E" w14:textId="5F59DCC3" w:rsidR="00B3705F" w:rsidRPr="00A3440A" w:rsidRDefault="00B3705F" w:rsidP="00B3705F">
      <w:pPr>
        <w:pStyle w:val="Subpara"/>
        <w:ind w:firstLine="0"/>
        <w:rPr>
          <w:lang w:val="en-FI"/>
        </w:rPr>
      </w:pPr>
      <w:r w:rsidRPr="00375994">
        <w:rPr>
          <w:b/>
          <w:bCs/>
          <w:lang w:val="en-FI"/>
        </w:rPr>
        <w:t xml:space="preserve">Fig. </w:t>
      </w:r>
      <w:r w:rsidRPr="00375994">
        <w:rPr>
          <w:b/>
          <w:bCs/>
          <w:lang w:val="en-US"/>
        </w:rPr>
        <w:t>A1</w:t>
      </w:r>
      <w:r w:rsidRPr="00375994">
        <w:rPr>
          <w:b/>
          <w:bCs/>
          <w:lang w:val="en-FI"/>
        </w:rPr>
        <w:t>.</w:t>
      </w:r>
      <w:r>
        <w:rPr>
          <w:lang w:val="en-FI"/>
        </w:rPr>
        <w:t xml:space="preserve"> </w:t>
      </w:r>
      <w:r>
        <w:rPr>
          <w:lang w:val="en-US"/>
        </w:rPr>
        <w:t xml:space="preserve">Plotting of </w:t>
      </w:r>
      <w:r w:rsidRPr="00A3440A">
        <w:rPr>
          <w:lang w:val="en-FI"/>
        </w:rPr>
        <w:t>nutrient</w:t>
      </w:r>
      <w:r>
        <w:rPr>
          <w:lang w:val="en-US"/>
        </w:rPr>
        <w:t xml:space="preserve"> stock</w:t>
      </w:r>
      <w:r w:rsidRPr="00A3440A">
        <w:rPr>
          <w:lang w:val="en-FI"/>
        </w:rPr>
        <w:t xml:space="preserve"> </w:t>
      </w:r>
      <w:r>
        <w:rPr>
          <w:lang w:val="en-US"/>
        </w:rPr>
        <w:t>against soil carbon stock</w:t>
      </w:r>
      <w:r>
        <w:rPr>
          <w:lang w:val="en-FI"/>
        </w:rPr>
        <w:t xml:space="preserve"> in </w:t>
      </w:r>
      <w:r>
        <w:rPr>
          <w:lang w:val="en-US"/>
        </w:rPr>
        <w:t xml:space="preserve">intact forest </w:t>
      </w:r>
      <w:r>
        <w:rPr>
          <w:lang w:val="en-FI"/>
        </w:rPr>
        <w:t>(IF)</w:t>
      </w:r>
      <w:r>
        <w:rPr>
          <w:lang w:val="en-US"/>
        </w:rPr>
        <w:t xml:space="preserve">, fragmented forest </w:t>
      </w:r>
      <w:r>
        <w:rPr>
          <w:lang w:val="en-FI"/>
        </w:rPr>
        <w:t xml:space="preserve">(FF) </w:t>
      </w:r>
      <w:r>
        <w:rPr>
          <w:lang w:val="en-US"/>
        </w:rPr>
        <w:t xml:space="preserve">and shifting cultivation </w:t>
      </w:r>
      <w:r>
        <w:rPr>
          <w:lang w:val="en-FI"/>
        </w:rPr>
        <w:t xml:space="preserve">(SC) </w:t>
      </w:r>
      <w:r>
        <w:rPr>
          <w:lang w:val="en-US"/>
        </w:rPr>
        <w:t>sites</w:t>
      </w:r>
      <w:r>
        <w:rPr>
          <w:lang w:val="en-FI"/>
        </w:rPr>
        <w:t xml:space="preserve"> in SFR, Bangladesh. </w:t>
      </w:r>
      <w:r w:rsidRPr="003131EC">
        <w:rPr>
          <w:lang w:val="en-FI"/>
        </w:rPr>
        <w:t>*</w:t>
      </w:r>
      <w:r>
        <w:rPr>
          <w:lang w:val="en-FI"/>
        </w:rPr>
        <w:t xml:space="preserve"> </w:t>
      </w:r>
      <w:proofErr w:type="gramStart"/>
      <w:r>
        <w:rPr>
          <w:lang w:val="en-US"/>
        </w:rPr>
        <w:t>indicates</w:t>
      </w:r>
      <w:proofErr w:type="gramEnd"/>
      <w:r>
        <w:rPr>
          <w:lang w:val="en-US"/>
        </w:rPr>
        <w:t xml:space="preserve"> </w:t>
      </w:r>
      <w:r>
        <w:rPr>
          <w:lang w:val="en-FI"/>
        </w:rPr>
        <w:t>c</w:t>
      </w:r>
      <w:r w:rsidRPr="003131EC">
        <w:rPr>
          <w:lang w:val="en-FI"/>
        </w:rPr>
        <w:t xml:space="preserve">orrelation is significant at the </w:t>
      </w:r>
      <w:r>
        <w:rPr>
          <w:lang w:val="en-FI"/>
        </w:rPr>
        <w:t>0.05</w:t>
      </w:r>
      <w:r w:rsidRPr="003131EC">
        <w:rPr>
          <w:lang w:val="en-FI"/>
        </w:rPr>
        <w:t xml:space="preserve"> level.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3705F" w:rsidRPr="0027212A" w14:paraId="1A4ACBFB" w14:textId="77777777" w:rsidTr="008E56E5">
        <w:tc>
          <w:tcPr>
            <w:tcW w:w="4513" w:type="dxa"/>
          </w:tcPr>
          <w:p w14:paraId="103356F5" w14:textId="77777777" w:rsidR="00B3705F" w:rsidRPr="00F402B5" w:rsidRDefault="00B3705F" w:rsidP="008E56E5">
            <w:pPr>
              <w:rPr>
                <w:rFonts w:ascii="Times New Roman" w:hAnsi="Times New Roman" w:cs="Times New Roman"/>
                <w:sz w:val="20"/>
                <w:szCs w:val="20"/>
                <w:lang w:val="en-US"/>
              </w:rPr>
            </w:pPr>
            <w:r>
              <w:rPr>
                <w:noProof/>
              </w:rPr>
              <w:drawing>
                <wp:inline distT="0" distB="0" distL="0" distR="0" wp14:anchorId="301454BE" wp14:editId="1703C123">
                  <wp:extent cx="2743200" cy="2560320"/>
                  <wp:effectExtent l="0" t="0" r="0" b="0"/>
                  <wp:docPr id="30" name="Chart 30">
                    <a:extLst xmlns:a="http://schemas.openxmlformats.org/drawingml/2006/main">
                      <a:ext uri="{FF2B5EF4-FFF2-40B4-BE49-F238E27FC236}">
                        <a16:creationId xmlns:a16="http://schemas.microsoft.com/office/drawing/2014/main" id="{2DC452AF-86E5-4CDF-9B71-1782197B43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513" w:type="dxa"/>
          </w:tcPr>
          <w:p w14:paraId="1C9BA662" w14:textId="77777777" w:rsidR="00B3705F" w:rsidRPr="00F402B5" w:rsidRDefault="00B3705F" w:rsidP="008E56E5">
            <w:pPr>
              <w:rPr>
                <w:rFonts w:ascii="Times New Roman" w:hAnsi="Times New Roman" w:cs="Times New Roman"/>
                <w:sz w:val="20"/>
                <w:szCs w:val="20"/>
                <w:lang w:val="en-US"/>
              </w:rPr>
            </w:pPr>
            <w:r>
              <w:rPr>
                <w:noProof/>
              </w:rPr>
              <w:drawing>
                <wp:inline distT="0" distB="0" distL="0" distR="0" wp14:anchorId="06151377" wp14:editId="71987519">
                  <wp:extent cx="2743200" cy="2560320"/>
                  <wp:effectExtent l="0" t="0" r="0" b="11430"/>
                  <wp:docPr id="31" name="Chart 31">
                    <a:extLst xmlns:a="http://schemas.openxmlformats.org/drawingml/2006/main">
                      <a:ext uri="{FF2B5EF4-FFF2-40B4-BE49-F238E27FC236}">
                        <a16:creationId xmlns:a16="http://schemas.microsoft.com/office/drawing/2014/main" id="{EF60CA8D-2339-49DE-AEB5-2B8BD11429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B3705F" w:rsidRPr="00F402B5" w14:paraId="377AC9C9" w14:textId="77777777" w:rsidTr="008E56E5">
        <w:tc>
          <w:tcPr>
            <w:tcW w:w="4513" w:type="dxa"/>
          </w:tcPr>
          <w:p w14:paraId="42800F82" w14:textId="77777777" w:rsidR="00B3705F" w:rsidRPr="00F402B5" w:rsidRDefault="00B3705F" w:rsidP="008E56E5">
            <w:pPr>
              <w:rPr>
                <w:rFonts w:ascii="Times New Roman" w:hAnsi="Times New Roman" w:cs="Times New Roman"/>
                <w:sz w:val="20"/>
                <w:szCs w:val="20"/>
              </w:rPr>
            </w:pPr>
            <w:r w:rsidRPr="00F402B5">
              <w:rPr>
                <w:rFonts w:ascii="Times New Roman" w:hAnsi="Times New Roman" w:cs="Times New Roman"/>
                <w:sz w:val="20"/>
                <w:szCs w:val="20"/>
              </w:rPr>
              <w:t>a.</w:t>
            </w:r>
          </w:p>
        </w:tc>
        <w:tc>
          <w:tcPr>
            <w:tcW w:w="4513" w:type="dxa"/>
          </w:tcPr>
          <w:p w14:paraId="45DFD853" w14:textId="77777777" w:rsidR="00B3705F" w:rsidRPr="00DB4FB0" w:rsidRDefault="00B3705F" w:rsidP="008E56E5">
            <w:pPr>
              <w:rPr>
                <w:rFonts w:ascii="Times New Roman" w:hAnsi="Times New Roman" w:cs="Times New Roman"/>
                <w:sz w:val="20"/>
                <w:szCs w:val="20"/>
                <w:lang w:val="en-US"/>
              </w:rPr>
            </w:pPr>
            <w:r>
              <w:rPr>
                <w:rFonts w:ascii="Times New Roman" w:hAnsi="Times New Roman" w:cs="Times New Roman"/>
                <w:sz w:val="20"/>
                <w:szCs w:val="20"/>
                <w:lang w:val="en-US"/>
              </w:rPr>
              <w:t>b</w:t>
            </w:r>
          </w:p>
        </w:tc>
      </w:tr>
      <w:tr w:rsidR="00B3705F" w:rsidRPr="00F402B5" w14:paraId="767C0AB9" w14:textId="77777777" w:rsidTr="008E56E5">
        <w:tc>
          <w:tcPr>
            <w:tcW w:w="4513" w:type="dxa"/>
          </w:tcPr>
          <w:p w14:paraId="7C9BF17E" w14:textId="77777777" w:rsidR="00B3705F" w:rsidRPr="00F402B5" w:rsidRDefault="00B3705F" w:rsidP="008E56E5">
            <w:pPr>
              <w:rPr>
                <w:rFonts w:ascii="Times New Roman" w:hAnsi="Times New Roman" w:cs="Times New Roman"/>
                <w:sz w:val="20"/>
                <w:szCs w:val="20"/>
                <w:lang w:val="en-US"/>
              </w:rPr>
            </w:pPr>
            <w:r>
              <w:rPr>
                <w:noProof/>
              </w:rPr>
              <w:drawing>
                <wp:inline distT="0" distB="0" distL="0" distR="0" wp14:anchorId="00D13B1E" wp14:editId="75D5AB43">
                  <wp:extent cx="2743200" cy="2560320"/>
                  <wp:effectExtent l="0" t="0" r="0" b="11430"/>
                  <wp:docPr id="32" name="Chart 32">
                    <a:extLst xmlns:a="http://schemas.openxmlformats.org/drawingml/2006/main">
                      <a:ext uri="{FF2B5EF4-FFF2-40B4-BE49-F238E27FC236}">
                        <a16:creationId xmlns:a16="http://schemas.microsoft.com/office/drawing/2014/main" id="{C7241E7A-EBF0-4481-A3CF-5317298A7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513" w:type="dxa"/>
          </w:tcPr>
          <w:p w14:paraId="058C67F0" w14:textId="77777777" w:rsidR="00B3705F" w:rsidRPr="00F402B5" w:rsidRDefault="00B3705F" w:rsidP="008E56E5">
            <w:pPr>
              <w:rPr>
                <w:rFonts w:ascii="Times New Roman" w:hAnsi="Times New Roman" w:cs="Times New Roman"/>
                <w:sz w:val="20"/>
                <w:szCs w:val="20"/>
                <w:lang w:val="en-US"/>
              </w:rPr>
            </w:pPr>
            <w:r>
              <w:rPr>
                <w:noProof/>
              </w:rPr>
              <w:drawing>
                <wp:inline distT="0" distB="0" distL="0" distR="0" wp14:anchorId="2118207B" wp14:editId="35A2C65B">
                  <wp:extent cx="2743200" cy="2560320"/>
                  <wp:effectExtent l="0" t="0" r="0" b="11430"/>
                  <wp:docPr id="33" name="Chart 33">
                    <a:extLst xmlns:a="http://schemas.openxmlformats.org/drawingml/2006/main">
                      <a:ext uri="{FF2B5EF4-FFF2-40B4-BE49-F238E27FC236}">
                        <a16:creationId xmlns:a16="http://schemas.microsoft.com/office/drawing/2014/main" id="{0A722B22-226D-4C33-95D9-CDDFD0A66D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B3705F" w:rsidRPr="00F402B5" w14:paraId="091EBA52" w14:textId="77777777" w:rsidTr="008E56E5">
        <w:tc>
          <w:tcPr>
            <w:tcW w:w="4513" w:type="dxa"/>
          </w:tcPr>
          <w:p w14:paraId="0FB43F51" w14:textId="77777777" w:rsidR="00B3705F" w:rsidRPr="00F402B5" w:rsidRDefault="00B3705F" w:rsidP="008E56E5">
            <w:pPr>
              <w:rPr>
                <w:rFonts w:ascii="Times New Roman" w:hAnsi="Times New Roman" w:cs="Times New Roman"/>
                <w:sz w:val="20"/>
                <w:szCs w:val="20"/>
              </w:rPr>
            </w:pPr>
            <w:r w:rsidRPr="00F402B5">
              <w:rPr>
                <w:rFonts w:ascii="Times New Roman" w:hAnsi="Times New Roman" w:cs="Times New Roman"/>
                <w:sz w:val="20"/>
                <w:szCs w:val="20"/>
              </w:rPr>
              <w:t>c.</w:t>
            </w:r>
          </w:p>
        </w:tc>
        <w:tc>
          <w:tcPr>
            <w:tcW w:w="4513" w:type="dxa"/>
          </w:tcPr>
          <w:p w14:paraId="10EDAD51" w14:textId="77777777" w:rsidR="00B3705F" w:rsidRPr="00F402B5" w:rsidRDefault="00B3705F" w:rsidP="008E56E5">
            <w:pPr>
              <w:rPr>
                <w:rFonts w:ascii="Times New Roman" w:hAnsi="Times New Roman" w:cs="Times New Roman"/>
                <w:sz w:val="20"/>
                <w:szCs w:val="20"/>
              </w:rPr>
            </w:pPr>
            <w:r w:rsidRPr="00F402B5">
              <w:rPr>
                <w:rFonts w:ascii="Times New Roman" w:hAnsi="Times New Roman" w:cs="Times New Roman"/>
                <w:sz w:val="20"/>
                <w:szCs w:val="20"/>
              </w:rPr>
              <w:t>d.</w:t>
            </w:r>
          </w:p>
        </w:tc>
      </w:tr>
      <w:tr w:rsidR="00B3705F" w:rsidRPr="00F402B5" w14:paraId="1707AF4D" w14:textId="77777777" w:rsidTr="008E56E5">
        <w:tc>
          <w:tcPr>
            <w:tcW w:w="4513" w:type="dxa"/>
          </w:tcPr>
          <w:p w14:paraId="7ADE909C" w14:textId="77777777" w:rsidR="00B3705F" w:rsidRPr="00F402B5" w:rsidRDefault="00B3705F" w:rsidP="008E56E5">
            <w:pPr>
              <w:rPr>
                <w:rFonts w:ascii="Times New Roman" w:hAnsi="Times New Roman" w:cs="Times New Roman"/>
                <w:sz w:val="20"/>
                <w:szCs w:val="20"/>
              </w:rPr>
            </w:pPr>
            <w:r>
              <w:rPr>
                <w:noProof/>
              </w:rPr>
              <w:drawing>
                <wp:inline distT="0" distB="0" distL="0" distR="0" wp14:anchorId="40A06953" wp14:editId="64F56DF1">
                  <wp:extent cx="2743200" cy="2560320"/>
                  <wp:effectExtent l="0" t="0" r="0" b="11430"/>
                  <wp:docPr id="34" name="Chart 34">
                    <a:extLst xmlns:a="http://schemas.openxmlformats.org/drawingml/2006/main">
                      <a:ext uri="{FF2B5EF4-FFF2-40B4-BE49-F238E27FC236}">
                        <a16:creationId xmlns:a16="http://schemas.microsoft.com/office/drawing/2014/main" id="{1251044B-B10B-428C-B46D-0EC35088BC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513" w:type="dxa"/>
          </w:tcPr>
          <w:p w14:paraId="475EB30C" w14:textId="77777777" w:rsidR="00B3705F" w:rsidRPr="00F402B5" w:rsidRDefault="00B3705F" w:rsidP="008E56E5">
            <w:pPr>
              <w:rPr>
                <w:rFonts w:ascii="Times New Roman" w:hAnsi="Times New Roman" w:cs="Times New Roman"/>
                <w:sz w:val="20"/>
                <w:szCs w:val="20"/>
              </w:rPr>
            </w:pPr>
            <w:r>
              <w:rPr>
                <w:noProof/>
              </w:rPr>
              <w:drawing>
                <wp:inline distT="0" distB="0" distL="0" distR="0" wp14:anchorId="368799C2" wp14:editId="0B226DD6">
                  <wp:extent cx="2743200" cy="2560320"/>
                  <wp:effectExtent l="0" t="0" r="0" b="11430"/>
                  <wp:docPr id="35" name="Chart 35">
                    <a:extLst xmlns:a="http://schemas.openxmlformats.org/drawingml/2006/main">
                      <a:ext uri="{FF2B5EF4-FFF2-40B4-BE49-F238E27FC236}">
                        <a16:creationId xmlns:a16="http://schemas.microsoft.com/office/drawing/2014/main" id="{5A29FF6A-FA79-47AF-A53E-269CBB979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B3705F" w:rsidRPr="00F402B5" w14:paraId="4A053B46" w14:textId="77777777" w:rsidTr="008E56E5">
        <w:tc>
          <w:tcPr>
            <w:tcW w:w="4513" w:type="dxa"/>
          </w:tcPr>
          <w:p w14:paraId="1CDCCB95" w14:textId="77777777" w:rsidR="00B3705F" w:rsidRPr="00E20C69" w:rsidRDefault="00B3705F" w:rsidP="008E56E5">
            <w:pPr>
              <w:rPr>
                <w:rFonts w:ascii="Times New Roman" w:hAnsi="Times New Roman" w:cs="Times New Roman"/>
                <w:sz w:val="20"/>
                <w:szCs w:val="20"/>
                <w:lang w:val="en-US"/>
              </w:rPr>
            </w:pPr>
            <w:r>
              <w:rPr>
                <w:rFonts w:ascii="Times New Roman" w:hAnsi="Times New Roman" w:cs="Times New Roman"/>
                <w:sz w:val="20"/>
                <w:szCs w:val="20"/>
                <w:lang w:val="en-US"/>
              </w:rPr>
              <w:t>e.</w:t>
            </w:r>
          </w:p>
        </w:tc>
        <w:tc>
          <w:tcPr>
            <w:tcW w:w="4513" w:type="dxa"/>
          </w:tcPr>
          <w:p w14:paraId="5D7AC5DB" w14:textId="77777777" w:rsidR="00B3705F" w:rsidRPr="00F402B5" w:rsidRDefault="00B3705F" w:rsidP="008E56E5">
            <w:pPr>
              <w:rPr>
                <w:rFonts w:ascii="Times New Roman" w:hAnsi="Times New Roman" w:cs="Times New Roman"/>
                <w:sz w:val="20"/>
                <w:szCs w:val="20"/>
              </w:rPr>
            </w:pPr>
          </w:p>
        </w:tc>
      </w:tr>
    </w:tbl>
    <w:p w14:paraId="07C7B6F9" w14:textId="4E199C01" w:rsidR="00B3705F" w:rsidRDefault="00B3705F" w:rsidP="00B3705F">
      <w:pPr>
        <w:pStyle w:val="Subpara"/>
        <w:ind w:firstLine="0"/>
      </w:pPr>
      <w:r w:rsidRPr="00375994">
        <w:rPr>
          <w:b/>
          <w:bCs/>
          <w:lang w:val="en-FI"/>
        </w:rPr>
        <w:t xml:space="preserve">Fig. </w:t>
      </w:r>
      <w:r w:rsidRPr="00375994">
        <w:rPr>
          <w:b/>
          <w:bCs/>
          <w:lang w:val="en-US"/>
        </w:rPr>
        <w:t>A2</w:t>
      </w:r>
      <w:r w:rsidRPr="00375994">
        <w:rPr>
          <w:b/>
          <w:bCs/>
          <w:lang w:val="en-FI"/>
        </w:rPr>
        <w:t>.</w:t>
      </w:r>
      <w:r>
        <w:rPr>
          <w:lang w:val="en-FI"/>
        </w:rPr>
        <w:t xml:space="preserve"> </w:t>
      </w:r>
      <w:r>
        <w:rPr>
          <w:lang w:val="en-US"/>
        </w:rPr>
        <w:t xml:space="preserve">Plotting of </w:t>
      </w:r>
      <w:r w:rsidRPr="00A3440A">
        <w:rPr>
          <w:lang w:val="en-FI"/>
        </w:rPr>
        <w:t>nutrient</w:t>
      </w:r>
      <w:r>
        <w:rPr>
          <w:lang w:val="en-US"/>
        </w:rPr>
        <w:t xml:space="preserve"> stock</w:t>
      </w:r>
      <w:r w:rsidRPr="00A3440A">
        <w:rPr>
          <w:lang w:val="en-FI"/>
        </w:rPr>
        <w:t xml:space="preserve"> </w:t>
      </w:r>
      <w:r>
        <w:rPr>
          <w:lang w:val="en-US"/>
        </w:rPr>
        <w:t xml:space="preserve">against </w:t>
      </w:r>
      <w:r>
        <w:rPr>
          <w:lang w:val="en-FI"/>
        </w:rPr>
        <w:t xml:space="preserve">tree species diversity in </w:t>
      </w:r>
      <w:r>
        <w:rPr>
          <w:lang w:val="en-US"/>
        </w:rPr>
        <w:t xml:space="preserve">intact forest </w:t>
      </w:r>
      <w:r>
        <w:rPr>
          <w:lang w:val="en-FI"/>
        </w:rPr>
        <w:t>(IF)</w:t>
      </w:r>
      <w:r>
        <w:rPr>
          <w:lang w:val="en-US"/>
        </w:rPr>
        <w:t xml:space="preserve">, fragmented forest </w:t>
      </w:r>
      <w:r>
        <w:rPr>
          <w:lang w:val="en-FI"/>
        </w:rPr>
        <w:t xml:space="preserve">(FF) </w:t>
      </w:r>
      <w:r>
        <w:rPr>
          <w:lang w:val="en-US"/>
        </w:rPr>
        <w:t xml:space="preserve">and shifting cultivation </w:t>
      </w:r>
      <w:r>
        <w:rPr>
          <w:lang w:val="en-FI"/>
        </w:rPr>
        <w:t xml:space="preserve">(SC) </w:t>
      </w:r>
      <w:r>
        <w:rPr>
          <w:lang w:val="en-US"/>
        </w:rPr>
        <w:t>sites</w:t>
      </w:r>
      <w:r>
        <w:rPr>
          <w:lang w:val="en-FI"/>
        </w:rPr>
        <w:t xml:space="preserve"> in SFR, Bangladesh. </w:t>
      </w:r>
      <w:r w:rsidRPr="003131EC">
        <w:rPr>
          <w:lang w:val="en-FI"/>
        </w:rPr>
        <w:t>*</w:t>
      </w:r>
      <w:proofErr w:type="gramStart"/>
      <w:r>
        <w:rPr>
          <w:lang w:val="en-US"/>
        </w:rPr>
        <w:t>indicates</w:t>
      </w:r>
      <w:proofErr w:type="gramEnd"/>
      <w:r>
        <w:rPr>
          <w:lang w:val="en-US"/>
        </w:rPr>
        <w:t xml:space="preserve"> </w:t>
      </w:r>
      <w:r>
        <w:rPr>
          <w:lang w:val="en-FI"/>
        </w:rPr>
        <w:t>c</w:t>
      </w:r>
      <w:r w:rsidRPr="003131EC">
        <w:rPr>
          <w:lang w:val="en-FI"/>
        </w:rPr>
        <w:t xml:space="preserve">orrelation is significant at the </w:t>
      </w:r>
      <w:r>
        <w:rPr>
          <w:lang w:val="en-FI"/>
        </w:rPr>
        <w:t>0.05</w:t>
      </w:r>
      <w:r w:rsidRPr="003131EC">
        <w:rPr>
          <w:lang w:val="en-FI"/>
        </w:rPr>
        <w:t xml:space="preserve"> level.</w:t>
      </w:r>
    </w:p>
    <w:sectPr w:rsidR="00B3705F">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17B6B" w14:textId="77777777" w:rsidR="00C94E16" w:rsidRDefault="00C94E16" w:rsidP="00064B82">
      <w:pPr>
        <w:spacing w:after="0" w:line="240" w:lineRule="auto"/>
      </w:pPr>
      <w:r>
        <w:separator/>
      </w:r>
    </w:p>
  </w:endnote>
  <w:endnote w:type="continuationSeparator" w:id="0">
    <w:p w14:paraId="2F3330B0" w14:textId="77777777" w:rsidR="00C94E16" w:rsidRDefault="00C94E16" w:rsidP="00064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658707"/>
      <w:docPartObj>
        <w:docPartGallery w:val="Page Numbers (Bottom of Page)"/>
        <w:docPartUnique/>
      </w:docPartObj>
    </w:sdtPr>
    <w:sdtEndPr>
      <w:rPr>
        <w:noProof/>
      </w:rPr>
    </w:sdtEndPr>
    <w:sdtContent>
      <w:p w14:paraId="5C366FF1" w14:textId="2CA95D2D" w:rsidR="00064B82" w:rsidRDefault="00064B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7F9CB6" w14:textId="77777777" w:rsidR="00064B82" w:rsidRDefault="00064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6B46A" w14:textId="77777777" w:rsidR="00C94E16" w:rsidRDefault="00C94E16" w:rsidP="00064B82">
      <w:pPr>
        <w:spacing w:after="0" w:line="240" w:lineRule="auto"/>
      </w:pPr>
      <w:r>
        <w:separator/>
      </w:r>
    </w:p>
  </w:footnote>
  <w:footnote w:type="continuationSeparator" w:id="0">
    <w:p w14:paraId="71F29773" w14:textId="77777777" w:rsidR="00C94E16" w:rsidRDefault="00C94E16" w:rsidP="00064B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wN7Q0MjUxNzQzNTJR0lEKTi0uzszPAykwqgUAvlWLwiwAAAA="/>
  </w:docVars>
  <w:rsids>
    <w:rsidRoot w:val="000072C5"/>
    <w:rsid w:val="000072C5"/>
    <w:rsid w:val="00064B82"/>
    <w:rsid w:val="00110793"/>
    <w:rsid w:val="003053C4"/>
    <w:rsid w:val="00375994"/>
    <w:rsid w:val="004D7753"/>
    <w:rsid w:val="004E3171"/>
    <w:rsid w:val="00771AD8"/>
    <w:rsid w:val="007E306A"/>
    <w:rsid w:val="00B3705F"/>
    <w:rsid w:val="00C64ADF"/>
    <w:rsid w:val="00C94E16"/>
    <w:rsid w:val="00CB5E24"/>
  </w:rsids>
  <m:mathPr>
    <m:mathFont m:val="Cambria Math"/>
    <m:brkBin m:val="before"/>
    <m:brkBinSub m:val="--"/>
    <m:smallFrac m:val="0"/>
    <m:dispDef/>
    <m:lMargin m:val="0"/>
    <m:rMargin m:val="0"/>
    <m:defJc m:val="centerGroup"/>
    <m:wrapIndent m:val="1440"/>
    <m:intLim m:val="subSup"/>
    <m:naryLim m:val="undOvr"/>
  </m:mathPr>
  <w:themeFontLang w:val="en-FI"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6F7C8"/>
  <w15:chartTrackingRefBased/>
  <w15:docId w15:val="{3B77E0DF-58D5-42E5-998D-AA7D101DB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para">
    <w:name w:val="Sub para"/>
    <w:basedOn w:val="Normal"/>
    <w:link w:val="SubparaChar"/>
    <w:qFormat/>
    <w:rsid w:val="00B3705F"/>
    <w:pPr>
      <w:autoSpaceDE w:val="0"/>
      <w:autoSpaceDN w:val="0"/>
      <w:adjustRightInd w:val="0"/>
      <w:spacing w:after="0" w:line="276" w:lineRule="auto"/>
      <w:ind w:firstLine="576"/>
      <w:jc w:val="both"/>
    </w:pPr>
    <w:rPr>
      <w:rFonts w:ascii="Times New Roman" w:hAnsi="Times New Roman" w:cs="Times New Roman"/>
      <w:sz w:val="24"/>
      <w:szCs w:val="24"/>
      <w:lang w:val="fi-FI"/>
    </w:rPr>
  </w:style>
  <w:style w:type="character" w:customStyle="1" w:styleId="SubparaChar">
    <w:name w:val="Sub para Char"/>
    <w:basedOn w:val="DefaultParagraphFont"/>
    <w:link w:val="Subpara"/>
    <w:rsid w:val="00B3705F"/>
    <w:rPr>
      <w:rFonts w:ascii="Times New Roman" w:hAnsi="Times New Roman" w:cs="Times New Roman"/>
      <w:sz w:val="24"/>
      <w:szCs w:val="24"/>
      <w:lang w:val="fi-FI"/>
    </w:rPr>
  </w:style>
  <w:style w:type="table" w:styleId="TableGrid">
    <w:name w:val="Table Grid"/>
    <w:basedOn w:val="TableNormal"/>
    <w:uiPriority w:val="39"/>
    <w:rsid w:val="00B37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4B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B82"/>
  </w:style>
  <w:style w:type="paragraph" w:styleId="Footer">
    <w:name w:val="footer"/>
    <w:basedOn w:val="Normal"/>
    <w:link w:val="FooterChar"/>
    <w:uiPriority w:val="99"/>
    <w:unhideWhenUsed/>
    <w:rsid w:val="00064B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B82"/>
  </w:style>
  <w:style w:type="paragraph" w:customStyle="1" w:styleId="Firstpara">
    <w:name w:val="First para"/>
    <w:basedOn w:val="Normal"/>
    <w:link w:val="FirstparaChar"/>
    <w:qFormat/>
    <w:rsid w:val="00C64ADF"/>
    <w:pPr>
      <w:autoSpaceDE w:val="0"/>
      <w:autoSpaceDN w:val="0"/>
      <w:adjustRightInd w:val="0"/>
      <w:spacing w:after="0" w:line="276" w:lineRule="auto"/>
      <w:jc w:val="both"/>
    </w:pPr>
    <w:rPr>
      <w:rFonts w:ascii="Times New Roman" w:hAnsi="Times New Roman" w:cs="Times New Roman"/>
      <w:sz w:val="24"/>
      <w:szCs w:val="24"/>
      <w:lang w:val="fi-FI"/>
    </w:rPr>
  </w:style>
  <w:style w:type="character" w:customStyle="1" w:styleId="FirstparaChar">
    <w:name w:val="First para Char"/>
    <w:basedOn w:val="DefaultParagraphFont"/>
    <w:link w:val="Firstpara"/>
    <w:rsid w:val="00C64ADF"/>
    <w:rPr>
      <w:rFonts w:ascii="Times New Roman" w:hAnsi="Times New Roman" w:cs="Times New Roman"/>
      <w:sz w:val="24"/>
      <w:szCs w:val="24"/>
      <w:lang w:val="fi-FI"/>
    </w:rPr>
  </w:style>
  <w:style w:type="paragraph" w:styleId="NormalWeb">
    <w:name w:val="Normal (Web)"/>
    <w:basedOn w:val="Normal"/>
    <w:uiPriority w:val="99"/>
    <w:unhideWhenUsed/>
    <w:rsid w:val="00C64AD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 Type="http://schemas.openxmlformats.org/officeDocument/2006/relationships/settings" Target="settings.xml"/><Relationship Id="rId16" Type="http://schemas.openxmlformats.org/officeDocument/2006/relationships/chart" Target="charts/chart1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5" Type="http://schemas.openxmlformats.org/officeDocument/2006/relationships/chart" Target="charts/chart10.xml"/><Relationship Id="rId10" Type="http://schemas.openxmlformats.org/officeDocument/2006/relationships/chart" Target="charts/chart5.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ARIT\Desktop\Desktop_Lenovo_after%20OK_251019\MS_Sitapahar%20Soil%20nutrients\Correlation%20plot_pape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TARIT\Desktop\Desktop_Lenovo_after%20OK_251019\MS_Sitapahar%20Soil%20nutrients\Correlation%20plot_paper.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TARIT\Desktop\Desktop_Lenovo_after%20OK_251019\MS_Sitapahar%20Soil%20nutrients\Correlation%20plot_paper.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TARIT\Desktop\Desktop_Lenovo_after%20OK_251019\MS_Sitapahar%20Soil%20nutrients\Correlation%20plot_paper.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ARIT\Desktop\Desktop_Lenovo_after%20OK_251019\MS_Sitapahar%20Soil%20nutrients\Correlation%20plot_pap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ARIT\Desktop\Desktop_Lenovo_after%20OK_251019\MS_Sitapahar%20Soil%20nutrients\Correlation%20plot_pape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ARIT\Desktop\Desktop_Lenovo_after%20OK_251019\MS_Sitapahar%20Soil%20nutrients\Correlation%20plot_pap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ARIT\Desktop\Desktop_Lenovo_after%20OK_251019\MS_Sitapahar%20Soil%20nutrients\Correlation%20plot_pap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ARIT\Desktop\Desktop_Lenovo_after%20OK_251019\MS_Sitapahar%20Soil%20nutrients\Correlation%20plot_pape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TARIT\Desktop\Desktop_Lenovo_after%20OK_251019\MS_Sitapahar%20Soil%20nutrients\Correlation%20plot_pape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TARIT\Desktop\Desktop_Lenovo_after%20OK_251019\MS_Sitapahar%20Soil%20nutrients\Correlation%20plot_pape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TARIT\Desktop\Desktop_Lenovo_after%20OK_251019\MS_Sitapahar%20Soil%20nutrients\Correlation%20plot_pape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IF</c:v>
          </c:tx>
          <c:spPr>
            <a:ln w="25400" cap="rnd">
              <a:noFill/>
              <a:round/>
            </a:ln>
            <a:effectLst/>
          </c:spPr>
          <c:marker>
            <c:symbol val="circle"/>
            <c:size val="5"/>
            <c:spPr>
              <a:solidFill>
                <a:schemeClr val="tx1"/>
              </a:solidFill>
              <a:ln w="9525">
                <a:noFill/>
              </a:ln>
              <a:effectLst/>
            </c:spPr>
          </c:marker>
          <c:xVal>
            <c:numRef>
              <c:f>'Nutrient vs C'!$B$3:$B$12</c:f>
              <c:numCache>
                <c:formatCode>General</c:formatCode>
                <c:ptCount val="10"/>
                <c:pt idx="0">
                  <c:v>4.1382300000000001</c:v>
                </c:pt>
                <c:pt idx="1">
                  <c:v>3.825190000000001</c:v>
                </c:pt>
                <c:pt idx="2">
                  <c:v>3.7176700000000005</c:v>
                </c:pt>
                <c:pt idx="3">
                  <c:v>5.3782800000000002</c:v>
                </c:pt>
                <c:pt idx="4">
                  <c:v>4.7657699999999998</c:v>
                </c:pt>
                <c:pt idx="5" formatCode="0.00">
                  <c:v>4.0204715707562677</c:v>
                </c:pt>
                <c:pt idx="6">
                  <c:v>5.1123600000000007</c:v>
                </c:pt>
                <c:pt idx="7">
                  <c:v>4.605786397650915</c:v>
                </c:pt>
                <c:pt idx="8">
                  <c:v>3.4036083486031545</c:v>
                </c:pt>
                <c:pt idx="9">
                  <c:v>4.1427000000000005</c:v>
                </c:pt>
              </c:numCache>
            </c:numRef>
          </c:xVal>
          <c:yVal>
            <c:numRef>
              <c:f>'Nutrient vs C'!$A$3:$A$12</c:f>
              <c:numCache>
                <c:formatCode>0.00</c:formatCode>
                <c:ptCount val="10"/>
                <c:pt idx="0">
                  <c:v>83.378325800000042</c:v>
                </c:pt>
                <c:pt idx="1">
                  <c:v>87.598617960000055</c:v>
                </c:pt>
                <c:pt idx="2">
                  <c:v>131.93349595999976</c:v>
                </c:pt>
                <c:pt idx="3">
                  <c:v>124.4203167200003</c:v>
                </c:pt>
                <c:pt idx="4">
                  <c:v>140.75915952000011</c:v>
                </c:pt>
                <c:pt idx="5">
                  <c:v>40.344025256028637</c:v>
                </c:pt>
                <c:pt idx="6">
                  <c:v>35.676190480000173</c:v>
                </c:pt>
                <c:pt idx="7">
                  <c:v>45.783545033853869</c:v>
                </c:pt>
                <c:pt idx="8">
                  <c:v>35.775526046014903</c:v>
                </c:pt>
                <c:pt idx="9">
                  <c:v>57.050742000000199</c:v>
                </c:pt>
              </c:numCache>
            </c:numRef>
          </c:yVal>
          <c:smooth val="0"/>
          <c:extLst>
            <c:ext xmlns:c16="http://schemas.microsoft.com/office/drawing/2014/chart" uri="{C3380CC4-5D6E-409C-BE32-E72D297353CC}">
              <c16:uniqueId val="{00000000-E340-461C-8846-2E29CAD07FA3}"/>
            </c:ext>
          </c:extLst>
        </c:ser>
        <c:ser>
          <c:idx val="1"/>
          <c:order val="1"/>
          <c:tx>
            <c:v>FF</c:v>
          </c:tx>
          <c:spPr>
            <a:ln w="25400" cap="rnd">
              <a:noFill/>
              <a:round/>
            </a:ln>
            <a:effectLst/>
          </c:spPr>
          <c:marker>
            <c:symbol val="circle"/>
            <c:size val="5"/>
            <c:spPr>
              <a:noFill/>
              <a:ln w="9525">
                <a:solidFill>
                  <a:schemeClr val="tx1"/>
                </a:solidFill>
              </a:ln>
              <a:effectLst/>
            </c:spPr>
          </c:marker>
          <c:xVal>
            <c:numRef>
              <c:f>'Nutrient vs C'!$B$13:$B$22</c:f>
              <c:numCache>
                <c:formatCode>General</c:formatCode>
                <c:ptCount val="10"/>
                <c:pt idx="0">
                  <c:v>1.89638</c:v>
                </c:pt>
                <c:pt idx="1">
                  <c:v>1.3883564998787432</c:v>
                </c:pt>
                <c:pt idx="2">
                  <c:v>3.0163900000000003</c:v>
                </c:pt>
                <c:pt idx="3">
                  <c:v>4.656359076248906</c:v>
                </c:pt>
                <c:pt idx="4">
                  <c:v>3.2897800000000004</c:v>
                </c:pt>
                <c:pt idx="5">
                  <c:v>3.9024181287475894</c:v>
                </c:pt>
                <c:pt idx="6">
                  <c:v>1.8544282595076143</c:v>
                </c:pt>
                <c:pt idx="7">
                  <c:v>3.7660886873857233</c:v>
                </c:pt>
                <c:pt idx="8">
                  <c:v>1.785013861657593</c:v>
                </c:pt>
                <c:pt idx="9">
                  <c:v>1.2043207423371749</c:v>
                </c:pt>
              </c:numCache>
            </c:numRef>
          </c:xVal>
          <c:yVal>
            <c:numRef>
              <c:f>'Nutrient vs C'!$A$13:$A$22</c:f>
              <c:numCache>
                <c:formatCode>General</c:formatCode>
                <c:ptCount val="10"/>
                <c:pt idx="0">
                  <c:v>109.59244547999977</c:v>
                </c:pt>
                <c:pt idx="1">
                  <c:v>13.897572722790414</c:v>
                </c:pt>
                <c:pt idx="2">
                  <c:v>58.295848520000007</c:v>
                </c:pt>
                <c:pt idx="3">
                  <c:v>45.837013506867876</c:v>
                </c:pt>
                <c:pt idx="4">
                  <c:v>63.620298840000245</c:v>
                </c:pt>
                <c:pt idx="5">
                  <c:v>38.619071716381093</c:v>
                </c:pt>
                <c:pt idx="6">
                  <c:v>16.99893904427417</c:v>
                </c:pt>
                <c:pt idx="7">
                  <c:v>37.118537496936554</c:v>
                </c:pt>
                <c:pt idx="8">
                  <c:v>17.276524181225923</c:v>
                </c:pt>
                <c:pt idx="9">
                  <c:v>11.436615923009843</c:v>
                </c:pt>
              </c:numCache>
            </c:numRef>
          </c:yVal>
          <c:smooth val="0"/>
          <c:extLst>
            <c:ext xmlns:c16="http://schemas.microsoft.com/office/drawing/2014/chart" uri="{C3380CC4-5D6E-409C-BE32-E72D297353CC}">
              <c16:uniqueId val="{00000001-E340-461C-8846-2E29CAD07FA3}"/>
            </c:ext>
          </c:extLst>
        </c:ser>
        <c:ser>
          <c:idx val="2"/>
          <c:order val="2"/>
          <c:tx>
            <c:v>SC</c:v>
          </c:tx>
          <c:spPr>
            <a:ln w="25400" cap="rnd">
              <a:noFill/>
              <a:round/>
            </a:ln>
            <a:effectLst/>
          </c:spPr>
          <c:marker>
            <c:symbol val="circle"/>
            <c:size val="5"/>
            <c:spPr>
              <a:solidFill>
                <a:schemeClr val="accent3"/>
              </a:solidFill>
              <a:ln w="9525">
                <a:solidFill>
                  <a:schemeClr val="tx1"/>
                </a:solidFill>
              </a:ln>
              <a:effectLst/>
            </c:spPr>
          </c:marker>
          <c:xVal>
            <c:numRef>
              <c:f>'Nutrient vs C'!$B$23:$B$32</c:f>
              <c:numCache>
                <c:formatCode>General</c:formatCode>
                <c:ptCount val="10"/>
                <c:pt idx="0">
                  <c:v>6.9983400000000007</c:v>
                </c:pt>
                <c:pt idx="1">
                  <c:v>4.354463566826098</c:v>
                </c:pt>
                <c:pt idx="2">
                  <c:v>5.4307099999999995</c:v>
                </c:pt>
                <c:pt idx="3">
                  <c:v>3.7627041567920845</c:v>
                </c:pt>
                <c:pt idx="4">
                  <c:v>5.1900500000000012</c:v>
                </c:pt>
                <c:pt idx="5">
                  <c:v>3.6324900000000002</c:v>
                </c:pt>
                <c:pt idx="6">
                  <c:v>4.4368800000000004</c:v>
                </c:pt>
                <c:pt idx="7">
                  <c:v>2.1050849851591766</c:v>
                </c:pt>
                <c:pt idx="8">
                  <c:v>4.3796100000000013</c:v>
                </c:pt>
                <c:pt idx="9">
                  <c:v>3.6092199999999997</c:v>
                </c:pt>
              </c:numCache>
            </c:numRef>
          </c:xVal>
          <c:yVal>
            <c:numRef>
              <c:f>'Nutrient vs C'!$A$23:$A$32</c:f>
              <c:numCache>
                <c:formatCode>General</c:formatCode>
                <c:ptCount val="10"/>
                <c:pt idx="0">
                  <c:v>61.219526199999962</c:v>
                </c:pt>
                <c:pt idx="1">
                  <c:v>49.998171367939634</c:v>
                </c:pt>
                <c:pt idx="2">
                  <c:v>55.717532640000606</c:v>
                </c:pt>
                <c:pt idx="3">
                  <c:v>37.88997598545788</c:v>
                </c:pt>
                <c:pt idx="4">
                  <c:v>30.181570159999705</c:v>
                </c:pt>
                <c:pt idx="5">
                  <c:v>38.584555239999553</c:v>
                </c:pt>
                <c:pt idx="6">
                  <c:v>50.611076040000015</c:v>
                </c:pt>
                <c:pt idx="7">
                  <c:v>20.491358050701439</c:v>
                </c:pt>
                <c:pt idx="8">
                  <c:v>30.364715919999909</c:v>
                </c:pt>
                <c:pt idx="9">
                  <c:v>45.504362399999813</c:v>
                </c:pt>
              </c:numCache>
            </c:numRef>
          </c:yVal>
          <c:smooth val="0"/>
          <c:extLst>
            <c:ext xmlns:c16="http://schemas.microsoft.com/office/drawing/2014/chart" uri="{C3380CC4-5D6E-409C-BE32-E72D297353CC}">
              <c16:uniqueId val="{00000002-E340-461C-8846-2E29CAD07FA3}"/>
            </c:ext>
          </c:extLst>
        </c:ser>
        <c:dLbls>
          <c:showLegendKey val="0"/>
          <c:showVal val="0"/>
          <c:showCatName val="0"/>
          <c:showSerName val="0"/>
          <c:showPercent val="0"/>
          <c:showBubbleSize val="0"/>
        </c:dLbls>
        <c:axId val="505774568"/>
        <c:axId val="505774896"/>
      </c:scatterChart>
      <c:valAx>
        <c:axId val="50577456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 stock </a:t>
                </a:r>
                <a:r>
                  <a:rPr lang="en-FI">
                    <a:solidFill>
                      <a:sysClr val="windowText" lastClr="000000"/>
                    </a:solidFill>
                  </a:rPr>
                  <a:t>(Mg/ha)</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FI"/>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FI"/>
          </a:p>
        </c:txPr>
        <c:crossAx val="505774896"/>
        <c:crosses val="autoZero"/>
        <c:crossBetween val="midCat"/>
      </c:valAx>
      <c:valAx>
        <c:axId val="50577489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C stock</a:t>
                </a:r>
                <a:r>
                  <a:rPr lang="en-FI">
                    <a:solidFill>
                      <a:sysClr val="windowText" lastClr="000000"/>
                    </a:solidFill>
                    <a:latin typeface="Times New Roman" panose="02020603050405020304" pitchFamily="18" charset="0"/>
                    <a:cs typeface="Times New Roman" panose="02020603050405020304" pitchFamily="18" charset="0"/>
                  </a:rPr>
                  <a:t> (Mg/ha)</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FI"/>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FI"/>
          </a:p>
        </c:txPr>
        <c:crossAx val="5057745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F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IF</c:v>
          </c:tx>
          <c:spPr>
            <a:ln w="25400" cap="rnd">
              <a:noFill/>
              <a:round/>
            </a:ln>
            <a:effectLst/>
          </c:spPr>
          <c:marker>
            <c:symbol val="circle"/>
            <c:size val="5"/>
            <c:spPr>
              <a:solidFill>
                <a:schemeClr val="tx1"/>
              </a:solidFill>
              <a:ln w="9525">
                <a:solidFill>
                  <a:schemeClr val="tx1"/>
                </a:solidFill>
              </a:ln>
              <a:effectLst/>
            </c:spPr>
          </c:marker>
          <c:xVal>
            <c:numRef>
              <c:f>'Nutrient vs diversity'!$E$3:$E$12</c:f>
              <c:numCache>
                <c:formatCode>General</c:formatCode>
                <c:ptCount val="10"/>
                <c:pt idx="0">
                  <c:v>365.93413999999996</c:v>
                </c:pt>
                <c:pt idx="1">
                  <c:v>138.12972000000002</c:v>
                </c:pt>
                <c:pt idx="2">
                  <c:v>235.83717000000007</c:v>
                </c:pt>
                <c:pt idx="3">
                  <c:v>486.86308000000008</c:v>
                </c:pt>
                <c:pt idx="4">
                  <c:v>314.25796999999994</c:v>
                </c:pt>
                <c:pt idx="5">
                  <c:v>1034.7130062922029</c:v>
                </c:pt>
                <c:pt idx="6">
                  <c:v>1471.6186600000001</c:v>
                </c:pt>
                <c:pt idx="7">
                  <c:v>967.2860374392352</c:v>
                </c:pt>
                <c:pt idx="8">
                  <c:v>804.28077920093085</c:v>
                </c:pt>
                <c:pt idx="9">
                  <c:v>364.74365999999998</c:v>
                </c:pt>
              </c:numCache>
            </c:numRef>
          </c:xVal>
          <c:yVal>
            <c:numRef>
              <c:f>'Nutrient vs diversity'!$A$3:$A$12</c:f>
              <c:numCache>
                <c:formatCode>0.00</c:formatCode>
                <c:ptCount val="10"/>
                <c:pt idx="0">
                  <c:v>2.06</c:v>
                </c:pt>
                <c:pt idx="1">
                  <c:v>1.08</c:v>
                </c:pt>
                <c:pt idx="2">
                  <c:v>2.23</c:v>
                </c:pt>
                <c:pt idx="3">
                  <c:v>2.4900000000000002</c:v>
                </c:pt>
                <c:pt idx="4">
                  <c:v>2.4700000000000002</c:v>
                </c:pt>
                <c:pt idx="5">
                  <c:v>2.58</c:v>
                </c:pt>
                <c:pt idx="6">
                  <c:v>1.43</c:v>
                </c:pt>
                <c:pt idx="7">
                  <c:v>2.39</c:v>
                </c:pt>
                <c:pt idx="8">
                  <c:v>2.77</c:v>
                </c:pt>
                <c:pt idx="9">
                  <c:v>2.2000000000000002</c:v>
                </c:pt>
              </c:numCache>
            </c:numRef>
          </c:yVal>
          <c:smooth val="0"/>
          <c:extLst>
            <c:ext xmlns:c16="http://schemas.microsoft.com/office/drawing/2014/chart" uri="{C3380CC4-5D6E-409C-BE32-E72D297353CC}">
              <c16:uniqueId val="{00000000-F3DA-4185-ACA1-C6091B4BB2E2}"/>
            </c:ext>
          </c:extLst>
        </c:ser>
        <c:ser>
          <c:idx val="1"/>
          <c:order val="1"/>
          <c:tx>
            <c:v>FF</c:v>
          </c:tx>
          <c:spPr>
            <a:ln w="25400" cap="rnd">
              <a:noFill/>
              <a:round/>
            </a:ln>
            <a:effectLst/>
          </c:spPr>
          <c:marker>
            <c:symbol val="circle"/>
            <c:size val="5"/>
            <c:spPr>
              <a:noFill/>
              <a:ln w="9525">
                <a:solidFill>
                  <a:schemeClr val="tx1"/>
                </a:solidFill>
              </a:ln>
              <a:effectLst/>
            </c:spPr>
          </c:marker>
          <c:xVal>
            <c:numRef>
              <c:f>'Nutrient vs diversity'!$E$13:$E$22</c:f>
              <c:numCache>
                <c:formatCode>General</c:formatCode>
                <c:ptCount val="10"/>
                <c:pt idx="0">
                  <c:v>40.009189999999997</c:v>
                </c:pt>
                <c:pt idx="1">
                  <c:v>46.966673746030082</c:v>
                </c:pt>
                <c:pt idx="2">
                  <c:v>32.973030000000001</c:v>
                </c:pt>
                <c:pt idx="3">
                  <c:v>35.582618937383273</c:v>
                </c:pt>
                <c:pt idx="4">
                  <c:v>26.463340000000002</c:v>
                </c:pt>
                <c:pt idx="5">
                  <c:v>33.330830198363962</c:v>
                </c:pt>
                <c:pt idx="6">
                  <c:v>43.507634855507739</c:v>
                </c:pt>
                <c:pt idx="7">
                  <c:v>33.921585397233947</c:v>
                </c:pt>
                <c:pt idx="8">
                  <c:v>44.414643723654009</c:v>
                </c:pt>
                <c:pt idx="9">
                  <c:v>37.959248512105233</c:v>
                </c:pt>
              </c:numCache>
            </c:numRef>
          </c:xVal>
          <c:yVal>
            <c:numRef>
              <c:f>'Nutrient vs diversity'!$A$13:$A$22</c:f>
              <c:numCache>
                <c:formatCode>General</c:formatCode>
                <c:ptCount val="10"/>
                <c:pt idx="0">
                  <c:v>2.42</c:v>
                </c:pt>
                <c:pt idx="1">
                  <c:v>2.16</c:v>
                </c:pt>
                <c:pt idx="2">
                  <c:v>2.37</c:v>
                </c:pt>
                <c:pt idx="3">
                  <c:v>2.48</c:v>
                </c:pt>
                <c:pt idx="4">
                  <c:v>2.57</c:v>
                </c:pt>
                <c:pt idx="5">
                  <c:v>2.23</c:v>
                </c:pt>
                <c:pt idx="6">
                  <c:v>2.5499999999999998</c:v>
                </c:pt>
                <c:pt idx="7">
                  <c:v>1.33</c:v>
                </c:pt>
                <c:pt idx="8">
                  <c:v>0.5</c:v>
                </c:pt>
                <c:pt idx="9">
                  <c:v>0.69</c:v>
                </c:pt>
              </c:numCache>
            </c:numRef>
          </c:yVal>
          <c:smooth val="0"/>
          <c:extLst>
            <c:ext xmlns:c16="http://schemas.microsoft.com/office/drawing/2014/chart" uri="{C3380CC4-5D6E-409C-BE32-E72D297353CC}">
              <c16:uniqueId val="{00000001-F3DA-4185-ACA1-C6091B4BB2E2}"/>
            </c:ext>
          </c:extLst>
        </c:ser>
        <c:ser>
          <c:idx val="2"/>
          <c:order val="2"/>
          <c:tx>
            <c:v>SC</c:v>
          </c:tx>
          <c:spPr>
            <a:ln w="25400" cap="rnd">
              <a:noFill/>
              <a:round/>
            </a:ln>
            <a:effectLst/>
          </c:spPr>
          <c:marker>
            <c:symbol val="circle"/>
            <c:size val="5"/>
            <c:spPr>
              <a:solidFill>
                <a:schemeClr val="accent3"/>
              </a:solidFill>
              <a:ln w="9525">
                <a:solidFill>
                  <a:schemeClr val="tx1"/>
                </a:solidFill>
              </a:ln>
              <a:effectLst/>
            </c:spPr>
          </c:marker>
          <c:xVal>
            <c:numRef>
              <c:f>'Nutrient vs diversity'!$E$23:$E$32</c:f>
              <c:numCache>
                <c:formatCode>General</c:formatCode>
                <c:ptCount val="10"/>
                <c:pt idx="0">
                  <c:v>52.459090000000003</c:v>
                </c:pt>
                <c:pt idx="1">
                  <c:v>38.871821694065574</c:v>
                </c:pt>
                <c:pt idx="2">
                  <c:v>22.481349999999996</c:v>
                </c:pt>
                <c:pt idx="3">
                  <c:v>35.590208791033888</c:v>
                </c:pt>
                <c:pt idx="4">
                  <c:v>17.572920000000003</c:v>
                </c:pt>
                <c:pt idx="5">
                  <c:v>26.683220000000002</c:v>
                </c:pt>
                <c:pt idx="6">
                  <c:v>16.120699999999999</c:v>
                </c:pt>
                <c:pt idx="7">
                  <c:v>28.884584688356249</c:v>
                </c:pt>
                <c:pt idx="8">
                  <c:v>16.686040000000006</c:v>
                </c:pt>
                <c:pt idx="9">
                  <c:v>17.7376</c:v>
                </c:pt>
              </c:numCache>
            </c:numRef>
          </c:xVal>
          <c:yVal>
            <c:numRef>
              <c:f>'Nutrient vs diversity'!$A$23:$A$32</c:f>
              <c:numCache>
                <c:formatCode>General</c:formatCode>
                <c:ptCount val="10"/>
                <c:pt idx="0">
                  <c:v>0.5</c:v>
                </c:pt>
                <c:pt idx="1">
                  <c:v>0.56000000000000005</c:v>
                </c:pt>
                <c:pt idx="2">
                  <c:v>0.5</c:v>
                </c:pt>
                <c:pt idx="3">
                  <c:v>0.5</c:v>
                </c:pt>
                <c:pt idx="4">
                  <c:v>0.95</c:v>
                </c:pt>
                <c:pt idx="5">
                  <c:v>1.28</c:v>
                </c:pt>
                <c:pt idx="6">
                  <c:v>1.33</c:v>
                </c:pt>
                <c:pt idx="7">
                  <c:v>0.87</c:v>
                </c:pt>
                <c:pt idx="8">
                  <c:v>0.64</c:v>
                </c:pt>
                <c:pt idx="9">
                  <c:v>1.75</c:v>
                </c:pt>
              </c:numCache>
            </c:numRef>
          </c:yVal>
          <c:smooth val="0"/>
          <c:extLst>
            <c:ext xmlns:c16="http://schemas.microsoft.com/office/drawing/2014/chart" uri="{C3380CC4-5D6E-409C-BE32-E72D297353CC}">
              <c16:uniqueId val="{00000002-F3DA-4185-ACA1-C6091B4BB2E2}"/>
            </c:ext>
          </c:extLst>
        </c:ser>
        <c:dLbls>
          <c:showLegendKey val="0"/>
          <c:showVal val="0"/>
          <c:showCatName val="0"/>
          <c:showSerName val="0"/>
          <c:showPercent val="0"/>
          <c:showBubbleSize val="0"/>
        </c:dLbls>
        <c:axId val="505802448"/>
        <c:axId val="505802776"/>
      </c:scatterChart>
      <c:valAx>
        <c:axId val="505802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FI" sz="1000" b="0" i="0" u="none" strike="noStrike" baseline="0">
                    <a:effectLst/>
                  </a:rPr>
                  <a:t>Na </a:t>
                </a:r>
                <a:r>
                  <a:rPr lang="en-US" sz="1000" b="0" i="0" u="none" strike="noStrike" baseline="0">
                    <a:effectLst/>
                  </a:rPr>
                  <a:t>stock</a:t>
                </a:r>
                <a:r>
                  <a:rPr lang="en-FI" sz="1000" b="0" i="0" u="none" strike="noStrike" baseline="0">
                    <a:effectLst/>
                  </a:rPr>
                  <a:t> (Kg/ha)</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FI"/>
          </a:p>
        </c:txPr>
        <c:crossAx val="505802776"/>
        <c:crosses val="autoZero"/>
        <c:crossBetween val="midCat"/>
      </c:valAx>
      <c:valAx>
        <c:axId val="50580277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FI" sz="1000" b="0" i="0" u="none" strike="noStrike" baseline="0">
                  <a:solidFill>
                    <a:sysClr val="windowText" lastClr="000000"/>
                  </a:solidFill>
                  <a:effectLst/>
                </a:endParaRPr>
              </a:p>
              <a:p>
                <a:pPr>
                  <a:defRPr sz="1000" b="0" i="0" u="none" strike="noStrike" kern="1200" baseline="0">
                    <a:solidFill>
                      <a:sysClr val="windowText" lastClr="000000"/>
                    </a:solidFill>
                    <a:latin typeface="+mn-lt"/>
                    <a:ea typeface="+mn-ea"/>
                    <a:cs typeface="+mn-cs"/>
                  </a:defRPr>
                </a:pPr>
                <a:r>
                  <a:rPr lang="x-none" sz="1000" b="0" i="0" baseline="0">
                    <a:solidFill>
                      <a:sysClr val="windowText" lastClr="000000"/>
                    </a:solidFill>
                    <a:effectLst/>
                  </a:rPr>
                  <a:t>Shannon–Weiner</a:t>
                </a:r>
                <a:r>
                  <a:rPr lang="en-US" sz="1000" b="0" i="0" baseline="0">
                    <a:solidFill>
                      <a:sysClr val="windowText" lastClr="000000"/>
                    </a:solidFill>
                    <a:effectLst/>
                  </a:rPr>
                  <a:t> index</a:t>
                </a:r>
                <a:endParaRPr lang="en-FI" sz="1000">
                  <a:solidFill>
                    <a:sysClr val="windowText" lastClr="000000"/>
                  </a:solidFill>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FI"/>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FI"/>
          </a:p>
        </c:txPr>
        <c:crossAx val="5058024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F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IF</c:v>
          </c:tx>
          <c:spPr>
            <a:ln w="25400" cap="rnd">
              <a:noFill/>
              <a:round/>
            </a:ln>
            <a:effectLst/>
          </c:spPr>
          <c:marker>
            <c:symbol val="circle"/>
            <c:size val="5"/>
            <c:spPr>
              <a:solidFill>
                <a:schemeClr val="tx1"/>
              </a:solidFill>
              <a:ln w="9525">
                <a:solidFill>
                  <a:schemeClr val="tx1"/>
                </a:solidFill>
              </a:ln>
              <a:effectLst/>
            </c:spPr>
          </c:marker>
          <c:xVal>
            <c:numRef>
              <c:f>'Nutrient vs diversity'!$D$3:$D$12</c:f>
              <c:numCache>
                <c:formatCode>General</c:formatCode>
                <c:ptCount val="10"/>
                <c:pt idx="0">
                  <c:v>1742.6589599999998</c:v>
                </c:pt>
                <c:pt idx="1">
                  <c:v>1195.9329600000001</c:v>
                </c:pt>
                <c:pt idx="2">
                  <c:v>1543.4853600000001</c:v>
                </c:pt>
                <c:pt idx="3">
                  <c:v>2107.3358399999997</c:v>
                </c:pt>
                <c:pt idx="4">
                  <c:v>2097.0451199999998</c:v>
                </c:pt>
                <c:pt idx="5">
                  <c:v>434.26226027831615</c:v>
                </c:pt>
                <c:pt idx="6">
                  <c:v>2132.5339199999999</c:v>
                </c:pt>
                <c:pt idx="7">
                  <c:v>480.17031881822857</c:v>
                </c:pt>
                <c:pt idx="8">
                  <c:v>683.20988152748703</c:v>
                </c:pt>
                <c:pt idx="9">
                  <c:v>1755.1641599999996</c:v>
                </c:pt>
              </c:numCache>
            </c:numRef>
          </c:xVal>
          <c:yVal>
            <c:numRef>
              <c:f>'Nutrient vs diversity'!$A$3:$A$12</c:f>
              <c:numCache>
                <c:formatCode>0.00</c:formatCode>
                <c:ptCount val="10"/>
                <c:pt idx="0">
                  <c:v>2.06</c:v>
                </c:pt>
                <c:pt idx="1">
                  <c:v>1.08</c:v>
                </c:pt>
                <c:pt idx="2">
                  <c:v>2.23</c:v>
                </c:pt>
                <c:pt idx="3">
                  <c:v>2.4900000000000002</c:v>
                </c:pt>
                <c:pt idx="4">
                  <c:v>2.4700000000000002</c:v>
                </c:pt>
                <c:pt idx="5">
                  <c:v>2.58</c:v>
                </c:pt>
                <c:pt idx="6">
                  <c:v>1.43</c:v>
                </c:pt>
                <c:pt idx="7">
                  <c:v>2.39</c:v>
                </c:pt>
                <c:pt idx="8">
                  <c:v>2.77</c:v>
                </c:pt>
                <c:pt idx="9">
                  <c:v>2.2000000000000002</c:v>
                </c:pt>
              </c:numCache>
            </c:numRef>
          </c:yVal>
          <c:smooth val="0"/>
          <c:extLst>
            <c:ext xmlns:c16="http://schemas.microsoft.com/office/drawing/2014/chart" uri="{C3380CC4-5D6E-409C-BE32-E72D297353CC}">
              <c16:uniqueId val="{00000000-F6DE-40C2-9F74-C8AE6FCD7BC0}"/>
            </c:ext>
          </c:extLst>
        </c:ser>
        <c:ser>
          <c:idx val="1"/>
          <c:order val="1"/>
          <c:tx>
            <c:v>FF</c:v>
          </c:tx>
          <c:spPr>
            <a:ln w="25400" cap="rnd">
              <a:noFill/>
              <a:round/>
            </a:ln>
            <a:effectLst/>
          </c:spPr>
          <c:marker>
            <c:symbol val="circle"/>
            <c:size val="5"/>
            <c:spPr>
              <a:noFill/>
              <a:ln w="9525">
                <a:solidFill>
                  <a:schemeClr val="tx1"/>
                </a:solidFill>
              </a:ln>
              <a:effectLst/>
            </c:spPr>
          </c:marker>
          <c:xVal>
            <c:numRef>
              <c:f>'Nutrient vs diversity'!$D$13:$D$22</c:f>
              <c:numCache>
                <c:formatCode>General</c:formatCode>
                <c:ptCount val="10"/>
                <c:pt idx="0">
                  <c:v>1421.3367999999998</c:v>
                </c:pt>
                <c:pt idx="1">
                  <c:v>2331.9142217217509</c:v>
                </c:pt>
                <c:pt idx="2">
                  <c:v>1834.2467999999999</c:v>
                </c:pt>
                <c:pt idx="3">
                  <c:v>2191.0585622976123</c:v>
                </c:pt>
                <c:pt idx="4">
                  <c:v>2806.5407999999998</c:v>
                </c:pt>
                <c:pt idx="5">
                  <c:v>2083.6150524980949</c:v>
                </c:pt>
                <c:pt idx="6">
                  <c:v>2968.4979412016783</c:v>
                </c:pt>
                <c:pt idx="7">
                  <c:v>2347.2230530264178</c:v>
                </c:pt>
                <c:pt idx="8">
                  <c:v>2006.3254347483974</c:v>
                </c:pt>
                <c:pt idx="9">
                  <c:v>2996.3153473493971</c:v>
                </c:pt>
              </c:numCache>
            </c:numRef>
          </c:xVal>
          <c:yVal>
            <c:numRef>
              <c:f>'Nutrient vs diversity'!$A$13:$A$22</c:f>
              <c:numCache>
                <c:formatCode>General</c:formatCode>
                <c:ptCount val="10"/>
                <c:pt idx="0">
                  <c:v>2.42</c:v>
                </c:pt>
                <c:pt idx="1">
                  <c:v>2.16</c:v>
                </c:pt>
                <c:pt idx="2">
                  <c:v>2.37</c:v>
                </c:pt>
                <c:pt idx="3">
                  <c:v>2.48</c:v>
                </c:pt>
                <c:pt idx="4">
                  <c:v>2.57</c:v>
                </c:pt>
                <c:pt idx="5">
                  <c:v>2.23</c:v>
                </c:pt>
                <c:pt idx="6">
                  <c:v>2.5499999999999998</c:v>
                </c:pt>
                <c:pt idx="7">
                  <c:v>1.33</c:v>
                </c:pt>
                <c:pt idx="8">
                  <c:v>0.5</c:v>
                </c:pt>
                <c:pt idx="9">
                  <c:v>0.69</c:v>
                </c:pt>
              </c:numCache>
            </c:numRef>
          </c:yVal>
          <c:smooth val="0"/>
          <c:extLst>
            <c:ext xmlns:c16="http://schemas.microsoft.com/office/drawing/2014/chart" uri="{C3380CC4-5D6E-409C-BE32-E72D297353CC}">
              <c16:uniqueId val="{00000001-F6DE-40C2-9F74-C8AE6FCD7BC0}"/>
            </c:ext>
          </c:extLst>
        </c:ser>
        <c:ser>
          <c:idx val="2"/>
          <c:order val="2"/>
          <c:tx>
            <c:v>SC</c:v>
          </c:tx>
          <c:spPr>
            <a:ln w="25400" cap="rnd">
              <a:noFill/>
              <a:round/>
            </a:ln>
            <a:effectLst/>
          </c:spPr>
          <c:marker>
            <c:symbol val="circle"/>
            <c:size val="5"/>
            <c:spPr>
              <a:solidFill>
                <a:schemeClr val="accent3"/>
              </a:solidFill>
              <a:ln w="9525">
                <a:solidFill>
                  <a:schemeClr val="tx1"/>
                </a:solidFill>
              </a:ln>
              <a:effectLst/>
            </c:spPr>
          </c:marker>
          <c:xVal>
            <c:numRef>
              <c:f>'Nutrient vs diversity'!$D$23:$D$32</c:f>
              <c:numCache>
                <c:formatCode>General</c:formatCode>
                <c:ptCount val="10"/>
                <c:pt idx="0">
                  <c:v>541.40920000000006</c:v>
                </c:pt>
                <c:pt idx="1">
                  <c:v>1604.7300458924167</c:v>
                </c:pt>
                <c:pt idx="2">
                  <c:v>445.48039999999992</c:v>
                </c:pt>
                <c:pt idx="3">
                  <c:v>2484.1586433212015</c:v>
                </c:pt>
                <c:pt idx="4">
                  <c:v>258.19799999999998</c:v>
                </c:pt>
                <c:pt idx="5">
                  <c:v>329.19760000000002</c:v>
                </c:pt>
                <c:pt idx="6">
                  <c:v>719.93320000000006</c:v>
                </c:pt>
                <c:pt idx="7">
                  <c:v>2105.1801594238605</c:v>
                </c:pt>
                <c:pt idx="8">
                  <c:v>97.23520000000002</c:v>
                </c:pt>
                <c:pt idx="9">
                  <c:v>658.87519999999995</c:v>
                </c:pt>
              </c:numCache>
            </c:numRef>
          </c:xVal>
          <c:yVal>
            <c:numRef>
              <c:f>'Nutrient vs diversity'!$A$23:$A$32</c:f>
              <c:numCache>
                <c:formatCode>General</c:formatCode>
                <c:ptCount val="10"/>
                <c:pt idx="0">
                  <c:v>0.5</c:v>
                </c:pt>
                <c:pt idx="1">
                  <c:v>0.56000000000000005</c:v>
                </c:pt>
                <c:pt idx="2">
                  <c:v>0.5</c:v>
                </c:pt>
                <c:pt idx="3">
                  <c:v>0.5</c:v>
                </c:pt>
                <c:pt idx="4">
                  <c:v>0.95</c:v>
                </c:pt>
                <c:pt idx="5">
                  <c:v>1.28</c:v>
                </c:pt>
                <c:pt idx="6">
                  <c:v>1.33</c:v>
                </c:pt>
                <c:pt idx="7">
                  <c:v>0.87</c:v>
                </c:pt>
                <c:pt idx="8">
                  <c:v>0.64</c:v>
                </c:pt>
                <c:pt idx="9">
                  <c:v>1.75</c:v>
                </c:pt>
              </c:numCache>
            </c:numRef>
          </c:yVal>
          <c:smooth val="0"/>
          <c:extLst>
            <c:ext xmlns:c16="http://schemas.microsoft.com/office/drawing/2014/chart" uri="{C3380CC4-5D6E-409C-BE32-E72D297353CC}">
              <c16:uniqueId val="{00000002-F6DE-40C2-9F74-C8AE6FCD7BC0}"/>
            </c:ext>
          </c:extLst>
        </c:ser>
        <c:dLbls>
          <c:showLegendKey val="0"/>
          <c:showVal val="0"/>
          <c:showCatName val="0"/>
          <c:showSerName val="0"/>
          <c:showPercent val="0"/>
          <c:showBubbleSize val="0"/>
        </c:dLbls>
        <c:axId val="539445632"/>
        <c:axId val="539448912"/>
      </c:scatterChart>
      <c:valAx>
        <c:axId val="539445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FI" sz="1000" b="0" i="0" baseline="0">
                    <a:effectLst/>
                  </a:rPr>
                  <a:t>Mg</a:t>
                </a:r>
                <a:r>
                  <a:rPr lang="en-US" sz="1000" b="0" i="0" baseline="0">
                    <a:effectLst/>
                  </a:rPr>
                  <a:t> stock </a:t>
                </a:r>
                <a:r>
                  <a:rPr lang="en-FI" sz="1000" b="0" i="0" baseline="0">
                    <a:effectLst/>
                  </a:rPr>
                  <a:t>(Kg/ha)</a:t>
                </a:r>
                <a:endParaRPr lang="en-FI" sz="10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crossAx val="539448912"/>
        <c:crosses val="autoZero"/>
        <c:crossBetween val="midCat"/>
      </c:valAx>
      <c:valAx>
        <c:axId val="539448912"/>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FI" sz="1000" b="0" i="0" u="none" strike="noStrike" baseline="0">
                    <a:effectLst/>
                    <a:latin typeface="Times New Roman" panose="02020603050405020304" pitchFamily="18" charset="0"/>
                    <a:cs typeface="Times New Roman" panose="02020603050405020304" pitchFamily="18" charset="0"/>
                  </a:rPr>
                  <a:t> </a:t>
                </a:r>
                <a:r>
                  <a:rPr lang="x-none" sz="1000" b="0" i="0" baseline="0">
                    <a:effectLst/>
                    <a:latin typeface="Times New Roman" panose="02020603050405020304" pitchFamily="18" charset="0"/>
                    <a:cs typeface="Times New Roman" panose="02020603050405020304" pitchFamily="18" charset="0"/>
                  </a:rPr>
                  <a:t>Shannon–Weiner</a:t>
                </a:r>
                <a:r>
                  <a:rPr lang="en-US" sz="1000" b="0" i="0" baseline="0">
                    <a:effectLst/>
                    <a:latin typeface="Times New Roman" panose="02020603050405020304" pitchFamily="18" charset="0"/>
                    <a:cs typeface="Times New Roman" panose="02020603050405020304" pitchFamily="18" charset="0"/>
                  </a:rPr>
                  <a:t> index</a:t>
                </a:r>
                <a:endParaRPr lang="en-FI" sz="1000">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FI"/>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crossAx val="5394456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F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IF</c:v>
          </c:tx>
          <c:spPr>
            <a:ln w="25400" cap="rnd">
              <a:noFill/>
              <a:round/>
            </a:ln>
            <a:effectLst/>
          </c:spPr>
          <c:marker>
            <c:symbol val="circle"/>
            <c:size val="5"/>
            <c:spPr>
              <a:solidFill>
                <a:schemeClr val="tx1"/>
              </a:solidFill>
              <a:ln w="9525">
                <a:solidFill>
                  <a:schemeClr val="tx1"/>
                </a:solidFill>
              </a:ln>
              <a:effectLst/>
            </c:spPr>
          </c:marker>
          <c:xVal>
            <c:numRef>
              <c:f>'Nutrient vs diversity'!$G$3:$G$12</c:f>
              <c:numCache>
                <c:formatCode>General</c:formatCode>
                <c:ptCount val="10"/>
                <c:pt idx="0">
                  <c:v>37.495000000000005</c:v>
                </c:pt>
                <c:pt idx="1">
                  <c:v>43.153000000000006</c:v>
                </c:pt>
                <c:pt idx="2">
                  <c:v>44.717000000000006</c:v>
                </c:pt>
                <c:pt idx="3">
                  <c:v>44.874000000000009</c:v>
                </c:pt>
                <c:pt idx="4">
                  <c:v>61.597999999999999</c:v>
                </c:pt>
                <c:pt idx="5">
                  <c:v>63.741410725550551</c:v>
                </c:pt>
                <c:pt idx="6">
                  <c:v>61.300000000000011</c:v>
                </c:pt>
                <c:pt idx="7">
                  <c:v>63.083496816810602</c:v>
                </c:pt>
                <c:pt idx="8">
                  <c:v>67.525973755735862</c:v>
                </c:pt>
                <c:pt idx="9">
                  <c:v>38.850200000000001</c:v>
                </c:pt>
              </c:numCache>
            </c:numRef>
          </c:xVal>
          <c:yVal>
            <c:numRef>
              <c:f>'Nutrient vs diversity'!$A$3:$A$12</c:f>
              <c:numCache>
                <c:formatCode>0.00</c:formatCode>
                <c:ptCount val="10"/>
                <c:pt idx="0">
                  <c:v>2.06</c:v>
                </c:pt>
                <c:pt idx="1">
                  <c:v>1.08</c:v>
                </c:pt>
                <c:pt idx="2">
                  <c:v>2.23</c:v>
                </c:pt>
                <c:pt idx="3">
                  <c:v>2.4900000000000002</c:v>
                </c:pt>
                <c:pt idx="4">
                  <c:v>2.4700000000000002</c:v>
                </c:pt>
                <c:pt idx="5">
                  <c:v>2.58</c:v>
                </c:pt>
                <c:pt idx="6">
                  <c:v>1.43</c:v>
                </c:pt>
                <c:pt idx="7">
                  <c:v>2.39</c:v>
                </c:pt>
                <c:pt idx="8">
                  <c:v>2.77</c:v>
                </c:pt>
                <c:pt idx="9">
                  <c:v>2.2000000000000002</c:v>
                </c:pt>
              </c:numCache>
            </c:numRef>
          </c:yVal>
          <c:smooth val="0"/>
          <c:extLst>
            <c:ext xmlns:c16="http://schemas.microsoft.com/office/drawing/2014/chart" uri="{C3380CC4-5D6E-409C-BE32-E72D297353CC}">
              <c16:uniqueId val="{00000000-5545-41DC-A1D4-FEA49FD43E23}"/>
            </c:ext>
          </c:extLst>
        </c:ser>
        <c:ser>
          <c:idx val="1"/>
          <c:order val="1"/>
          <c:tx>
            <c:v>FF</c:v>
          </c:tx>
          <c:spPr>
            <a:ln w="25400" cap="rnd">
              <a:noFill/>
              <a:round/>
            </a:ln>
            <a:effectLst/>
          </c:spPr>
          <c:marker>
            <c:symbol val="circle"/>
            <c:size val="5"/>
            <c:spPr>
              <a:noFill/>
              <a:ln w="9525">
                <a:solidFill>
                  <a:schemeClr val="tx1"/>
                </a:solidFill>
              </a:ln>
              <a:effectLst/>
            </c:spPr>
          </c:marker>
          <c:xVal>
            <c:numRef>
              <c:f>'Nutrient vs diversity'!$G$13:$G$22</c:f>
              <c:numCache>
                <c:formatCode>General</c:formatCode>
                <c:ptCount val="10"/>
                <c:pt idx="0">
                  <c:v>71.842100000000002</c:v>
                </c:pt>
                <c:pt idx="1">
                  <c:v>70.815491454614715</c:v>
                </c:pt>
                <c:pt idx="2">
                  <c:v>68.820400000000006</c:v>
                </c:pt>
                <c:pt idx="3">
                  <c:v>72.202708760743221</c:v>
                </c:pt>
                <c:pt idx="4">
                  <c:v>73.319400000000002</c:v>
                </c:pt>
                <c:pt idx="5">
                  <c:v>68.112584588486982</c:v>
                </c:pt>
                <c:pt idx="6">
                  <c:v>73.694045701353772</c:v>
                </c:pt>
                <c:pt idx="7">
                  <c:v>72.145223018066133</c:v>
                </c:pt>
                <c:pt idx="8">
                  <c:v>77.569948829771079</c:v>
                </c:pt>
                <c:pt idx="9">
                  <c:v>64.774638521022624</c:v>
                </c:pt>
              </c:numCache>
            </c:numRef>
          </c:xVal>
          <c:yVal>
            <c:numRef>
              <c:f>'Nutrient vs diversity'!$A$13:$A$22</c:f>
              <c:numCache>
                <c:formatCode>General</c:formatCode>
                <c:ptCount val="10"/>
                <c:pt idx="0">
                  <c:v>2.42</c:v>
                </c:pt>
                <c:pt idx="1">
                  <c:v>2.16</c:v>
                </c:pt>
                <c:pt idx="2">
                  <c:v>2.37</c:v>
                </c:pt>
                <c:pt idx="3">
                  <c:v>2.48</c:v>
                </c:pt>
                <c:pt idx="4">
                  <c:v>2.57</c:v>
                </c:pt>
                <c:pt idx="5">
                  <c:v>2.23</c:v>
                </c:pt>
                <c:pt idx="6">
                  <c:v>2.5499999999999998</c:v>
                </c:pt>
                <c:pt idx="7">
                  <c:v>1.33</c:v>
                </c:pt>
                <c:pt idx="8">
                  <c:v>0.5</c:v>
                </c:pt>
                <c:pt idx="9">
                  <c:v>0.69</c:v>
                </c:pt>
              </c:numCache>
            </c:numRef>
          </c:yVal>
          <c:smooth val="0"/>
          <c:extLst>
            <c:ext xmlns:c16="http://schemas.microsoft.com/office/drawing/2014/chart" uri="{C3380CC4-5D6E-409C-BE32-E72D297353CC}">
              <c16:uniqueId val="{00000001-5545-41DC-A1D4-FEA49FD43E23}"/>
            </c:ext>
          </c:extLst>
        </c:ser>
        <c:ser>
          <c:idx val="2"/>
          <c:order val="2"/>
          <c:tx>
            <c:v>SC</c:v>
          </c:tx>
          <c:spPr>
            <a:ln w="25400" cap="rnd">
              <a:noFill/>
              <a:round/>
            </a:ln>
            <a:effectLst/>
          </c:spPr>
          <c:marker>
            <c:symbol val="circle"/>
            <c:size val="5"/>
            <c:spPr>
              <a:solidFill>
                <a:schemeClr val="accent3"/>
              </a:solidFill>
              <a:ln w="9525">
                <a:solidFill>
                  <a:schemeClr val="tx1"/>
                </a:solidFill>
              </a:ln>
              <a:effectLst/>
            </c:spPr>
          </c:marker>
          <c:xVal>
            <c:numRef>
              <c:f>'Nutrient vs diversity'!$G$23:$G$32</c:f>
              <c:numCache>
                <c:formatCode>General</c:formatCode>
                <c:ptCount val="10"/>
                <c:pt idx="0">
                  <c:v>64.707000000000008</c:v>
                </c:pt>
                <c:pt idx="1">
                  <c:v>66.61731484594165</c:v>
                </c:pt>
                <c:pt idx="2">
                  <c:v>56.231999999999999</c:v>
                </c:pt>
                <c:pt idx="3">
                  <c:v>58.022590069346506</c:v>
                </c:pt>
                <c:pt idx="4">
                  <c:v>38.202000000000005</c:v>
                </c:pt>
                <c:pt idx="5">
                  <c:v>39.022999999999996</c:v>
                </c:pt>
                <c:pt idx="6">
                  <c:v>56.013000000000005</c:v>
                </c:pt>
                <c:pt idx="7">
                  <c:v>71.459143895834927</c:v>
                </c:pt>
                <c:pt idx="8">
                  <c:v>59.945000000000014</c:v>
                </c:pt>
                <c:pt idx="9">
                  <c:v>52.314999999999998</c:v>
                </c:pt>
              </c:numCache>
            </c:numRef>
          </c:xVal>
          <c:yVal>
            <c:numRef>
              <c:f>'Nutrient vs diversity'!$A$23:$A$32</c:f>
              <c:numCache>
                <c:formatCode>General</c:formatCode>
                <c:ptCount val="10"/>
                <c:pt idx="0">
                  <c:v>0.5</c:v>
                </c:pt>
                <c:pt idx="1">
                  <c:v>0.56000000000000005</c:v>
                </c:pt>
                <c:pt idx="2">
                  <c:v>0.5</c:v>
                </c:pt>
                <c:pt idx="3">
                  <c:v>0.5</c:v>
                </c:pt>
                <c:pt idx="4">
                  <c:v>0.95</c:v>
                </c:pt>
                <c:pt idx="5">
                  <c:v>1.28</c:v>
                </c:pt>
                <c:pt idx="6">
                  <c:v>1.33</c:v>
                </c:pt>
                <c:pt idx="7">
                  <c:v>0.87</c:v>
                </c:pt>
                <c:pt idx="8">
                  <c:v>0.64</c:v>
                </c:pt>
                <c:pt idx="9">
                  <c:v>1.75</c:v>
                </c:pt>
              </c:numCache>
            </c:numRef>
          </c:yVal>
          <c:smooth val="0"/>
          <c:extLst>
            <c:ext xmlns:c16="http://schemas.microsoft.com/office/drawing/2014/chart" uri="{C3380CC4-5D6E-409C-BE32-E72D297353CC}">
              <c16:uniqueId val="{00000002-5545-41DC-A1D4-FEA49FD43E23}"/>
            </c:ext>
          </c:extLst>
        </c:ser>
        <c:dLbls>
          <c:showLegendKey val="0"/>
          <c:showVal val="0"/>
          <c:showCatName val="0"/>
          <c:showSerName val="0"/>
          <c:showPercent val="0"/>
          <c:showBubbleSize val="0"/>
        </c:dLbls>
        <c:axId val="581778864"/>
        <c:axId val="581784440"/>
      </c:scatterChart>
      <c:valAx>
        <c:axId val="581778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S stock</a:t>
                </a:r>
                <a:r>
                  <a:rPr lang="en-FI" sz="1000" b="0" i="0" u="none" strike="noStrike" baseline="0">
                    <a:effectLst/>
                  </a:rPr>
                  <a:t> (</a:t>
                </a:r>
                <a:r>
                  <a:rPr lang="en-US" sz="1000" b="0" i="0" u="none" strike="noStrike" baseline="0">
                    <a:effectLst/>
                  </a:rPr>
                  <a:t>K</a:t>
                </a:r>
                <a:r>
                  <a:rPr lang="en-FI" sz="1000" b="0" i="0" u="none" strike="noStrike" baseline="0">
                    <a:effectLst/>
                  </a:rPr>
                  <a:t>g/ha)</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crossAx val="581784440"/>
        <c:crosses val="autoZero"/>
        <c:crossBetween val="midCat"/>
      </c:valAx>
      <c:valAx>
        <c:axId val="5817844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x-none" sz="1000" b="0" i="0" baseline="0">
                    <a:effectLst/>
                  </a:rPr>
                  <a:t>Shannon–Weiner</a:t>
                </a:r>
                <a:r>
                  <a:rPr lang="en-US" sz="1000" b="0" i="0" baseline="0">
                    <a:effectLst/>
                  </a:rPr>
                  <a:t> index</a:t>
                </a:r>
                <a:endParaRPr lang="en-FI"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crossAx val="5817788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F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IF</c:v>
          </c:tx>
          <c:spPr>
            <a:ln w="25400" cap="rnd">
              <a:noFill/>
              <a:round/>
            </a:ln>
            <a:effectLst/>
          </c:spPr>
          <c:marker>
            <c:symbol val="circle"/>
            <c:size val="5"/>
            <c:spPr>
              <a:solidFill>
                <a:schemeClr val="tx1"/>
              </a:solidFill>
              <a:ln w="9525">
                <a:solidFill>
                  <a:schemeClr val="tx1"/>
                </a:solidFill>
              </a:ln>
              <a:effectLst/>
            </c:spPr>
          </c:marker>
          <c:xVal>
            <c:numRef>
              <c:f>'Nutrient vs C'!$F$3:$F$12</c:f>
              <c:numCache>
                <c:formatCode>General</c:formatCode>
                <c:ptCount val="10"/>
                <c:pt idx="0">
                  <c:v>35.074543106231843</c:v>
                </c:pt>
                <c:pt idx="1">
                  <c:v>28.058853729415567</c:v>
                </c:pt>
                <c:pt idx="2">
                  <c:v>33.429350984824026</c:v>
                </c:pt>
                <c:pt idx="3">
                  <c:v>57.070029060381017</c:v>
                </c:pt>
                <c:pt idx="4">
                  <c:v>45.879799806264131</c:v>
                </c:pt>
                <c:pt idx="5">
                  <c:v>44.380038975430963</c:v>
                </c:pt>
                <c:pt idx="6">
                  <c:v>57.23618986115595</c:v>
                </c:pt>
                <c:pt idx="7">
                  <c:v>45.498879091159459</c:v>
                </c:pt>
                <c:pt idx="8">
                  <c:v>48.193836068654782</c:v>
                </c:pt>
                <c:pt idx="9">
                  <c:v>22.299640297061671</c:v>
                </c:pt>
              </c:numCache>
            </c:numRef>
          </c:xVal>
          <c:yVal>
            <c:numRef>
              <c:f>'Nutrient vs C'!$A$3:$A$12</c:f>
              <c:numCache>
                <c:formatCode>0.00</c:formatCode>
                <c:ptCount val="10"/>
                <c:pt idx="0">
                  <c:v>83.378325800000042</c:v>
                </c:pt>
                <c:pt idx="1">
                  <c:v>87.598617960000055</c:v>
                </c:pt>
                <c:pt idx="2">
                  <c:v>131.93349595999976</c:v>
                </c:pt>
                <c:pt idx="3">
                  <c:v>124.4203167200003</c:v>
                </c:pt>
                <c:pt idx="4">
                  <c:v>140.75915952000011</c:v>
                </c:pt>
                <c:pt idx="5">
                  <c:v>40.344025256028637</c:v>
                </c:pt>
                <c:pt idx="6">
                  <c:v>35.676190480000173</c:v>
                </c:pt>
                <c:pt idx="7">
                  <c:v>45.783545033853869</c:v>
                </c:pt>
                <c:pt idx="8">
                  <c:v>35.775526046014903</c:v>
                </c:pt>
                <c:pt idx="9">
                  <c:v>57.050742000000199</c:v>
                </c:pt>
              </c:numCache>
            </c:numRef>
          </c:yVal>
          <c:smooth val="0"/>
          <c:extLst>
            <c:ext xmlns:c16="http://schemas.microsoft.com/office/drawing/2014/chart" uri="{C3380CC4-5D6E-409C-BE32-E72D297353CC}">
              <c16:uniqueId val="{00000000-BAA4-4DEB-8D82-2569C6EB1928}"/>
            </c:ext>
          </c:extLst>
        </c:ser>
        <c:ser>
          <c:idx val="1"/>
          <c:order val="1"/>
          <c:tx>
            <c:v>FF</c:v>
          </c:tx>
          <c:spPr>
            <a:ln w="25400" cap="rnd">
              <a:noFill/>
              <a:round/>
            </a:ln>
            <a:effectLst/>
          </c:spPr>
          <c:marker>
            <c:symbol val="circle"/>
            <c:size val="5"/>
            <c:spPr>
              <a:noFill/>
              <a:ln w="9525">
                <a:solidFill>
                  <a:schemeClr val="tx1"/>
                </a:solidFill>
              </a:ln>
              <a:effectLst/>
            </c:spPr>
          </c:marker>
          <c:xVal>
            <c:numRef>
              <c:f>'Nutrient vs C'!$F$13:$F$22</c:f>
              <c:numCache>
                <c:formatCode>General</c:formatCode>
                <c:ptCount val="10"/>
                <c:pt idx="0">
                  <c:v>59.825896028414604</c:v>
                </c:pt>
                <c:pt idx="1">
                  <c:v>55.824616978706111</c:v>
                </c:pt>
                <c:pt idx="2">
                  <c:v>52.976067161769464</c:v>
                </c:pt>
                <c:pt idx="3">
                  <c:v>45.22383257081141</c:v>
                </c:pt>
                <c:pt idx="4">
                  <c:v>57.393141750080723</c:v>
                </c:pt>
                <c:pt idx="5">
                  <c:v>47.44336475076998</c:v>
                </c:pt>
                <c:pt idx="6">
                  <c:v>79.952313154482724</c:v>
                </c:pt>
                <c:pt idx="7">
                  <c:v>49.117204786242695</c:v>
                </c:pt>
                <c:pt idx="8">
                  <c:v>64.591850297115627</c:v>
                </c:pt>
                <c:pt idx="9">
                  <c:v>72.358713428060298</c:v>
                </c:pt>
              </c:numCache>
            </c:numRef>
          </c:xVal>
          <c:yVal>
            <c:numRef>
              <c:f>'Nutrient vs C'!$A$13:$A$22</c:f>
              <c:numCache>
                <c:formatCode>General</c:formatCode>
                <c:ptCount val="10"/>
                <c:pt idx="0">
                  <c:v>109.59244547999977</c:v>
                </c:pt>
                <c:pt idx="1">
                  <c:v>13.897572722790414</c:v>
                </c:pt>
                <c:pt idx="2">
                  <c:v>58.295848520000007</c:v>
                </c:pt>
                <c:pt idx="3">
                  <c:v>45.837013506867876</c:v>
                </c:pt>
                <c:pt idx="4">
                  <c:v>63.620298840000245</c:v>
                </c:pt>
                <c:pt idx="5">
                  <c:v>38.619071716381093</c:v>
                </c:pt>
                <c:pt idx="6">
                  <c:v>16.99893904427417</c:v>
                </c:pt>
                <c:pt idx="7">
                  <c:v>37.118537496936554</c:v>
                </c:pt>
                <c:pt idx="8">
                  <c:v>17.276524181225923</c:v>
                </c:pt>
                <c:pt idx="9">
                  <c:v>11.436615923009843</c:v>
                </c:pt>
              </c:numCache>
            </c:numRef>
          </c:yVal>
          <c:smooth val="0"/>
          <c:extLst>
            <c:ext xmlns:c16="http://schemas.microsoft.com/office/drawing/2014/chart" uri="{C3380CC4-5D6E-409C-BE32-E72D297353CC}">
              <c16:uniqueId val="{00000001-BAA4-4DEB-8D82-2569C6EB1928}"/>
            </c:ext>
          </c:extLst>
        </c:ser>
        <c:ser>
          <c:idx val="2"/>
          <c:order val="2"/>
          <c:tx>
            <c:v>SC</c:v>
          </c:tx>
          <c:spPr>
            <a:ln w="25400" cap="rnd">
              <a:noFill/>
              <a:round/>
            </a:ln>
            <a:effectLst/>
          </c:spPr>
          <c:marker>
            <c:symbol val="circle"/>
            <c:size val="5"/>
            <c:spPr>
              <a:solidFill>
                <a:schemeClr val="accent3"/>
              </a:solidFill>
              <a:ln w="9525">
                <a:solidFill>
                  <a:schemeClr val="tx1"/>
                </a:solidFill>
              </a:ln>
              <a:effectLst/>
            </c:spPr>
          </c:marker>
          <c:xVal>
            <c:numRef>
              <c:f>'Nutrient vs C'!$F$23:$F$32</c:f>
              <c:numCache>
                <c:formatCode>General</c:formatCode>
                <c:ptCount val="10"/>
                <c:pt idx="0">
                  <c:v>40.941721020342271</c:v>
                </c:pt>
                <c:pt idx="1">
                  <c:v>56.507554068789588</c:v>
                </c:pt>
                <c:pt idx="2">
                  <c:v>40.79798191798514</c:v>
                </c:pt>
                <c:pt idx="3">
                  <c:v>51.740492851403374</c:v>
                </c:pt>
                <c:pt idx="4">
                  <c:v>45.912331288343566</c:v>
                </c:pt>
                <c:pt idx="5">
                  <c:v>33.905211494995157</c:v>
                </c:pt>
                <c:pt idx="6">
                  <c:v>39.032173070713597</c:v>
                </c:pt>
                <c:pt idx="7">
                  <c:v>136.41702096886573</c:v>
                </c:pt>
                <c:pt idx="8">
                  <c:v>32.752395866968044</c:v>
                </c:pt>
                <c:pt idx="9">
                  <c:v>46.222331288343554</c:v>
                </c:pt>
              </c:numCache>
            </c:numRef>
          </c:xVal>
          <c:yVal>
            <c:numRef>
              <c:f>'Nutrient vs C'!$A$23:$A$32</c:f>
              <c:numCache>
                <c:formatCode>General</c:formatCode>
                <c:ptCount val="10"/>
                <c:pt idx="0">
                  <c:v>61.219526199999962</c:v>
                </c:pt>
                <c:pt idx="1">
                  <c:v>49.998171367939634</c:v>
                </c:pt>
                <c:pt idx="2">
                  <c:v>55.717532640000606</c:v>
                </c:pt>
                <c:pt idx="3">
                  <c:v>37.88997598545788</c:v>
                </c:pt>
                <c:pt idx="4">
                  <c:v>30.181570159999705</c:v>
                </c:pt>
                <c:pt idx="5">
                  <c:v>38.584555239999553</c:v>
                </c:pt>
                <c:pt idx="6">
                  <c:v>50.611076040000015</c:v>
                </c:pt>
                <c:pt idx="7">
                  <c:v>20.491358050701439</c:v>
                </c:pt>
                <c:pt idx="8">
                  <c:v>30.364715919999909</c:v>
                </c:pt>
                <c:pt idx="9">
                  <c:v>45.504362399999813</c:v>
                </c:pt>
              </c:numCache>
            </c:numRef>
          </c:yVal>
          <c:smooth val="0"/>
          <c:extLst>
            <c:ext xmlns:c16="http://schemas.microsoft.com/office/drawing/2014/chart" uri="{C3380CC4-5D6E-409C-BE32-E72D297353CC}">
              <c16:uniqueId val="{00000002-BAA4-4DEB-8D82-2569C6EB1928}"/>
            </c:ext>
          </c:extLst>
        </c:ser>
        <c:dLbls>
          <c:showLegendKey val="0"/>
          <c:showVal val="0"/>
          <c:showCatName val="0"/>
          <c:showSerName val="0"/>
          <c:showPercent val="0"/>
          <c:showBubbleSize val="0"/>
        </c:dLbls>
        <c:axId val="541817576"/>
        <c:axId val="541819872"/>
      </c:scatterChart>
      <c:valAx>
        <c:axId val="541817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FI" sz="1000" b="0" i="0" u="none" strike="noStrike" baseline="0">
                    <a:effectLst/>
                  </a:rPr>
                  <a:t>P </a:t>
                </a:r>
                <a:r>
                  <a:rPr lang="en-US" sz="1000" b="0" i="0" u="none" strike="noStrike" baseline="0">
                    <a:effectLst/>
                  </a:rPr>
                  <a:t>stock</a:t>
                </a:r>
                <a:r>
                  <a:rPr lang="en-FI" sz="1000" b="0" i="0" u="none" strike="noStrike" baseline="0">
                    <a:effectLst/>
                  </a:rPr>
                  <a:t> (Kg/ha)</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crossAx val="541819872"/>
        <c:crosses val="autoZero"/>
        <c:crossBetween val="midCat"/>
      </c:valAx>
      <c:valAx>
        <c:axId val="5418198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FI" sz="1000" b="0" i="0" u="none" strike="noStrike" baseline="0">
                    <a:effectLst/>
                  </a:rPr>
                  <a:t>C </a:t>
                </a:r>
                <a:r>
                  <a:rPr lang="en-US" sz="1000" b="0" i="0" u="none" strike="noStrike" baseline="0">
                    <a:effectLst/>
                  </a:rPr>
                  <a:t>stock</a:t>
                </a:r>
                <a:r>
                  <a:rPr lang="en-FI" sz="1000" b="0" i="0" u="none" strike="noStrike" baseline="0">
                    <a:effectLst/>
                  </a:rPr>
                  <a:t> (Mg/ha)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crossAx val="5418175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F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IF</c:v>
          </c:tx>
          <c:spPr>
            <a:ln w="25400" cap="rnd">
              <a:noFill/>
              <a:round/>
            </a:ln>
            <a:effectLst/>
          </c:spPr>
          <c:marker>
            <c:symbol val="circle"/>
            <c:size val="5"/>
            <c:spPr>
              <a:solidFill>
                <a:schemeClr val="tx1"/>
              </a:solidFill>
              <a:ln w="9525">
                <a:solidFill>
                  <a:schemeClr val="tx1"/>
                </a:solidFill>
              </a:ln>
              <a:effectLst/>
            </c:spPr>
          </c:marker>
          <c:xVal>
            <c:numRef>
              <c:f>'Nutrient vs C'!$C$3:$C$12</c:f>
              <c:numCache>
                <c:formatCode>General</c:formatCode>
                <c:ptCount val="10"/>
                <c:pt idx="0">
                  <c:v>224.38727999999998</c:v>
                </c:pt>
                <c:pt idx="1">
                  <c:v>205.44497999999999</c:v>
                </c:pt>
                <c:pt idx="2">
                  <c:v>285.85556999999994</c:v>
                </c:pt>
                <c:pt idx="3">
                  <c:v>315.43434000000002</c:v>
                </c:pt>
                <c:pt idx="4">
                  <c:v>417.16544999999996</c:v>
                </c:pt>
                <c:pt idx="5">
                  <c:v>233.53345947239725</c:v>
                </c:pt>
                <c:pt idx="6">
                  <c:v>472.47251999999997</c:v>
                </c:pt>
                <c:pt idx="7">
                  <c:v>253.90367487272226</c:v>
                </c:pt>
                <c:pt idx="8">
                  <c:v>228.70071497011133</c:v>
                </c:pt>
                <c:pt idx="9">
                  <c:v>284.29751999999996</c:v>
                </c:pt>
              </c:numCache>
            </c:numRef>
          </c:xVal>
          <c:yVal>
            <c:numRef>
              <c:f>'Nutrient vs C'!$A$3:$A$12</c:f>
              <c:numCache>
                <c:formatCode>0.00</c:formatCode>
                <c:ptCount val="10"/>
                <c:pt idx="0">
                  <c:v>83.378325800000042</c:v>
                </c:pt>
                <c:pt idx="1">
                  <c:v>87.598617960000055</c:v>
                </c:pt>
                <c:pt idx="2">
                  <c:v>131.93349595999976</c:v>
                </c:pt>
                <c:pt idx="3">
                  <c:v>124.4203167200003</c:v>
                </c:pt>
                <c:pt idx="4">
                  <c:v>140.75915952000011</c:v>
                </c:pt>
                <c:pt idx="5">
                  <c:v>40.344025256028637</c:v>
                </c:pt>
                <c:pt idx="6">
                  <c:v>35.676190480000173</c:v>
                </c:pt>
                <c:pt idx="7">
                  <c:v>45.783545033853869</c:v>
                </c:pt>
                <c:pt idx="8">
                  <c:v>35.775526046014903</c:v>
                </c:pt>
                <c:pt idx="9">
                  <c:v>57.050742000000199</c:v>
                </c:pt>
              </c:numCache>
            </c:numRef>
          </c:yVal>
          <c:smooth val="0"/>
          <c:extLst>
            <c:ext xmlns:c16="http://schemas.microsoft.com/office/drawing/2014/chart" uri="{C3380CC4-5D6E-409C-BE32-E72D297353CC}">
              <c16:uniqueId val="{00000000-EE95-43D8-A010-51EAD1201DBB}"/>
            </c:ext>
          </c:extLst>
        </c:ser>
        <c:ser>
          <c:idx val="1"/>
          <c:order val="1"/>
          <c:tx>
            <c:v>FF</c:v>
          </c:tx>
          <c:spPr>
            <a:ln w="25400" cap="rnd">
              <a:noFill/>
              <a:round/>
            </a:ln>
            <a:effectLst/>
          </c:spPr>
          <c:marker>
            <c:symbol val="circle"/>
            <c:size val="5"/>
            <c:spPr>
              <a:noFill/>
              <a:ln w="9525">
                <a:solidFill>
                  <a:schemeClr val="tx1"/>
                </a:solidFill>
              </a:ln>
              <a:effectLst/>
            </c:spPr>
          </c:marker>
          <c:xVal>
            <c:numRef>
              <c:f>'Nutrient vs C'!$C$13:$C$22</c:f>
              <c:numCache>
                <c:formatCode>General</c:formatCode>
                <c:ptCount val="10"/>
                <c:pt idx="0">
                  <c:v>481.22136</c:v>
                </c:pt>
                <c:pt idx="1">
                  <c:v>607.65873526859707</c:v>
                </c:pt>
                <c:pt idx="2">
                  <c:v>547.77479999999991</c:v>
                </c:pt>
                <c:pt idx="3">
                  <c:v>642.76781896840509</c:v>
                </c:pt>
                <c:pt idx="4">
                  <c:v>474.9484799999999</c:v>
                </c:pt>
                <c:pt idx="5">
                  <c:v>650.04830288723247</c:v>
                </c:pt>
                <c:pt idx="6">
                  <c:v>494.11494904547277</c:v>
                </c:pt>
                <c:pt idx="7">
                  <c:v>601.50498901359344</c:v>
                </c:pt>
                <c:pt idx="8">
                  <c:v>475.95379722682316</c:v>
                </c:pt>
                <c:pt idx="9">
                  <c:v>572.36081261991285</c:v>
                </c:pt>
              </c:numCache>
            </c:numRef>
          </c:xVal>
          <c:yVal>
            <c:numRef>
              <c:f>'Nutrient vs C'!$A$13:$A$22</c:f>
              <c:numCache>
                <c:formatCode>General</c:formatCode>
                <c:ptCount val="10"/>
                <c:pt idx="0">
                  <c:v>109.59244547999977</c:v>
                </c:pt>
                <c:pt idx="1">
                  <c:v>13.897572722790414</c:v>
                </c:pt>
                <c:pt idx="2">
                  <c:v>58.295848520000007</c:v>
                </c:pt>
                <c:pt idx="3">
                  <c:v>45.837013506867876</c:v>
                </c:pt>
                <c:pt idx="4">
                  <c:v>63.620298840000245</c:v>
                </c:pt>
                <c:pt idx="5">
                  <c:v>38.619071716381093</c:v>
                </c:pt>
                <c:pt idx="6">
                  <c:v>16.99893904427417</c:v>
                </c:pt>
                <c:pt idx="7">
                  <c:v>37.118537496936554</c:v>
                </c:pt>
                <c:pt idx="8">
                  <c:v>17.276524181225923</c:v>
                </c:pt>
                <c:pt idx="9">
                  <c:v>11.436615923009843</c:v>
                </c:pt>
              </c:numCache>
            </c:numRef>
          </c:yVal>
          <c:smooth val="0"/>
          <c:extLst>
            <c:ext xmlns:c16="http://schemas.microsoft.com/office/drawing/2014/chart" uri="{C3380CC4-5D6E-409C-BE32-E72D297353CC}">
              <c16:uniqueId val="{00000001-EE95-43D8-A010-51EAD1201DBB}"/>
            </c:ext>
          </c:extLst>
        </c:ser>
        <c:ser>
          <c:idx val="2"/>
          <c:order val="2"/>
          <c:tx>
            <c:v>SC</c:v>
          </c:tx>
          <c:spPr>
            <a:ln w="25400" cap="rnd">
              <a:noFill/>
              <a:round/>
            </a:ln>
            <a:effectLst/>
          </c:spPr>
          <c:marker>
            <c:symbol val="circle"/>
            <c:size val="5"/>
            <c:spPr>
              <a:solidFill>
                <a:schemeClr val="accent3"/>
              </a:solidFill>
              <a:ln w="9525">
                <a:solidFill>
                  <a:schemeClr val="tx1"/>
                </a:solidFill>
              </a:ln>
              <a:effectLst/>
            </c:spPr>
          </c:marker>
          <c:xVal>
            <c:numRef>
              <c:f>'Nutrient vs C'!$C$23:$C$32</c:f>
              <c:numCache>
                <c:formatCode>General</c:formatCode>
                <c:ptCount val="10"/>
                <c:pt idx="0">
                  <c:v>2202.17328</c:v>
                </c:pt>
                <c:pt idx="1">
                  <c:v>577.09498772327129</c:v>
                </c:pt>
                <c:pt idx="2">
                  <c:v>1888.8393599999995</c:v>
                </c:pt>
                <c:pt idx="3">
                  <c:v>532.47068945386673</c:v>
                </c:pt>
                <c:pt idx="4">
                  <c:v>1634.9723999999997</c:v>
                </c:pt>
                <c:pt idx="5">
                  <c:v>1649.70336</c:v>
                </c:pt>
                <c:pt idx="6">
                  <c:v>1955.1652799999999</c:v>
                </c:pt>
                <c:pt idx="7">
                  <c:v>472.54337861292032</c:v>
                </c:pt>
                <c:pt idx="8">
                  <c:v>1000.8381600000001</c:v>
                </c:pt>
                <c:pt idx="9">
                  <c:v>1788.6045599999998</c:v>
                </c:pt>
              </c:numCache>
            </c:numRef>
          </c:xVal>
          <c:yVal>
            <c:numRef>
              <c:f>'Nutrient vs C'!$A$23:$A$32</c:f>
              <c:numCache>
                <c:formatCode>General</c:formatCode>
                <c:ptCount val="10"/>
                <c:pt idx="0">
                  <c:v>61.219526199999962</c:v>
                </c:pt>
                <c:pt idx="1">
                  <c:v>49.998171367939634</c:v>
                </c:pt>
                <c:pt idx="2">
                  <c:v>55.717532640000606</c:v>
                </c:pt>
                <c:pt idx="3">
                  <c:v>37.88997598545788</c:v>
                </c:pt>
                <c:pt idx="4">
                  <c:v>30.181570159999705</c:v>
                </c:pt>
                <c:pt idx="5">
                  <c:v>38.584555239999553</c:v>
                </c:pt>
                <c:pt idx="6">
                  <c:v>50.611076040000015</c:v>
                </c:pt>
                <c:pt idx="7">
                  <c:v>20.491358050701439</c:v>
                </c:pt>
                <c:pt idx="8">
                  <c:v>30.364715919999909</c:v>
                </c:pt>
                <c:pt idx="9">
                  <c:v>45.504362399999813</c:v>
                </c:pt>
              </c:numCache>
            </c:numRef>
          </c:yVal>
          <c:smooth val="0"/>
          <c:extLst>
            <c:ext xmlns:c16="http://schemas.microsoft.com/office/drawing/2014/chart" uri="{C3380CC4-5D6E-409C-BE32-E72D297353CC}">
              <c16:uniqueId val="{00000002-EE95-43D8-A010-51EAD1201DBB}"/>
            </c:ext>
          </c:extLst>
        </c:ser>
        <c:dLbls>
          <c:showLegendKey val="0"/>
          <c:showVal val="0"/>
          <c:showCatName val="0"/>
          <c:showSerName val="0"/>
          <c:showPercent val="0"/>
          <c:showBubbleSize val="0"/>
        </c:dLbls>
        <c:axId val="539445960"/>
        <c:axId val="539450224"/>
      </c:scatterChart>
      <c:valAx>
        <c:axId val="53944596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FI" sz="1000" b="0" i="0" baseline="0">
                    <a:solidFill>
                      <a:sysClr val="windowText" lastClr="000000"/>
                    </a:solidFill>
                    <a:effectLst/>
                  </a:rPr>
                  <a:t>K</a:t>
                </a:r>
                <a:r>
                  <a:rPr lang="en-US" sz="1000" b="0" i="0" baseline="0">
                    <a:solidFill>
                      <a:sysClr val="windowText" lastClr="000000"/>
                    </a:solidFill>
                    <a:effectLst/>
                  </a:rPr>
                  <a:t> stock </a:t>
                </a:r>
                <a:r>
                  <a:rPr lang="en-FI" sz="1000" b="0" i="0" baseline="0">
                    <a:solidFill>
                      <a:sysClr val="windowText" lastClr="000000"/>
                    </a:solidFill>
                    <a:effectLst/>
                  </a:rPr>
                  <a:t>(kg/ha)</a:t>
                </a:r>
                <a:endParaRPr lang="en-FI" sz="10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FI"/>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FI"/>
          </a:p>
        </c:txPr>
        <c:crossAx val="539450224"/>
        <c:crosses val="autoZero"/>
        <c:crossBetween val="midCat"/>
      </c:valAx>
      <c:valAx>
        <c:axId val="53945022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i="0" baseline="0">
                    <a:solidFill>
                      <a:sysClr val="windowText" lastClr="000000"/>
                    </a:solidFill>
                    <a:effectLst/>
                  </a:rPr>
                  <a:t>C stock</a:t>
                </a:r>
                <a:r>
                  <a:rPr lang="en-FI" sz="1000" b="0" i="0" baseline="0">
                    <a:solidFill>
                      <a:sysClr val="windowText" lastClr="000000"/>
                    </a:solidFill>
                    <a:effectLst/>
                  </a:rPr>
                  <a:t> (Mg/ha)</a:t>
                </a:r>
                <a:endParaRPr lang="en-FI" sz="1000">
                  <a:solidFill>
                    <a:sysClr val="windowText" lastClr="000000"/>
                  </a:solidFill>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FI"/>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FI"/>
          </a:p>
        </c:txPr>
        <c:crossAx val="53944596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F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IF</c:v>
          </c:tx>
          <c:spPr>
            <a:ln w="25400" cap="rnd">
              <a:noFill/>
              <a:round/>
            </a:ln>
            <a:effectLst/>
          </c:spPr>
          <c:marker>
            <c:symbol val="circle"/>
            <c:size val="5"/>
            <c:spPr>
              <a:solidFill>
                <a:schemeClr val="tx1"/>
              </a:solidFill>
              <a:ln w="9525">
                <a:solidFill>
                  <a:schemeClr val="tx1"/>
                </a:solidFill>
              </a:ln>
              <a:effectLst/>
            </c:spPr>
          </c:marker>
          <c:xVal>
            <c:numRef>
              <c:f>'Nutrient vs C'!$E$3:$E$12</c:f>
              <c:numCache>
                <c:formatCode>General</c:formatCode>
                <c:ptCount val="10"/>
                <c:pt idx="0">
                  <c:v>365.93413999999996</c:v>
                </c:pt>
                <c:pt idx="1">
                  <c:v>138.12972000000002</c:v>
                </c:pt>
                <c:pt idx="2">
                  <c:v>235.83717000000007</c:v>
                </c:pt>
                <c:pt idx="3">
                  <c:v>486.86308000000008</c:v>
                </c:pt>
                <c:pt idx="4">
                  <c:v>314.25796999999994</c:v>
                </c:pt>
                <c:pt idx="5">
                  <c:v>1034.7130062922029</c:v>
                </c:pt>
                <c:pt idx="6">
                  <c:v>1471.6186600000001</c:v>
                </c:pt>
                <c:pt idx="7">
                  <c:v>967.2860374392352</c:v>
                </c:pt>
                <c:pt idx="8">
                  <c:v>804.28077920093085</c:v>
                </c:pt>
                <c:pt idx="9">
                  <c:v>364.74365999999998</c:v>
                </c:pt>
              </c:numCache>
            </c:numRef>
          </c:xVal>
          <c:yVal>
            <c:numRef>
              <c:f>'Nutrient vs C'!$A$3:$A$12</c:f>
              <c:numCache>
                <c:formatCode>0.00</c:formatCode>
                <c:ptCount val="10"/>
                <c:pt idx="0">
                  <c:v>83.378325800000042</c:v>
                </c:pt>
                <c:pt idx="1">
                  <c:v>87.598617960000055</c:v>
                </c:pt>
                <c:pt idx="2">
                  <c:v>131.93349595999976</c:v>
                </c:pt>
                <c:pt idx="3">
                  <c:v>124.4203167200003</c:v>
                </c:pt>
                <c:pt idx="4">
                  <c:v>140.75915952000011</c:v>
                </c:pt>
                <c:pt idx="5">
                  <c:v>40.344025256028637</c:v>
                </c:pt>
                <c:pt idx="6">
                  <c:v>35.676190480000173</c:v>
                </c:pt>
                <c:pt idx="7">
                  <c:v>45.783545033853869</c:v>
                </c:pt>
                <c:pt idx="8">
                  <c:v>35.775526046014903</c:v>
                </c:pt>
                <c:pt idx="9">
                  <c:v>57.050742000000199</c:v>
                </c:pt>
              </c:numCache>
            </c:numRef>
          </c:yVal>
          <c:smooth val="0"/>
          <c:extLst>
            <c:ext xmlns:c16="http://schemas.microsoft.com/office/drawing/2014/chart" uri="{C3380CC4-5D6E-409C-BE32-E72D297353CC}">
              <c16:uniqueId val="{00000000-5ED0-4345-AE81-4D22E43714A4}"/>
            </c:ext>
          </c:extLst>
        </c:ser>
        <c:ser>
          <c:idx val="1"/>
          <c:order val="1"/>
          <c:tx>
            <c:v>FF</c:v>
          </c:tx>
          <c:spPr>
            <a:ln w="25400" cap="rnd">
              <a:noFill/>
              <a:round/>
            </a:ln>
            <a:effectLst/>
          </c:spPr>
          <c:marker>
            <c:symbol val="circle"/>
            <c:size val="5"/>
            <c:spPr>
              <a:noFill/>
              <a:ln w="9525">
                <a:solidFill>
                  <a:schemeClr val="tx1"/>
                </a:solidFill>
              </a:ln>
              <a:effectLst/>
            </c:spPr>
          </c:marker>
          <c:xVal>
            <c:numRef>
              <c:f>'Nutrient vs C'!$E$13:$E$22</c:f>
              <c:numCache>
                <c:formatCode>General</c:formatCode>
                <c:ptCount val="10"/>
                <c:pt idx="0">
                  <c:v>40.009189999999997</c:v>
                </c:pt>
                <c:pt idx="1">
                  <c:v>46.966673746030082</c:v>
                </c:pt>
                <c:pt idx="2">
                  <c:v>32.973030000000001</c:v>
                </c:pt>
                <c:pt idx="3">
                  <c:v>35.582618937383273</c:v>
                </c:pt>
                <c:pt idx="4">
                  <c:v>26.463340000000002</c:v>
                </c:pt>
                <c:pt idx="5">
                  <c:v>33.330830198363962</c:v>
                </c:pt>
                <c:pt idx="6">
                  <c:v>43.507634855507739</c:v>
                </c:pt>
                <c:pt idx="7">
                  <c:v>33.921585397233947</c:v>
                </c:pt>
                <c:pt idx="8">
                  <c:v>44.414643723654009</c:v>
                </c:pt>
                <c:pt idx="9">
                  <c:v>37.959248512105233</c:v>
                </c:pt>
              </c:numCache>
            </c:numRef>
          </c:xVal>
          <c:yVal>
            <c:numRef>
              <c:f>'Nutrient vs C'!$A$13:$A$22</c:f>
              <c:numCache>
                <c:formatCode>General</c:formatCode>
                <c:ptCount val="10"/>
                <c:pt idx="0">
                  <c:v>109.59244547999977</c:v>
                </c:pt>
                <c:pt idx="1">
                  <c:v>13.897572722790414</c:v>
                </c:pt>
                <c:pt idx="2">
                  <c:v>58.295848520000007</c:v>
                </c:pt>
                <c:pt idx="3">
                  <c:v>45.837013506867876</c:v>
                </c:pt>
                <c:pt idx="4">
                  <c:v>63.620298840000245</c:v>
                </c:pt>
                <c:pt idx="5">
                  <c:v>38.619071716381093</c:v>
                </c:pt>
                <c:pt idx="6">
                  <c:v>16.99893904427417</c:v>
                </c:pt>
                <c:pt idx="7">
                  <c:v>37.118537496936554</c:v>
                </c:pt>
                <c:pt idx="8">
                  <c:v>17.276524181225923</c:v>
                </c:pt>
                <c:pt idx="9">
                  <c:v>11.436615923009843</c:v>
                </c:pt>
              </c:numCache>
            </c:numRef>
          </c:yVal>
          <c:smooth val="0"/>
          <c:extLst>
            <c:ext xmlns:c16="http://schemas.microsoft.com/office/drawing/2014/chart" uri="{C3380CC4-5D6E-409C-BE32-E72D297353CC}">
              <c16:uniqueId val="{00000001-5ED0-4345-AE81-4D22E43714A4}"/>
            </c:ext>
          </c:extLst>
        </c:ser>
        <c:ser>
          <c:idx val="2"/>
          <c:order val="2"/>
          <c:tx>
            <c:v>SC</c:v>
          </c:tx>
          <c:spPr>
            <a:ln w="25400" cap="rnd">
              <a:noFill/>
              <a:round/>
            </a:ln>
            <a:effectLst/>
          </c:spPr>
          <c:marker>
            <c:symbol val="circle"/>
            <c:size val="5"/>
            <c:spPr>
              <a:solidFill>
                <a:schemeClr val="accent3"/>
              </a:solidFill>
              <a:ln w="9525">
                <a:solidFill>
                  <a:schemeClr val="tx1"/>
                </a:solidFill>
              </a:ln>
              <a:effectLst/>
            </c:spPr>
          </c:marker>
          <c:xVal>
            <c:numRef>
              <c:f>'Nutrient vs C'!$E$23:$E$32</c:f>
              <c:numCache>
                <c:formatCode>General</c:formatCode>
                <c:ptCount val="10"/>
                <c:pt idx="0">
                  <c:v>52.459090000000003</c:v>
                </c:pt>
                <c:pt idx="1">
                  <c:v>38.871821694065574</c:v>
                </c:pt>
                <c:pt idx="2">
                  <c:v>22.481349999999996</c:v>
                </c:pt>
                <c:pt idx="3">
                  <c:v>35.590208791033888</c:v>
                </c:pt>
                <c:pt idx="4">
                  <c:v>17.572920000000003</c:v>
                </c:pt>
                <c:pt idx="5">
                  <c:v>26.683220000000002</c:v>
                </c:pt>
                <c:pt idx="6">
                  <c:v>16.120699999999999</c:v>
                </c:pt>
                <c:pt idx="7">
                  <c:v>28.884584688356249</c:v>
                </c:pt>
                <c:pt idx="8">
                  <c:v>16.686040000000006</c:v>
                </c:pt>
                <c:pt idx="9">
                  <c:v>17.7376</c:v>
                </c:pt>
              </c:numCache>
            </c:numRef>
          </c:xVal>
          <c:yVal>
            <c:numRef>
              <c:f>'Nutrient vs C'!$A$23:$A$32</c:f>
              <c:numCache>
                <c:formatCode>General</c:formatCode>
                <c:ptCount val="10"/>
                <c:pt idx="0">
                  <c:v>61.219526199999962</c:v>
                </c:pt>
                <c:pt idx="1">
                  <c:v>49.998171367939634</c:v>
                </c:pt>
                <c:pt idx="2">
                  <c:v>55.717532640000606</c:v>
                </c:pt>
                <c:pt idx="3">
                  <c:v>37.88997598545788</c:v>
                </c:pt>
                <c:pt idx="4">
                  <c:v>30.181570159999705</c:v>
                </c:pt>
                <c:pt idx="5">
                  <c:v>38.584555239999553</c:v>
                </c:pt>
                <c:pt idx="6">
                  <c:v>50.611076040000015</c:v>
                </c:pt>
                <c:pt idx="7">
                  <c:v>20.491358050701439</c:v>
                </c:pt>
                <c:pt idx="8">
                  <c:v>30.364715919999909</c:v>
                </c:pt>
                <c:pt idx="9">
                  <c:v>45.504362399999813</c:v>
                </c:pt>
              </c:numCache>
            </c:numRef>
          </c:yVal>
          <c:smooth val="0"/>
          <c:extLst>
            <c:ext xmlns:c16="http://schemas.microsoft.com/office/drawing/2014/chart" uri="{C3380CC4-5D6E-409C-BE32-E72D297353CC}">
              <c16:uniqueId val="{00000002-5ED0-4345-AE81-4D22E43714A4}"/>
            </c:ext>
          </c:extLst>
        </c:ser>
        <c:dLbls>
          <c:showLegendKey val="0"/>
          <c:showVal val="0"/>
          <c:showCatName val="0"/>
          <c:showSerName val="0"/>
          <c:showPercent val="0"/>
          <c:showBubbleSize val="0"/>
        </c:dLbls>
        <c:axId val="505802448"/>
        <c:axId val="505802776"/>
      </c:scatterChart>
      <c:valAx>
        <c:axId val="505802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FI" sz="1000" b="0" i="0" u="none" strike="noStrike" baseline="0">
                    <a:effectLst/>
                  </a:rPr>
                  <a:t>Na </a:t>
                </a:r>
                <a:r>
                  <a:rPr lang="en-US" sz="1000" b="0" i="0" u="none" strike="noStrike" baseline="0">
                    <a:effectLst/>
                  </a:rPr>
                  <a:t>stock</a:t>
                </a:r>
                <a:r>
                  <a:rPr lang="en-FI" sz="1000" b="0" i="0" u="none" strike="noStrike" baseline="0">
                    <a:effectLst/>
                  </a:rPr>
                  <a:t> (Kg/ha)</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FI"/>
          </a:p>
        </c:txPr>
        <c:crossAx val="505802776"/>
        <c:crosses val="autoZero"/>
        <c:crossBetween val="midCat"/>
      </c:valAx>
      <c:valAx>
        <c:axId val="5058027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sz="1000" b="0" i="0" u="none" strike="noStrike" baseline="0">
                  <a:effectLst/>
                </a:endParaRPr>
              </a:p>
              <a:p>
                <a:pPr>
                  <a:defRPr sz="1000" b="0" i="0" u="none" strike="noStrike" kern="1200" baseline="0">
                    <a:solidFill>
                      <a:schemeClr val="tx1">
                        <a:lumMod val="65000"/>
                        <a:lumOff val="35000"/>
                      </a:schemeClr>
                    </a:solidFill>
                    <a:latin typeface="+mn-lt"/>
                    <a:ea typeface="+mn-ea"/>
                    <a:cs typeface="+mn-cs"/>
                  </a:defRPr>
                </a:pPr>
                <a:r>
                  <a:rPr lang="en-FI" sz="1000" b="0" i="0" u="none" strike="noStrike" baseline="0">
                    <a:effectLst/>
                  </a:rPr>
                  <a:t>C </a:t>
                </a:r>
                <a:r>
                  <a:rPr lang="en-US" sz="1000" b="0" i="0" u="none" strike="noStrike" baseline="0">
                    <a:effectLst/>
                  </a:rPr>
                  <a:t>stock</a:t>
                </a:r>
                <a:r>
                  <a:rPr lang="en-FI" sz="1000" b="0" i="0" u="none" strike="noStrike" baseline="0">
                    <a:effectLst/>
                  </a:rPr>
                  <a:t> (Mg/ha)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FI"/>
          </a:p>
        </c:txPr>
        <c:crossAx val="5058024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F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IF</c:v>
          </c:tx>
          <c:spPr>
            <a:ln w="25400" cap="rnd">
              <a:noFill/>
              <a:round/>
            </a:ln>
            <a:effectLst/>
          </c:spPr>
          <c:marker>
            <c:symbol val="circle"/>
            <c:size val="5"/>
            <c:spPr>
              <a:solidFill>
                <a:schemeClr val="tx1"/>
              </a:solidFill>
              <a:ln w="9525">
                <a:solidFill>
                  <a:schemeClr val="tx1"/>
                </a:solidFill>
              </a:ln>
              <a:effectLst/>
            </c:spPr>
          </c:marker>
          <c:xVal>
            <c:numRef>
              <c:f>'Nutrient vs C'!$D$3:$D$12</c:f>
              <c:numCache>
                <c:formatCode>General</c:formatCode>
                <c:ptCount val="10"/>
                <c:pt idx="0">
                  <c:v>1742.6589599999998</c:v>
                </c:pt>
                <c:pt idx="1">
                  <c:v>1195.9329600000001</c:v>
                </c:pt>
                <c:pt idx="2">
                  <c:v>1543.4853600000001</c:v>
                </c:pt>
                <c:pt idx="3">
                  <c:v>2107.3358399999997</c:v>
                </c:pt>
                <c:pt idx="4">
                  <c:v>2097.0451199999998</c:v>
                </c:pt>
                <c:pt idx="5">
                  <c:v>434.26226027831615</c:v>
                </c:pt>
                <c:pt idx="6">
                  <c:v>2132.5339199999999</c:v>
                </c:pt>
                <c:pt idx="7">
                  <c:v>480.17031881822857</c:v>
                </c:pt>
                <c:pt idx="8">
                  <c:v>683.20988152748703</c:v>
                </c:pt>
                <c:pt idx="9">
                  <c:v>1755.1641599999996</c:v>
                </c:pt>
              </c:numCache>
            </c:numRef>
          </c:xVal>
          <c:yVal>
            <c:numRef>
              <c:f>'Nutrient vs C'!$A$3:$A$12</c:f>
              <c:numCache>
                <c:formatCode>0.00</c:formatCode>
                <c:ptCount val="10"/>
                <c:pt idx="0">
                  <c:v>83.378325800000042</c:v>
                </c:pt>
                <c:pt idx="1">
                  <c:v>87.598617960000055</c:v>
                </c:pt>
                <c:pt idx="2">
                  <c:v>131.93349595999976</c:v>
                </c:pt>
                <c:pt idx="3">
                  <c:v>124.4203167200003</c:v>
                </c:pt>
                <c:pt idx="4">
                  <c:v>140.75915952000011</c:v>
                </c:pt>
                <c:pt idx="5">
                  <c:v>40.344025256028637</c:v>
                </c:pt>
                <c:pt idx="6">
                  <c:v>35.676190480000173</c:v>
                </c:pt>
                <c:pt idx="7">
                  <c:v>45.783545033853869</c:v>
                </c:pt>
                <c:pt idx="8">
                  <c:v>35.775526046014903</c:v>
                </c:pt>
                <c:pt idx="9">
                  <c:v>57.050742000000199</c:v>
                </c:pt>
              </c:numCache>
            </c:numRef>
          </c:yVal>
          <c:smooth val="0"/>
          <c:extLst>
            <c:ext xmlns:c16="http://schemas.microsoft.com/office/drawing/2014/chart" uri="{C3380CC4-5D6E-409C-BE32-E72D297353CC}">
              <c16:uniqueId val="{00000000-AF2B-418D-9FAC-42C79CD8BBCA}"/>
            </c:ext>
          </c:extLst>
        </c:ser>
        <c:ser>
          <c:idx val="1"/>
          <c:order val="1"/>
          <c:tx>
            <c:v>FF</c:v>
          </c:tx>
          <c:spPr>
            <a:ln w="25400" cap="rnd">
              <a:noFill/>
              <a:round/>
            </a:ln>
            <a:effectLst/>
          </c:spPr>
          <c:marker>
            <c:symbol val="circle"/>
            <c:size val="5"/>
            <c:spPr>
              <a:noFill/>
              <a:ln w="9525">
                <a:solidFill>
                  <a:schemeClr val="tx1"/>
                </a:solidFill>
              </a:ln>
              <a:effectLst/>
            </c:spPr>
          </c:marker>
          <c:xVal>
            <c:numRef>
              <c:f>'Nutrient vs C'!$D$13:$D$22</c:f>
              <c:numCache>
                <c:formatCode>General</c:formatCode>
                <c:ptCount val="10"/>
                <c:pt idx="0">
                  <c:v>1421.3367999999998</c:v>
                </c:pt>
                <c:pt idx="1">
                  <c:v>2331.9142217217509</c:v>
                </c:pt>
                <c:pt idx="2">
                  <c:v>1834.2467999999999</c:v>
                </c:pt>
                <c:pt idx="3">
                  <c:v>2191.0585622976123</c:v>
                </c:pt>
                <c:pt idx="4">
                  <c:v>2806.5407999999998</c:v>
                </c:pt>
                <c:pt idx="5">
                  <c:v>2083.6150524980949</c:v>
                </c:pt>
                <c:pt idx="6">
                  <c:v>2968.4979412016783</c:v>
                </c:pt>
                <c:pt idx="7">
                  <c:v>2347.2230530264178</c:v>
                </c:pt>
                <c:pt idx="8">
                  <c:v>2006.3254347483974</c:v>
                </c:pt>
                <c:pt idx="9">
                  <c:v>2996.3153473493971</c:v>
                </c:pt>
              </c:numCache>
            </c:numRef>
          </c:xVal>
          <c:yVal>
            <c:numRef>
              <c:f>'Nutrient vs C'!$A$13:$A$22</c:f>
              <c:numCache>
                <c:formatCode>General</c:formatCode>
                <c:ptCount val="10"/>
                <c:pt idx="0">
                  <c:v>109.59244547999977</c:v>
                </c:pt>
                <c:pt idx="1">
                  <c:v>13.897572722790414</c:v>
                </c:pt>
                <c:pt idx="2">
                  <c:v>58.295848520000007</c:v>
                </c:pt>
                <c:pt idx="3">
                  <c:v>45.837013506867876</c:v>
                </c:pt>
                <c:pt idx="4">
                  <c:v>63.620298840000245</c:v>
                </c:pt>
                <c:pt idx="5">
                  <c:v>38.619071716381093</c:v>
                </c:pt>
                <c:pt idx="6">
                  <c:v>16.99893904427417</c:v>
                </c:pt>
                <c:pt idx="7">
                  <c:v>37.118537496936554</c:v>
                </c:pt>
                <c:pt idx="8">
                  <c:v>17.276524181225923</c:v>
                </c:pt>
                <c:pt idx="9">
                  <c:v>11.436615923009843</c:v>
                </c:pt>
              </c:numCache>
            </c:numRef>
          </c:yVal>
          <c:smooth val="0"/>
          <c:extLst>
            <c:ext xmlns:c16="http://schemas.microsoft.com/office/drawing/2014/chart" uri="{C3380CC4-5D6E-409C-BE32-E72D297353CC}">
              <c16:uniqueId val="{00000001-AF2B-418D-9FAC-42C79CD8BBCA}"/>
            </c:ext>
          </c:extLst>
        </c:ser>
        <c:ser>
          <c:idx val="2"/>
          <c:order val="2"/>
          <c:tx>
            <c:v>SC</c:v>
          </c:tx>
          <c:spPr>
            <a:ln w="25400" cap="rnd">
              <a:noFill/>
              <a:round/>
            </a:ln>
            <a:effectLst/>
          </c:spPr>
          <c:marker>
            <c:symbol val="circle"/>
            <c:size val="5"/>
            <c:spPr>
              <a:solidFill>
                <a:schemeClr val="accent3"/>
              </a:solidFill>
              <a:ln w="9525">
                <a:solidFill>
                  <a:schemeClr val="tx1"/>
                </a:solidFill>
              </a:ln>
              <a:effectLst/>
            </c:spPr>
          </c:marker>
          <c:xVal>
            <c:numRef>
              <c:f>'Nutrient vs C'!$D$23:$D$32</c:f>
              <c:numCache>
                <c:formatCode>General</c:formatCode>
                <c:ptCount val="10"/>
                <c:pt idx="0">
                  <c:v>541.40920000000006</c:v>
                </c:pt>
                <c:pt idx="1">
                  <c:v>1604.7300458924167</c:v>
                </c:pt>
                <c:pt idx="2">
                  <c:v>445.48039999999992</c:v>
                </c:pt>
                <c:pt idx="3">
                  <c:v>2484.1586433212015</c:v>
                </c:pt>
                <c:pt idx="4">
                  <c:v>258.19799999999998</c:v>
                </c:pt>
                <c:pt idx="5">
                  <c:v>329.19760000000002</c:v>
                </c:pt>
                <c:pt idx="6">
                  <c:v>719.93320000000006</c:v>
                </c:pt>
                <c:pt idx="7">
                  <c:v>2105.1801594238605</c:v>
                </c:pt>
                <c:pt idx="8">
                  <c:v>97.23520000000002</c:v>
                </c:pt>
                <c:pt idx="9">
                  <c:v>658.87519999999995</c:v>
                </c:pt>
              </c:numCache>
            </c:numRef>
          </c:xVal>
          <c:yVal>
            <c:numRef>
              <c:f>'Nutrient vs C'!$A$23:$A$32</c:f>
              <c:numCache>
                <c:formatCode>General</c:formatCode>
                <c:ptCount val="10"/>
                <c:pt idx="0">
                  <c:v>61.219526199999962</c:v>
                </c:pt>
                <c:pt idx="1">
                  <c:v>49.998171367939634</c:v>
                </c:pt>
                <c:pt idx="2">
                  <c:v>55.717532640000606</c:v>
                </c:pt>
                <c:pt idx="3">
                  <c:v>37.88997598545788</c:v>
                </c:pt>
                <c:pt idx="4">
                  <c:v>30.181570159999705</c:v>
                </c:pt>
                <c:pt idx="5">
                  <c:v>38.584555239999553</c:v>
                </c:pt>
                <c:pt idx="6">
                  <c:v>50.611076040000015</c:v>
                </c:pt>
                <c:pt idx="7">
                  <c:v>20.491358050701439</c:v>
                </c:pt>
                <c:pt idx="8">
                  <c:v>30.364715919999909</c:v>
                </c:pt>
                <c:pt idx="9">
                  <c:v>45.504362399999813</c:v>
                </c:pt>
              </c:numCache>
            </c:numRef>
          </c:yVal>
          <c:smooth val="0"/>
          <c:extLst>
            <c:ext xmlns:c16="http://schemas.microsoft.com/office/drawing/2014/chart" uri="{C3380CC4-5D6E-409C-BE32-E72D297353CC}">
              <c16:uniqueId val="{00000002-AF2B-418D-9FAC-42C79CD8BBCA}"/>
            </c:ext>
          </c:extLst>
        </c:ser>
        <c:dLbls>
          <c:showLegendKey val="0"/>
          <c:showVal val="0"/>
          <c:showCatName val="0"/>
          <c:showSerName val="0"/>
          <c:showPercent val="0"/>
          <c:showBubbleSize val="0"/>
        </c:dLbls>
        <c:axId val="539445632"/>
        <c:axId val="539448912"/>
      </c:scatterChart>
      <c:valAx>
        <c:axId val="539445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FI" sz="1000" b="0" i="0" baseline="0">
                    <a:effectLst/>
                  </a:rPr>
                  <a:t>Mg</a:t>
                </a:r>
                <a:r>
                  <a:rPr lang="en-US" sz="1000" b="0" i="0" baseline="0">
                    <a:effectLst/>
                  </a:rPr>
                  <a:t> stock </a:t>
                </a:r>
                <a:r>
                  <a:rPr lang="en-FI" sz="1000" b="0" i="0" baseline="0">
                    <a:effectLst/>
                  </a:rPr>
                  <a:t>(Kg/ha)</a:t>
                </a:r>
                <a:endParaRPr lang="en-FI" sz="10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crossAx val="539448912"/>
        <c:crosses val="autoZero"/>
        <c:crossBetween val="midCat"/>
      </c:valAx>
      <c:valAx>
        <c:axId val="5394489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FI" sz="1000" b="0" i="0" u="none" strike="noStrike" baseline="0">
                    <a:effectLst/>
                  </a:rPr>
                  <a:t> C </a:t>
                </a:r>
                <a:r>
                  <a:rPr lang="en-US" sz="1000" b="0" i="0" u="none" strike="noStrike" baseline="0">
                    <a:effectLst/>
                  </a:rPr>
                  <a:t>stock</a:t>
                </a:r>
                <a:r>
                  <a:rPr lang="en-FI" sz="1000" b="0" i="0" u="none" strike="noStrike" baseline="0">
                    <a:effectLst/>
                  </a:rPr>
                  <a:t> (Mg/ha)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crossAx val="5394456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F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IF</c:v>
          </c:tx>
          <c:spPr>
            <a:ln w="25400" cap="rnd">
              <a:noFill/>
              <a:round/>
            </a:ln>
            <a:effectLst/>
          </c:spPr>
          <c:marker>
            <c:symbol val="circle"/>
            <c:size val="5"/>
            <c:spPr>
              <a:solidFill>
                <a:schemeClr val="tx1"/>
              </a:solidFill>
              <a:ln w="9525">
                <a:solidFill>
                  <a:schemeClr val="tx1"/>
                </a:solidFill>
              </a:ln>
              <a:effectLst/>
            </c:spPr>
          </c:marker>
          <c:xVal>
            <c:numRef>
              <c:f>'Nutrient vs C'!$G$3:$G$12</c:f>
              <c:numCache>
                <c:formatCode>General</c:formatCode>
                <c:ptCount val="10"/>
                <c:pt idx="0">
                  <c:v>37.495000000000005</c:v>
                </c:pt>
                <c:pt idx="1">
                  <c:v>43.153000000000006</c:v>
                </c:pt>
                <c:pt idx="2">
                  <c:v>44.717000000000006</c:v>
                </c:pt>
                <c:pt idx="3">
                  <c:v>44.874000000000009</c:v>
                </c:pt>
                <c:pt idx="4">
                  <c:v>61.597999999999999</c:v>
                </c:pt>
                <c:pt idx="5">
                  <c:v>63.741410725550551</c:v>
                </c:pt>
                <c:pt idx="6">
                  <c:v>61.300000000000011</c:v>
                </c:pt>
                <c:pt idx="7">
                  <c:v>63.083496816810602</c:v>
                </c:pt>
                <c:pt idx="8">
                  <c:v>67.525973755735862</c:v>
                </c:pt>
                <c:pt idx="9">
                  <c:v>38.850200000000001</c:v>
                </c:pt>
              </c:numCache>
            </c:numRef>
          </c:xVal>
          <c:yVal>
            <c:numRef>
              <c:f>'Nutrient vs C'!$A$3:$A$12</c:f>
              <c:numCache>
                <c:formatCode>0.00</c:formatCode>
                <c:ptCount val="10"/>
                <c:pt idx="0">
                  <c:v>83.378325800000042</c:v>
                </c:pt>
                <c:pt idx="1">
                  <c:v>87.598617960000055</c:v>
                </c:pt>
                <c:pt idx="2">
                  <c:v>131.93349595999976</c:v>
                </c:pt>
                <c:pt idx="3">
                  <c:v>124.4203167200003</c:v>
                </c:pt>
                <c:pt idx="4">
                  <c:v>140.75915952000011</c:v>
                </c:pt>
                <c:pt idx="5">
                  <c:v>40.344025256028637</c:v>
                </c:pt>
                <c:pt idx="6">
                  <c:v>35.676190480000173</c:v>
                </c:pt>
                <c:pt idx="7">
                  <c:v>45.783545033853869</c:v>
                </c:pt>
                <c:pt idx="8">
                  <c:v>35.775526046014903</c:v>
                </c:pt>
                <c:pt idx="9">
                  <c:v>57.050742000000199</c:v>
                </c:pt>
              </c:numCache>
            </c:numRef>
          </c:yVal>
          <c:smooth val="0"/>
          <c:extLst>
            <c:ext xmlns:c16="http://schemas.microsoft.com/office/drawing/2014/chart" uri="{C3380CC4-5D6E-409C-BE32-E72D297353CC}">
              <c16:uniqueId val="{00000000-CBFE-416A-AB9F-62B83D798AA1}"/>
            </c:ext>
          </c:extLst>
        </c:ser>
        <c:ser>
          <c:idx val="1"/>
          <c:order val="1"/>
          <c:tx>
            <c:v>FF</c:v>
          </c:tx>
          <c:spPr>
            <a:ln w="25400" cap="rnd">
              <a:noFill/>
              <a:round/>
            </a:ln>
            <a:effectLst/>
          </c:spPr>
          <c:marker>
            <c:symbol val="circle"/>
            <c:size val="5"/>
            <c:spPr>
              <a:noFill/>
              <a:ln w="9525">
                <a:solidFill>
                  <a:schemeClr val="tx1"/>
                </a:solidFill>
              </a:ln>
              <a:effectLst/>
            </c:spPr>
          </c:marker>
          <c:xVal>
            <c:numRef>
              <c:f>'Nutrient vs C'!$G$13:$G$22</c:f>
              <c:numCache>
                <c:formatCode>General</c:formatCode>
                <c:ptCount val="10"/>
                <c:pt idx="0">
                  <c:v>71.842100000000002</c:v>
                </c:pt>
                <c:pt idx="1">
                  <c:v>70.815491454614715</c:v>
                </c:pt>
                <c:pt idx="2">
                  <c:v>68.820400000000006</c:v>
                </c:pt>
                <c:pt idx="3">
                  <c:v>72.202708760743221</c:v>
                </c:pt>
                <c:pt idx="4">
                  <c:v>73.319400000000002</c:v>
                </c:pt>
                <c:pt idx="5">
                  <c:v>68.112584588486982</c:v>
                </c:pt>
                <c:pt idx="6">
                  <c:v>73.694045701353772</c:v>
                </c:pt>
                <c:pt idx="7">
                  <c:v>72.145223018066133</c:v>
                </c:pt>
                <c:pt idx="8">
                  <c:v>77.569948829771079</c:v>
                </c:pt>
                <c:pt idx="9">
                  <c:v>64.774638521022624</c:v>
                </c:pt>
              </c:numCache>
            </c:numRef>
          </c:xVal>
          <c:yVal>
            <c:numRef>
              <c:f>'Nutrient vs C'!$A$13:$A$22</c:f>
              <c:numCache>
                <c:formatCode>General</c:formatCode>
                <c:ptCount val="10"/>
                <c:pt idx="0">
                  <c:v>109.59244547999977</c:v>
                </c:pt>
                <c:pt idx="1">
                  <c:v>13.897572722790414</c:v>
                </c:pt>
                <c:pt idx="2">
                  <c:v>58.295848520000007</c:v>
                </c:pt>
                <c:pt idx="3">
                  <c:v>45.837013506867876</c:v>
                </c:pt>
                <c:pt idx="4">
                  <c:v>63.620298840000245</c:v>
                </c:pt>
                <c:pt idx="5">
                  <c:v>38.619071716381093</c:v>
                </c:pt>
                <c:pt idx="6">
                  <c:v>16.99893904427417</c:v>
                </c:pt>
                <c:pt idx="7">
                  <c:v>37.118537496936554</c:v>
                </c:pt>
                <c:pt idx="8">
                  <c:v>17.276524181225923</c:v>
                </c:pt>
                <c:pt idx="9">
                  <c:v>11.436615923009843</c:v>
                </c:pt>
              </c:numCache>
            </c:numRef>
          </c:yVal>
          <c:smooth val="0"/>
          <c:extLst>
            <c:ext xmlns:c16="http://schemas.microsoft.com/office/drawing/2014/chart" uri="{C3380CC4-5D6E-409C-BE32-E72D297353CC}">
              <c16:uniqueId val="{00000001-CBFE-416A-AB9F-62B83D798AA1}"/>
            </c:ext>
          </c:extLst>
        </c:ser>
        <c:ser>
          <c:idx val="2"/>
          <c:order val="2"/>
          <c:tx>
            <c:v>SC</c:v>
          </c:tx>
          <c:spPr>
            <a:ln w="25400" cap="rnd">
              <a:noFill/>
              <a:round/>
            </a:ln>
            <a:effectLst/>
          </c:spPr>
          <c:marker>
            <c:symbol val="circle"/>
            <c:size val="5"/>
            <c:spPr>
              <a:solidFill>
                <a:schemeClr val="accent3"/>
              </a:solidFill>
              <a:ln w="9525">
                <a:solidFill>
                  <a:schemeClr val="tx1"/>
                </a:solidFill>
              </a:ln>
              <a:effectLst/>
            </c:spPr>
          </c:marker>
          <c:xVal>
            <c:numRef>
              <c:f>'Nutrient vs C'!$G$23:$G$32</c:f>
              <c:numCache>
                <c:formatCode>General</c:formatCode>
                <c:ptCount val="10"/>
                <c:pt idx="0">
                  <c:v>64.707000000000008</c:v>
                </c:pt>
                <c:pt idx="1">
                  <c:v>66.61731484594165</c:v>
                </c:pt>
                <c:pt idx="2">
                  <c:v>56.231999999999999</c:v>
                </c:pt>
                <c:pt idx="3">
                  <c:v>58.022590069346506</c:v>
                </c:pt>
                <c:pt idx="4">
                  <c:v>38.202000000000005</c:v>
                </c:pt>
                <c:pt idx="5">
                  <c:v>39.022999999999996</c:v>
                </c:pt>
                <c:pt idx="6">
                  <c:v>56.013000000000005</c:v>
                </c:pt>
                <c:pt idx="7">
                  <c:v>71.459143895834927</c:v>
                </c:pt>
                <c:pt idx="8">
                  <c:v>59.945000000000014</c:v>
                </c:pt>
                <c:pt idx="9">
                  <c:v>52.314999999999998</c:v>
                </c:pt>
              </c:numCache>
            </c:numRef>
          </c:xVal>
          <c:yVal>
            <c:numRef>
              <c:f>'Nutrient vs C'!$A$23:$A$32</c:f>
              <c:numCache>
                <c:formatCode>General</c:formatCode>
                <c:ptCount val="10"/>
                <c:pt idx="0">
                  <c:v>61.219526199999962</c:v>
                </c:pt>
                <c:pt idx="1">
                  <c:v>49.998171367939634</c:v>
                </c:pt>
                <c:pt idx="2">
                  <c:v>55.717532640000606</c:v>
                </c:pt>
                <c:pt idx="3">
                  <c:v>37.88997598545788</c:v>
                </c:pt>
                <c:pt idx="4">
                  <c:v>30.181570159999705</c:v>
                </c:pt>
                <c:pt idx="5">
                  <c:v>38.584555239999553</c:v>
                </c:pt>
                <c:pt idx="6">
                  <c:v>50.611076040000015</c:v>
                </c:pt>
                <c:pt idx="7">
                  <c:v>20.491358050701439</c:v>
                </c:pt>
                <c:pt idx="8">
                  <c:v>30.364715919999909</c:v>
                </c:pt>
                <c:pt idx="9">
                  <c:v>45.504362399999813</c:v>
                </c:pt>
              </c:numCache>
            </c:numRef>
          </c:yVal>
          <c:smooth val="0"/>
          <c:extLst>
            <c:ext xmlns:c16="http://schemas.microsoft.com/office/drawing/2014/chart" uri="{C3380CC4-5D6E-409C-BE32-E72D297353CC}">
              <c16:uniqueId val="{00000002-CBFE-416A-AB9F-62B83D798AA1}"/>
            </c:ext>
          </c:extLst>
        </c:ser>
        <c:dLbls>
          <c:showLegendKey val="0"/>
          <c:showVal val="0"/>
          <c:showCatName val="0"/>
          <c:showSerName val="0"/>
          <c:showPercent val="0"/>
          <c:showBubbleSize val="0"/>
        </c:dLbls>
        <c:axId val="581778864"/>
        <c:axId val="581784440"/>
      </c:scatterChart>
      <c:valAx>
        <c:axId val="581778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S stock</a:t>
                </a:r>
                <a:r>
                  <a:rPr lang="en-FI" sz="1000" b="0" i="0" u="none" strike="noStrike" baseline="0">
                    <a:effectLst/>
                  </a:rPr>
                  <a:t> (</a:t>
                </a:r>
                <a:r>
                  <a:rPr lang="en-US" sz="1000" b="0" i="0" u="none" strike="noStrike" baseline="0">
                    <a:effectLst/>
                  </a:rPr>
                  <a:t>K</a:t>
                </a:r>
                <a:r>
                  <a:rPr lang="en-FI" sz="1000" b="0" i="0" u="none" strike="noStrike" baseline="0">
                    <a:effectLst/>
                  </a:rPr>
                  <a:t>g/ha)</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crossAx val="581784440"/>
        <c:crosses val="autoZero"/>
        <c:crossBetween val="midCat"/>
      </c:valAx>
      <c:valAx>
        <c:axId val="5817844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C stock</a:t>
                </a:r>
                <a:r>
                  <a:rPr lang="en-FI" sz="1000" b="0" i="0" u="none" strike="noStrike" baseline="0">
                    <a:effectLst/>
                  </a:rPr>
                  <a:t> (Mg/ha)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crossAx val="5817788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F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IF</c:v>
          </c:tx>
          <c:spPr>
            <a:ln w="25400" cap="rnd">
              <a:noFill/>
              <a:round/>
            </a:ln>
            <a:effectLst/>
          </c:spPr>
          <c:marker>
            <c:symbol val="circle"/>
            <c:size val="5"/>
            <c:spPr>
              <a:solidFill>
                <a:schemeClr val="tx1"/>
              </a:solidFill>
              <a:ln w="9525">
                <a:noFill/>
              </a:ln>
              <a:effectLst/>
            </c:spPr>
          </c:marker>
          <c:xVal>
            <c:numRef>
              <c:f>'Nutrient vs diversity'!$B$3:$B$12</c:f>
              <c:numCache>
                <c:formatCode>General</c:formatCode>
                <c:ptCount val="10"/>
                <c:pt idx="0">
                  <c:v>4.1382300000000001</c:v>
                </c:pt>
                <c:pt idx="1">
                  <c:v>3.825190000000001</c:v>
                </c:pt>
                <c:pt idx="2">
                  <c:v>3.7176700000000005</c:v>
                </c:pt>
                <c:pt idx="3">
                  <c:v>5.3782800000000002</c:v>
                </c:pt>
                <c:pt idx="4">
                  <c:v>4.7657699999999998</c:v>
                </c:pt>
                <c:pt idx="5" formatCode="0.00">
                  <c:v>4.0204715707562677</c:v>
                </c:pt>
                <c:pt idx="6">
                  <c:v>5.1123600000000007</c:v>
                </c:pt>
                <c:pt idx="7">
                  <c:v>4.605786397650915</c:v>
                </c:pt>
                <c:pt idx="8">
                  <c:v>3.4036083486031545</c:v>
                </c:pt>
                <c:pt idx="9">
                  <c:v>4.1427000000000005</c:v>
                </c:pt>
              </c:numCache>
            </c:numRef>
          </c:xVal>
          <c:yVal>
            <c:numRef>
              <c:f>'Nutrient vs diversity'!$A$3:$A$12</c:f>
              <c:numCache>
                <c:formatCode>0.00</c:formatCode>
                <c:ptCount val="10"/>
                <c:pt idx="0">
                  <c:v>2.06</c:v>
                </c:pt>
                <c:pt idx="1">
                  <c:v>1.08</c:v>
                </c:pt>
                <c:pt idx="2">
                  <c:v>2.23</c:v>
                </c:pt>
                <c:pt idx="3">
                  <c:v>2.4900000000000002</c:v>
                </c:pt>
                <c:pt idx="4">
                  <c:v>2.4700000000000002</c:v>
                </c:pt>
                <c:pt idx="5">
                  <c:v>2.58</c:v>
                </c:pt>
                <c:pt idx="6">
                  <c:v>1.43</c:v>
                </c:pt>
                <c:pt idx="7">
                  <c:v>2.39</c:v>
                </c:pt>
                <c:pt idx="8">
                  <c:v>2.77</c:v>
                </c:pt>
                <c:pt idx="9">
                  <c:v>2.2000000000000002</c:v>
                </c:pt>
              </c:numCache>
            </c:numRef>
          </c:yVal>
          <c:smooth val="0"/>
          <c:extLst>
            <c:ext xmlns:c16="http://schemas.microsoft.com/office/drawing/2014/chart" uri="{C3380CC4-5D6E-409C-BE32-E72D297353CC}">
              <c16:uniqueId val="{00000000-4FBE-46CA-B210-BB3C52AD8457}"/>
            </c:ext>
          </c:extLst>
        </c:ser>
        <c:ser>
          <c:idx val="1"/>
          <c:order val="1"/>
          <c:tx>
            <c:v>FF</c:v>
          </c:tx>
          <c:spPr>
            <a:ln w="25400" cap="rnd">
              <a:noFill/>
              <a:round/>
            </a:ln>
            <a:effectLst/>
          </c:spPr>
          <c:marker>
            <c:symbol val="circle"/>
            <c:size val="5"/>
            <c:spPr>
              <a:noFill/>
              <a:ln w="9525">
                <a:solidFill>
                  <a:schemeClr val="tx1"/>
                </a:solidFill>
              </a:ln>
              <a:effectLst/>
            </c:spPr>
          </c:marker>
          <c:xVal>
            <c:numRef>
              <c:f>'Nutrient vs diversity'!$B$13:$B$22</c:f>
              <c:numCache>
                <c:formatCode>General</c:formatCode>
                <c:ptCount val="10"/>
                <c:pt idx="0">
                  <c:v>1.89638</c:v>
                </c:pt>
                <c:pt idx="1">
                  <c:v>1.3883564998787432</c:v>
                </c:pt>
                <c:pt idx="2">
                  <c:v>3.0163900000000003</c:v>
                </c:pt>
                <c:pt idx="3">
                  <c:v>4.656359076248906</c:v>
                </c:pt>
                <c:pt idx="4">
                  <c:v>3.2897800000000004</c:v>
                </c:pt>
                <c:pt idx="5">
                  <c:v>3.9024181287475894</c:v>
                </c:pt>
                <c:pt idx="6">
                  <c:v>1.8544282595076143</c:v>
                </c:pt>
                <c:pt idx="7">
                  <c:v>3.7660886873857233</c:v>
                </c:pt>
                <c:pt idx="8">
                  <c:v>1.785013861657593</c:v>
                </c:pt>
                <c:pt idx="9">
                  <c:v>1.2043207423371749</c:v>
                </c:pt>
              </c:numCache>
            </c:numRef>
          </c:xVal>
          <c:yVal>
            <c:numRef>
              <c:f>'Nutrient vs diversity'!$A$13:$A$22</c:f>
              <c:numCache>
                <c:formatCode>General</c:formatCode>
                <c:ptCount val="10"/>
                <c:pt idx="0">
                  <c:v>2.42</c:v>
                </c:pt>
                <c:pt idx="1">
                  <c:v>2.16</c:v>
                </c:pt>
                <c:pt idx="2">
                  <c:v>2.37</c:v>
                </c:pt>
                <c:pt idx="3">
                  <c:v>2.48</c:v>
                </c:pt>
                <c:pt idx="4">
                  <c:v>2.57</c:v>
                </c:pt>
                <c:pt idx="5">
                  <c:v>2.23</c:v>
                </c:pt>
                <c:pt idx="6">
                  <c:v>2.5499999999999998</c:v>
                </c:pt>
                <c:pt idx="7">
                  <c:v>1.33</c:v>
                </c:pt>
                <c:pt idx="8">
                  <c:v>0.5</c:v>
                </c:pt>
                <c:pt idx="9">
                  <c:v>0.69</c:v>
                </c:pt>
              </c:numCache>
            </c:numRef>
          </c:yVal>
          <c:smooth val="0"/>
          <c:extLst>
            <c:ext xmlns:c16="http://schemas.microsoft.com/office/drawing/2014/chart" uri="{C3380CC4-5D6E-409C-BE32-E72D297353CC}">
              <c16:uniqueId val="{00000001-4FBE-46CA-B210-BB3C52AD8457}"/>
            </c:ext>
          </c:extLst>
        </c:ser>
        <c:ser>
          <c:idx val="2"/>
          <c:order val="2"/>
          <c:tx>
            <c:v>SC</c:v>
          </c:tx>
          <c:spPr>
            <a:ln w="25400" cap="rnd">
              <a:noFill/>
              <a:round/>
            </a:ln>
            <a:effectLst/>
          </c:spPr>
          <c:marker>
            <c:symbol val="circle"/>
            <c:size val="5"/>
            <c:spPr>
              <a:solidFill>
                <a:schemeClr val="accent3"/>
              </a:solidFill>
              <a:ln w="9525">
                <a:solidFill>
                  <a:schemeClr val="tx1"/>
                </a:solidFill>
              </a:ln>
              <a:effectLst/>
            </c:spPr>
          </c:marker>
          <c:xVal>
            <c:numRef>
              <c:f>'Nutrient vs diversity'!$B$23:$B$32</c:f>
              <c:numCache>
                <c:formatCode>General</c:formatCode>
                <c:ptCount val="10"/>
                <c:pt idx="0">
                  <c:v>6.9983400000000007</c:v>
                </c:pt>
                <c:pt idx="1">
                  <c:v>4.354463566826098</c:v>
                </c:pt>
                <c:pt idx="2">
                  <c:v>5.4307099999999995</c:v>
                </c:pt>
                <c:pt idx="3">
                  <c:v>3.7627041567920845</c:v>
                </c:pt>
                <c:pt idx="4">
                  <c:v>5.1900500000000012</c:v>
                </c:pt>
                <c:pt idx="5">
                  <c:v>3.6324900000000002</c:v>
                </c:pt>
                <c:pt idx="6">
                  <c:v>4.4368800000000004</c:v>
                </c:pt>
                <c:pt idx="7">
                  <c:v>2.1050849851591766</c:v>
                </c:pt>
                <c:pt idx="8">
                  <c:v>4.3796100000000013</c:v>
                </c:pt>
                <c:pt idx="9">
                  <c:v>3.6092199999999997</c:v>
                </c:pt>
              </c:numCache>
            </c:numRef>
          </c:xVal>
          <c:yVal>
            <c:numRef>
              <c:f>'Nutrient vs diversity'!$A$23:$A$32</c:f>
              <c:numCache>
                <c:formatCode>General</c:formatCode>
                <c:ptCount val="10"/>
                <c:pt idx="0">
                  <c:v>0.5</c:v>
                </c:pt>
                <c:pt idx="1">
                  <c:v>0.56000000000000005</c:v>
                </c:pt>
                <c:pt idx="2">
                  <c:v>0.5</c:v>
                </c:pt>
                <c:pt idx="3">
                  <c:v>0.5</c:v>
                </c:pt>
                <c:pt idx="4">
                  <c:v>0.95</c:v>
                </c:pt>
                <c:pt idx="5">
                  <c:v>1.28</c:v>
                </c:pt>
                <c:pt idx="6">
                  <c:v>1.33</c:v>
                </c:pt>
                <c:pt idx="7">
                  <c:v>0.87</c:v>
                </c:pt>
                <c:pt idx="8">
                  <c:v>0.64</c:v>
                </c:pt>
                <c:pt idx="9">
                  <c:v>1.75</c:v>
                </c:pt>
              </c:numCache>
            </c:numRef>
          </c:yVal>
          <c:smooth val="0"/>
          <c:extLst>
            <c:ext xmlns:c16="http://schemas.microsoft.com/office/drawing/2014/chart" uri="{C3380CC4-5D6E-409C-BE32-E72D297353CC}">
              <c16:uniqueId val="{00000002-4FBE-46CA-B210-BB3C52AD8457}"/>
            </c:ext>
          </c:extLst>
        </c:ser>
        <c:dLbls>
          <c:showLegendKey val="0"/>
          <c:showVal val="0"/>
          <c:showCatName val="0"/>
          <c:showSerName val="0"/>
          <c:showPercent val="0"/>
          <c:showBubbleSize val="0"/>
        </c:dLbls>
        <c:axId val="505774568"/>
        <c:axId val="505774896"/>
      </c:scatterChart>
      <c:valAx>
        <c:axId val="50577456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 stock </a:t>
                </a:r>
                <a:r>
                  <a:rPr lang="en-FI">
                    <a:solidFill>
                      <a:sysClr val="windowText" lastClr="000000"/>
                    </a:solidFill>
                  </a:rPr>
                  <a:t>(Mg/ha)</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FI"/>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FI"/>
          </a:p>
        </c:txPr>
        <c:crossAx val="505774896"/>
        <c:crosses val="autoZero"/>
        <c:crossBetween val="midCat"/>
      </c:valAx>
      <c:valAx>
        <c:axId val="50577489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x-none" sz="1000" b="0" i="0" u="none" strike="noStrike" baseline="0">
                    <a:effectLst/>
                  </a:rPr>
                  <a:t>Shannon–Weiner</a:t>
                </a:r>
                <a:r>
                  <a:rPr lang="en-US" sz="1000" b="0" i="0" u="none" strike="noStrike" baseline="0">
                    <a:effectLst/>
                  </a:rPr>
                  <a:t> index</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FI"/>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FI"/>
          </a:p>
        </c:txPr>
        <c:crossAx val="5057745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F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IF</c:v>
          </c:tx>
          <c:spPr>
            <a:ln w="25400" cap="rnd">
              <a:noFill/>
              <a:round/>
            </a:ln>
            <a:effectLst/>
          </c:spPr>
          <c:marker>
            <c:symbol val="circle"/>
            <c:size val="5"/>
            <c:spPr>
              <a:solidFill>
                <a:schemeClr val="tx1"/>
              </a:solidFill>
              <a:ln w="9525">
                <a:solidFill>
                  <a:schemeClr val="tx1"/>
                </a:solidFill>
              </a:ln>
              <a:effectLst/>
            </c:spPr>
          </c:marker>
          <c:xVal>
            <c:numRef>
              <c:f>'Nutrient vs diversity'!$F$3:$F$12</c:f>
              <c:numCache>
                <c:formatCode>General</c:formatCode>
                <c:ptCount val="10"/>
                <c:pt idx="0">
                  <c:v>35.074543106231843</c:v>
                </c:pt>
                <c:pt idx="1">
                  <c:v>28.058853729415567</c:v>
                </c:pt>
                <c:pt idx="2">
                  <c:v>33.429350984824026</c:v>
                </c:pt>
                <c:pt idx="3">
                  <c:v>57.070029060381017</c:v>
                </c:pt>
                <c:pt idx="4">
                  <c:v>45.879799806264131</c:v>
                </c:pt>
                <c:pt idx="5">
                  <c:v>44.380038975430963</c:v>
                </c:pt>
                <c:pt idx="6">
                  <c:v>57.23618986115595</c:v>
                </c:pt>
                <c:pt idx="7">
                  <c:v>45.498879091159459</c:v>
                </c:pt>
                <c:pt idx="8">
                  <c:v>48.193836068654782</c:v>
                </c:pt>
                <c:pt idx="9">
                  <c:v>22.299640297061671</c:v>
                </c:pt>
              </c:numCache>
            </c:numRef>
          </c:xVal>
          <c:yVal>
            <c:numRef>
              <c:f>'Nutrient vs diversity'!$A$3:$A$12</c:f>
              <c:numCache>
                <c:formatCode>0.00</c:formatCode>
                <c:ptCount val="10"/>
                <c:pt idx="0">
                  <c:v>2.06</c:v>
                </c:pt>
                <c:pt idx="1">
                  <c:v>1.08</c:v>
                </c:pt>
                <c:pt idx="2">
                  <c:v>2.23</c:v>
                </c:pt>
                <c:pt idx="3">
                  <c:v>2.4900000000000002</c:v>
                </c:pt>
                <c:pt idx="4">
                  <c:v>2.4700000000000002</c:v>
                </c:pt>
                <c:pt idx="5">
                  <c:v>2.58</c:v>
                </c:pt>
                <c:pt idx="6">
                  <c:v>1.43</c:v>
                </c:pt>
                <c:pt idx="7">
                  <c:v>2.39</c:v>
                </c:pt>
                <c:pt idx="8">
                  <c:v>2.77</c:v>
                </c:pt>
                <c:pt idx="9">
                  <c:v>2.2000000000000002</c:v>
                </c:pt>
              </c:numCache>
            </c:numRef>
          </c:yVal>
          <c:smooth val="0"/>
          <c:extLst>
            <c:ext xmlns:c16="http://schemas.microsoft.com/office/drawing/2014/chart" uri="{C3380CC4-5D6E-409C-BE32-E72D297353CC}">
              <c16:uniqueId val="{00000000-455C-4551-973B-E136E57606A1}"/>
            </c:ext>
          </c:extLst>
        </c:ser>
        <c:ser>
          <c:idx val="1"/>
          <c:order val="1"/>
          <c:tx>
            <c:v>FF</c:v>
          </c:tx>
          <c:spPr>
            <a:ln w="25400" cap="rnd">
              <a:noFill/>
              <a:round/>
            </a:ln>
            <a:effectLst/>
          </c:spPr>
          <c:marker>
            <c:symbol val="circle"/>
            <c:size val="5"/>
            <c:spPr>
              <a:noFill/>
              <a:ln w="9525">
                <a:solidFill>
                  <a:schemeClr val="tx1"/>
                </a:solidFill>
              </a:ln>
              <a:effectLst/>
            </c:spPr>
          </c:marker>
          <c:xVal>
            <c:numRef>
              <c:f>'Nutrient vs diversity'!$F$13:$F$22</c:f>
              <c:numCache>
                <c:formatCode>General</c:formatCode>
                <c:ptCount val="10"/>
                <c:pt idx="0">
                  <c:v>59.825896028414604</c:v>
                </c:pt>
                <c:pt idx="1">
                  <c:v>55.824616978706111</c:v>
                </c:pt>
                <c:pt idx="2">
                  <c:v>52.976067161769464</c:v>
                </c:pt>
                <c:pt idx="3">
                  <c:v>45.22383257081141</c:v>
                </c:pt>
                <c:pt idx="4">
                  <c:v>57.393141750080723</c:v>
                </c:pt>
                <c:pt idx="5">
                  <c:v>47.44336475076998</c:v>
                </c:pt>
                <c:pt idx="6">
                  <c:v>79.952313154482724</c:v>
                </c:pt>
                <c:pt idx="7">
                  <c:v>49.117204786242695</c:v>
                </c:pt>
                <c:pt idx="8">
                  <c:v>64.591850297115627</c:v>
                </c:pt>
                <c:pt idx="9">
                  <c:v>72.358713428060298</c:v>
                </c:pt>
              </c:numCache>
            </c:numRef>
          </c:xVal>
          <c:yVal>
            <c:numRef>
              <c:f>'Nutrient vs diversity'!$A$13:$A$22</c:f>
              <c:numCache>
                <c:formatCode>General</c:formatCode>
                <c:ptCount val="10"/>
                <c:pt idx="0">
                  <c:v>2.42</c:v>
                </c:pt>
                <c:pt idx="1">
                  <c:v>2.16</c:v>
                </c:pt>
                <c:pt idx="2">
                  <c:v>2.37</c:v>
                </c:pt>
                <c:pt idx="3">
                  <c:v>2.48</c:v>
                </c:pt>
                <c:pt idx="4">
                  <c:v>2.57</c:v>
                </c:pt>
                <c:pt idx="5">
                  <c:v>2.23</c:v>
                </c:pt>
                <c:pt idx="6">
                  <c:v>2.5499999999999998</c:v>
                </c:pt>
                <c:pt idx="7">
                  <c:v>1.33</c:v>
                </c:pt>
                <c:pt idx="8">
                  <c:v>0.5</c:v>
                </c:pt>
                <c:pt idx="9">
                  <c:v>0.69</c:v>
                </c:pt>
              </c:numCache>
            </c:numRef>
          </c:yVal>
          <c:smooth val="0"/>
          <c:extLst>
            <c:ext xmlns:c16="http://schemas.microsoft.com/office/drawing/2014/chart" uri="{C3380CC4-5D6E-409C-BE32-E72D297353CC}">
              <c16:uniqueId val="{00000001-455C-4551-973B-E136E57606A1}"/>
            </c:ext>
          </c:extLst>
        </c:ser>
        <c:ser>
          <c:idx val="2"/>
          <c:order val="2"/>
          <c:tx>
            <c:v>SC</c:v>
          </c:tx>
          <c:spPr>
            <a:ln w="25400" cap="rnd">
              <a:noFill/>
              <a:round/>
            </a:ln>
            <a:effectLst/>
          </c:spPr>
          <c:marker>
            <c:symbol val="circle"/>
            <c:size val="5"/>
            <c:spPr>
              <a:solidFill>
                <a:schemeClr val="accent3"/>
              </a:solidFill>
              <a:ln w="9525">
                <a:solidFill>
                  <a:schemeClr val="tx1"/>
                </a:solidFill>
              </a:ln>
              <a:effectLst/>
            </c:spPr>
          </c:marker>
          <c:xVal>
            <c:numRef>
              <c:f>'Nutrient vs diversity'!$F$23:$F$32</c:f>
              <c:numCache>
                <c:formatCode>General</c:formatCode>
                <c:ptCount val="10"/>
                <c:pt idx="0">
                  <c:v>40.941721020342271</c:v>
                </c:pt>
                <c:pt idx="1">
                  <c:v>56.507554068789588</c:v>
                </c:pt>
                <c:pt idx="2">
                  <c:v>40.79798191798514</c:v>
                </c:pt>
                <c:pt idx="3">
                  <c:v>51.740492851403374</c:v>
                </c:pt>
                <c:pt idx="4">
                  <c:v>45.912331288343566</c:v>
                </c:pt>
                <c:pt idx="5">
                  <c:v>33.905211494995157</c:v>
                </c:pt>
                <c:pt idx="6">
                  <c:v>39.032173070713597</c:v>
                </c:pt>
                <c:pt idx="7">
                  <c:v>136.41702096886573</c:v>
                </c:pt>
                <c:pt idx="8">
                  <c:v>32.752395866968044</c:v>
                </c:pt>
                <c:pt idx="9">
                  <c:v>46.222331288343554</c:v>
                </c:pt>
              </c:numCache>
            </c:numRef>
          </c:xVal>
          <c:yVal>
            <c:numRef>
              <c:f>'Nutrient vs diversity'!$A$23:$A$32</c:f>
              <c:numCache>
                <c:formatCode>General</c:formatCode>
                <c:ptCount val="10"/>
                <c:pt idx="0">
                  <c:v>0.5</c:v>
                </c:pt>
                <c:pt idx="1">
                  <c:v>0.56000000000000005</c:v>
                </c:pt>
                <c:pt idx="2">
                  <c:v>0.5</c:v>
                </c:pt>
                <c:pt idx="3">
                  <c:v>0.5</c:v>
                </c:pt>
                <c:pt idx="4">
                  <c:v>0.95</c:v>
                </c:pt>
                <c:pt idx="5">
                  <c:v>1.28</c:v>
                </c:pt>
                <c:pt idx="6">
                  <c:v>1.33</c:v>
                </c:pt>
                <c:pt idx="7">
                  <c:v>0.87</c:v>
                </c:pt>
                <c:pt idx="8">
                  <c:v>0.64</c:v>
                </c:pt>
                <c:pt idx="9">
                  <c:v>1.75</c:v>
                </c:pt>
              </c:numCache>
            </c:numRef>
          </c:yVal>
          <c:smooth val="0"/>
          <c:extLst>
            <c:ext xmlns:c16="http://schemas.microsoft.com/office/drawing/2014/chart" uri="{C3380CC4-5D6E-409C-BE32-E72D297353CC}">
              <c16:uniqueId val="{00000002-455C-4551-973B-E136E57606A1}"/>
            </c:ext>
          </c:extLst>
        </c:ser>
        <c:dLbls>
          <c:showLegendKey val="0"/>
          <c:showVal val="0"/>
          <c:showCatName val="0"/>
          <c:showSerName val="0"/>
          <c:showPercent val="0"/>
          <c:showBubbleSize val="0"/>
        </c:dLbls>
        <c:axId val="541817576"/>
        <c:axId val="541819872"/>
      </c:scatterChart>
      <c:valAx>
        <c:axId val="541817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FI" sz="1000" b="0" i="0" u="none" strike="noStrike" baseline="0">
                    <a:effectLst/>
                  </a:rPr>
                  <a:t>P </a:t>
                </a:r>
                <a:r>
                  <a:rPr lang="en-US" sz="1000" b="0" i="0" u="none" strike="noStrike" baseline="0">
                    <a:effectLst/>
                  </a:rPr>
                  <a:t>stock</a:t>
                </a:r>
                <a:r>
                  <a:rPr lang="en-FI" sz="1000" b="0" i="0" u="none" strike="noStrike" baseline="0">
                    <a:effectLst/>
                  </a:rPr>
                  <a:t> (Kg/ha)</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FI"/>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crossAx val="541819872"/>
        <c:crosses val="autoZero"/>
        <c:crossBetween val="midCat"/>
      </c:valAx>
      <c:valAx>
        <c:axId val="541819872"/>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FI" sz="1000" b="0" i="0" u="none" strike="noStrike" baseline="0">
                    <a:solidFill>
                      <a:sysClr val="windowText" lastClr="000000"/>
                    </a:solidFill>
                    <a:effectLst/>
                  </a:rPr>
                  <a:t>C </a:t>
                </a:r>
                <a:r>
                  <a:rPr lang="x-none" sz="1000" b="0" i="0" baseline="0">
                    <a:solidFill>
                      <a:sysClr val="windowText" lastClr="000000"/>
                    </a:solidFill>
                    <a:effectLst/>
                  </a:rPr>
                  <a:t>Shannon–Weiner</a:t>
                </a:r>
                <a:r>
                  <a:rPr lang="en-US" sz="1000" b="0" i="0" baseline="0">
                    <a:solidFill>
                      <a:sysClr val="windowText" lastClr="000000"/>
                    </a:solidFill>
                    <a:effectLst/>
                  </a:rPr>
                  <a:t> index</a:t>
                </a:r>
                <a:endParaRPr lang="en-FI" sz="1000">
                  <a:solidFill>
                    <a:sysClr val="windowText" lastClr="000000"/>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endParaRPr lang="en-US" sz="1000">
                  <a:solidFill>
                    <a:sysClr val="windowText" lastClr="000000"/>
                  </a:solidFill>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endParaRPr lang="en-FI"/>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crossAx val="5418175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F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IF</c:v>
          </c:tx>
          <c:spPr>
            <a:ln w="25400" cap="rnd">
              <a:noFill/>
              <a:round/>
            </a:ln>
            <a:effectLst/>
          </c:spPr>
          <c:marker>
            <c:symbol val="circle"/>
            <c:size val="5"/>
            <c:spPr>
              <a:solidFill>
                <a:schemeClr val="tx1"/>
              </a:solidFill>
              <a:ln w="9525">
                <a:solidFill>
                  <a:schemeClr val="tx1"/>
                </a:solidFill>
              </a:ln>
              <a:effectLst/>
            </c:spPr>
          </c:marker>
          <c:xVal>
            <c:numRef>
              <c:f>'Nutrient vs diversity'!$C$3:$C$12</c:f>
              <c:numCache>
                <c:formatCode>General</c:formatCode>
                <c:ptCount val="10"/>
                <c:pt idx="0">
                  <c:v>224.38727999999998</c:v>
                </c:pt>
                <c:pt idx="1">
                  <c:v>205.44497999999999</c:v>
                </c:pt>
                <c:pt idx="2">
                  <c:v>285.85556999999994</c:v>
                </c:pt>
                <c:pt idx="3">
                  <c:v>315.43434000000002</c:v>
                </c:pt>
                <c:pt idx="4">
                  <c:v>417.16544999999996</c:v>
                </c:pt>
                <c:pt idx="5">
                  <c:v>233.53345947239725</c:v>
                </c:pt>
                <c:pt idx="6">
                  <c:v>472.47251999999997</c:v>
                </c:pt>
                <c:pt idx="7">
                  <c:v>253.90367487272226</c:v>
                </c:pt>
                <c:pt idx="8">
                  <c:v>228.70071497011133</c:v>
                </c:pt>
                <c:pt idx="9">
                  <c:v>284.29751999999996</c:v>
                </c:pt>
              </c:numCache>
            </c:numRef>
          </c:xVal>
          <c:yVal>
            <c:numRef>
              <c:f>'Nutrient vs diversity'!$A$3:$A$12</c:f>
              <c:numCache>
                <c:formatCode>0.00</c:formatCode>
                <c:ptCount val="10"/>
                <c:pt idx="0">
                  <c:v>2.06</c:v>
                </c:pt>
                <c:pt idx="1">
                  <c:v>1.08</c:v>
                </c:pt>
                <c:pt idx="2">
                  <c:v>2.23</c:v>
                </c:pt>
                <c:pt idx="3">
                  <c:v>2.4900000000000002</c:v>
                </c:pt>
                <c:pt idx="4">
                  <c:v>2.4700000000000002</c:v>
                </c:pt>
                <c:pt idx="5">
                  <c:v>2.58</c:v>
                </c:pt>
                <c:pt idx="6">
                  <c:v>1.43</c:v>
                </c:pt>
                <c:pt idx="7">
                  <c:v>2.39</c:v>
                </c:pt>
                <c:pt idx="8">
                  <c:v>2.77</c:v>
                </c:pt>
                <c:pt idx="9">
                  <c:v>2.2000000000000002</c:v>
                </c:pt>
              </c:numCache>
            </c:numRef>
          </c:yVal>
          <c:smooth val="0"/>
          <c:extLst>
            <c:ext xmlns:c16="http://schemas.microsoft.com/office/drawing/2014/chart" uri="{C3380CC4-5D6E-409C-BE32-E72D297353CC}">
              <c16:uniqueId val="{00000000-4F96-4513-A08A-C1BE15C121E2}"/>
            </c:ext>
          </c:extLst>
        </c:ser>
        <c:ser>
          <c:idx val="1"/>
          <c:order val="1"/>
          <c:tx>
            <c:v>FF</c:v>
          </c:tx>
          <c:spPr>
            <a:ln w="25400" cap="rnd">
              <a:noFill/>
              <a:round/>
            </a:ln>
            <a:effectLst/>
          </c:spPr>
          <c:marker>
            <c:symbol val="circle"/>
            <c:size val="5"/>
            <c:spPr>
              <a:noFill/>
              <a:ln w="9525">
                <a:solidFill>
                  <a:schemeClr val="tx1"/>
                </a:solidFill>
              </a:ln>
              <a:effectLst/>
            </c:spPr>
          </c:marker>
          <c:xVal>
            <c:numRef>
              <c:f>'Nutrient vs diversity'!$C$13:$C$22</c:f>
              <c:numCache>
                <c:formatCode>General</c:formatCode>
                <c:ptCount val="10"/>
                <c:pt idx="0">
                  <c:v>481.22136</c:v>
                </c:pt>
                <c:pt idx="1">
                  <c:v>607.65873526859707</c:v>
                </c:pt>
                <c:pt idx="2">
                  <c:v>547.77479999999991</c:v>
                </c:pt>
                <c:pt idx="3">
                  <c:v>642.76781896840509</c:v>
                </c:pt>
                <c:pt idx="4">
                  <c:v>474.9484799999999</c:v>
                </c:pt>
                <c:pt idx="5">
                  <c:v>650.04830288723247</c:v>
                </c:pt>
                <c:pt idx="6">
                  <c:v>494.11494904547277</c:v>
                </c:pt>
                <c:pt idx="7">
                  <c:v>601.50498901359344</c:v>
                </c:pt>
                <c:pt idx="8">
                  <c:v>475.95379722682316</c:v>
                </c:pt>
                <c:pt idx="9">
                  <c:v>572.36081261991285</c:v>
                </c:pt>
              </c:numCache>
            </c:numRef>
          </c:xVal>
          <c:yVal>
            <c:numRef>
              <c:f>'Nutrient vs diversity'!$A$13:$A$22</c:f>
              <c:numCache>
                <c:formatCode>General</c:formatCode>
                <c:ptCount val="10"/>
                <c:pt idx="0">
                  <c:v>2.42</c:v>
                </c:pt>
                <c:pt idx="1">
                  <c:v>2.16</c:v>
                </c:pt>
                <c:pt idx="2">
                  <c:v>2.37</c:v>
                </c:pt>
                <c:pt idx="3">
                  <c:v>2.48</c:v>
                </c:pt>
                <c:pt idx="4">
                  <c:v>2.57</c:v>
                </c:pt>
                <c:pt idx="5">
                  <c:v>2.23</c:v>
                </c:pt>
                <c:pt idx="6">
                  <c:v>2.5499999999999998</c:v>
                </c:pt>
                <c:pt idx="7">
                  <c:v>1.33</c:v>
                </c:pt>
                <c:pt idx="8">
                  <c:v>0.5</c:v>
                </c:pt>
                <c:pt idx="9">
                  <c:v>0.69</c:v>
                </c:pt>
              </c:numCache>
            </c:numRef>
          </c:yVal>
          <c:smooth val="0"/>
          <c:extLst>
            <c:ext xmlns:c16="http://schemas.microsoft.com/office/drawing/2014/chart" uri="{C3380CC4-5D6E-409C-BE32-E72D297353CC}">
              <c16:uniqueId val="{00000001-4F96-4513-A08A-C1BE15C121E2}"/>
            </c:ext>
          </c:extLst>
        </c:ser>
        <c:ser>
          <c:idx val="2"/>
          <c:order val="2"/>
          <c:tx>
            <c:v>SC</c:v>
          </c:tx>
          <c:spPr>
            <a:ln w="25400" cap="rnd">
              <a:noFill/>
              <a:round/>
            </a:ln>
            <a:effectLst/>
          </c:spPr>
          <c:marker>
            <c:symbol val="circle"/>
            <c:size val="5"/>
            <c:spPr>
              <a:solidFill>
                <a:schemeClr val="accent3"/>
              </a:solidFill>
              <a:ln w="9525">
                <a:solidFill>
                  <a:schemeClr val="tx1"/>
                </a:solidFill>
              </a:ln>
              <a:effectLst/>
            </c:spPr>
          </c:marker>
          <c:xVal>
            <c:numRef>
              <c:f>'Nutrient vs diversity'!$C$23:$C$32</c:f>
              <c:numCache>
                <c:formatCode>General</c:formatCode>
                <c:ptCount val="10"/>
                <c:pt idx="0">
                  <c:v>2202.17328</c:v>
                </c:pt>
                <c:pt idx="1">
                  <c:v>577.09498772327129</c:v>
                </c:pt>
                <c:pt idx="2">
                  <c:v>1888.8393599999995</c:v>
                </c:pt>
                <c:pt idx="3">
                  <c:v>532.47068945386673</c:v>
                </c:pt>
                <c:pt idx="4">
                  <c:v>1634.9723999999997</c:v>
                </c:pt>
                <c:pt idx="5">
                  <c:v>1649.70336</c:v>
                </c:pt>
                <c:pt idx="6">
                  <c:v>1955.1652799999999</c:v>
                </c:pt>
                <c:pt idx="7">
                  <c:v>472.54337861292032</c:v>
                </c:pt>
                <c:pt idx="8">
                  <c:v>1000.8381600000001</c:v>
                </c:pt>
                <c:pt idx="9">
                  <c:v>1788.6045599999998</c:v>
                </c:pt>
              </c:numCache>
            </c:numRef>
          </c:xVal>
          <c:yVal>
            <c:numRef>
              <c:f>'Nutrient vs diversity'!$A$23:$A$32</c:f>
              <c:numCache>
                <c:formatCode>General</c:formatCode>
                <c:ptCount val="10"/>
                <c:pt idx="0">
                  <c:v>0.5</c:v>
                </c:pt>
                <c:pt idx="1">
                  <c:v>0.56000000000000005</c:v>
                </c:pt>
                <c:pt idx="2">
                  <c:v>0.5</c:v>
                </c:pt>
                <c:pt idx="3">
                  <c:v>0.5</c:v>
                </c:pt>
                <c:pt idx="4">
                  <c:v>0.95</c:v>
                </c:pt>
                <c:pt idx="5">
                  <c:v>1.28</c:v>
                </c:pt>
                <c:pt idx="6">
                  <c:v>1.33</c:v>
                </c:pt>
                <c:pt idx="7">
                  <c:v>0.87</c:v>
                </c:pt>
                <c:pt idx="8">
                  <c:v>0.64</c:v>
                </c:pt>
                <c:pt idx="9">
                  <c:v>1.75</c:v>
                </c:pt>
              </c:numCache>
            </c:numRef>
          </c:yVal>
          <c:smooth val="0"/>
          <c:extLst>
            <c:ext xmlns:c16="http://schemas.microsoft.com/office/drawing/2014/chart" uri="{C3380CC4-5D6E-409C-BE32-E72D297353CC}">
              <c16:uniqueId val="{00000002-4F96-4513-A08A-C1BE15C121E2}"/>
            </c:ext>
          </c:extLst>
        </c:ser>
        <c:dLbls>
          <c:showLegendKey val="0"/>
          <c:showVal val="0"/>
          <c:showCatName val="0"/>
          <c:showSerName val="0"/>
          <c:showPercent val="0"/>
          <c:showBubbleSize val="0"/>
        </c:dLbls>
        <c:axId val="539445960"/>
        <c:axId val="539450224"/>
      </c:scatterChart>
      <c:valAx>
        <c:axId val="53944596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FI" sz="1000" b="0" i="0" baseline="0">
                    <a:solidFill>
                      <a:sysClr val="windowText" lastClr="000000"/>
                    </a:solidFill>
                    <a:effectLst/>
                  </a:rPr>
                  <a:t>K</a:t>
                </a:r>
                <a:r>
                  <a:rPr lang="en-US" sz="1000" b="0" i="0" baseline="0">
                    <a:solidFill>
                      <a:sysClr val="windowText" lastClr="000000"/>
                    </a:solidFill>
                    <a:effectLst/>
                  </a:rPr>
                  <a:t> stock </a:t>
                </a:r>
                <a:r>
                  <a:rPr lang="en-FI" sz="1000" b="0" i="0" baseline="0">
                    <a:solidFill>
                      <a:sysClr val="windowText" lastClr="000000"/>
                    </a:solidFill>
                    <a:effectLst/>
                  </a:rPr>
                  <a:t>(kg/ha)</a:t>
                </a:r>
                <a:endParaRPr lang="en-FI" sz="10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FI"/>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FI"/>
          </a:p>
        </c:txPr>
        <c:crossAx val="539450224"/>
        <c:crosses val="autoZero"/>
        <c:crossBetween val="midCat"/>
      </c:valAx>
      <c:valAx>
        <c:axId val="53945022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x-none" sz="1000" b="0" i="0" u="none" strike="noStrike" baseline="0">
                    <a:effectLst/>
                  </a:rPr>
                  <a:t>Shannon–Weiner</a:t>
                </a:r>
                <a:r>
                  <a:rPr lang="en-US" sz="1000" b="0" i="0" u="none" strike="noStrike" baseline="0">
                    <a:effectLst/>
                  </a:rPr>
                  <a:t> index</a:t>
                </a:r>
                <a:endParaRPr lang="en-FI" sz="1000">
                  <a:solidFill>
                    <a:sysClr val="windowText" lastClr="000000"/>
                  </a:solidFill>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FI"/>
            </a:p>
          </c:txPr>
        </c:title>
        <c:numFmt formatCode="General" sourceLinked="0"/>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FI"/>
          </a:p>
        </c:txPr>
        <c:crossAx val="53944596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F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3289</Words>
  <Characters>18750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taritkumar@gmail.com</dc:creator>
  <cp:keywords/>
  <dc:description/>
  <cp:lastModifiedBy>taritkumar@gmail.com</cp:lastModifiedBy>
  <cp:revision>6</cp:revision>
  <dcterms:created xsi:type="dcterms:W3CDTF">2022-04-22T03:32:00Z</dcterms:created>
  <dcterms:modified xsi:type="dcterms:W3CDTF">2022-06-07T05:08:00Z</dcterms:modified>
</cp:coreProperties>
</file>