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E8FE3" w14:textId="545DD27D" w:rsidR="00D97210" w:rsidRPr="00D30C8B" w:rsidRDefault="00D97210" w:rsidP="00D97210">
      <w:pPr>
        <w:spacing w:line="360" w:lineRule="auto"/>
        <w:jc w:val="both"/>
        <w:rPr>
          <w:rFonts w:ascii="Garamond" w:hAnsi="Garamond"/>
          <w:b/>
          <w:bCs/>
          <w:smallCaps/>
          <w:sz w:val="32"/>
          <w:szCs w:val="32"/>
          <w:lang w:val="en-US"/>
        </w:rPr>
      </w:pPr>
      <w:r>
        <w:rPr>
          <w:rFonts w:ascii="Garamond" w:hAnsi="Garamond"/>
          <w:b/>
          <w:bCs/>
          <w:smallCaps/>
          <w:sz w:val="32"/>
          <w:szCs w:val="32"/>
          <w:lang w:val="en-US"/>
        </w:rPr>
        <w:t xml:space="preserve">Monitoring of </w:t>
      </w:r>
      <w:r w:rsidRPr="00D30C8B">
        <w:rPr>
          <w:rFonts w:ascii="Garamond" w:hAnsi="Garamond"/>
          <w:b/>
          <w:bCs/>
          <w:smallCaps/>
          <w:sz w:val="32"/>
          <w:szCs w:val="32"/>
          <w:lang w:val="en-US"/>
        </w:rPr>
        <w:t xml:space="preserve">Air </w:t>
      </w:r>
      <w:r w:rsidR="006269C7">
        <w:rPr>
          <w:rFonts w:ascii="Garamond" w:hAnsi="Garamond"/>
          <w:b/>
          <w:bCs/>
          <w:smallCaps/>
          <w:sz w:val="32"/>
          <w:szCs w:val="32"/>
          <w:lang w:val="en-US"/>
        </w:rPr>
        <w:t>P</w:t>
      </w:r>
      <w:r w:rsidRPr="00D30C8B">
        <w:rPr>
          <w:rFonts w:ascii="Garamond" w:hAnsi="Garamond"/>
          <w:b/>
          <w:bCs/>
          <w:smallCaps/>
          <w:sz w:val="32"/>
          <w:szCs w:val="32"/>
          <w:lang w:val="en-US"/>
        </w:rPr>
        <w:t xml:space="preserve">ollution in </w:t>
      </w:r>
      <w:r w:rsidR="006269C7">
        <w:rPr>
          <w:rFonts w:ascii="Garamond" w:hAnsi="Garamond"/>
          <w:b/>
          <w:bCs/>
          <w:smallCaps/>
          <w:sz w:val="32"/>
          <w:szCs w:val="32"/>
          <w:lang w:val="en-US"/>
        </w:rPr>
        <w:t>A</w:t>
      </w:r>
      <w:r w:rsidRPr="00D30C8B">
        <w:rPr>
          <w:rFonts w:ascii="Garamond" w:hAnsi="Garamond"/>
          <w:b/>
          <w:bCs/>
          <w:smallCaps/>
          <w:sz w:val="32"/>
          <w:szCs w:val="32"/>
          <w:lang w:val="en-US"/>
        </w:rPr>
        <w:t xml:space="preserve">gricultural </w:t>
      </w:r>
      <w:r w:rsidR="006269C7">
        <w:rPr>
          <w:rFonts w:ascii="Garamond" w:hAnsi="Garamond"/>
          <w:b/>
          <w:bCs/>
          <w:smallCaps/>
          <w:sz w:val="32"/>
          <w:szCs w:val="32"/>
          <w:lang w:val="en-US"/>
        </w:rPr>
        <w:t>S</w:t>
      </w:r>
      <w:r w:rsidRPr="00D30C8B">
        <w:rPr>
          <w:rFonts w:ascii="Garamond" w:hAnsi="Garamond"/>
          <w:b/>
          <w:bCs/>
          <w:smallCaps/>
          <w:sz w:val="32"/>
          <w:szCs w:val="32"/>
          <w:lang w:val="en-US"/>
        </w:rPr>
        <w:t>ettings: A Systematic Review Of The Literature</w:t>
      </w:r>
    </w:p>
    <w:p w14:paraId="7302A611" w14:textId="2D59A8C3" w:rsidR="00D97210" w:rsidRDefault="00D97210" w:rsidP="00D97210">
      <w:pPr>
        <w:spacing w:after="0" w:line="480" w:lineRule="auto"/>
        <w:jc w:val="both"/>
        <w:rPr>
          <w:rFonts w:ascii="Garamond" w:hAnsi="Garamond"/>
          <w:vertAlign w:val="superscript"/>
          <w:lang w:val="it-IT"/>
        </w:rPr>
      </w:pPr>
      <w:r w:rsidRPr="008D318D">
        <w:rPr>
          <w:rFonts w:ascii="Garamond" w:hAnsi="Garamond"/>
          <w:lang w:val="it-IT"/>
        </w:rPr>
        <w:t>Francesca Borghi</w:t>
      </w:r>
      <w:r w:rsidRPr="009E0BC7">
        <w:rPr>
          <w:rFonts w:ascii="Garamond" w:hAnsi="Garamond"/>
          <w:vertAlign w:val="superscript"/>
          <w:lang w:val="it-IT"/>
        </w:rPr>
        <w:t>a</w:t>
      </w:r>
      <w:r>
        <w:rPr>
          <w:rFonts w:ascii="Garamond" w:hAnsi="Garamond"/>
          <w:vertAlign w:val="superscript"/>
          <w:lang w:val="it-IT"/>
        </w:rPr>
        <w:t>*</w:t>
      </w:r>
      <w:r w:rsidRPr="008D318D">
        <w:rPr>
          <w:rFonts w:ascii="Garamond" w:hAnsi="Garamond"/>
          <w:lang w:val="it-IT"/>
        </w:rPr>
        <w:t>, Andrea Spinazzè</w:t>
      </w:r>
      <w:r w:rsidRPr="009E0BC7">
        <w:rPr>
          <w:rFonts w:ascii="Garamond" w:hAnsi="Garamond"/>
          <w:vertAlign w:val="superscript"/>
          <w:lang w:val="it-IT"/>
        </w:rPr>
        <w:t>a</w:t>
      </w:r>
      <w:r>
        <w:rPr>
          <w:rFonts w:ascii="Garamond" w:hAnsi="Garamond"/>
          <w:vertAlign w:val="superscript"/>
          <w:lang w:val="it-IT"/>
        </w:rPr>
        <w:t>*</w:t>
      </w:r>
      <w:r w:rsidRPr="008D318D">
        <w:rPr>
          <w:rFonts w:ascii="Garamond" w:hAnsi="Garamond"/>
          <w:lang w:val="it-IT"/>
        </w:rPr>
        <w:t>, Nicholas De Nardis</w:t>
      </w:r>
      <w:r w:rsidRPr="009E0BC7">
        <w:rPr>
          <w:rFonts w:ascii="Garamond" w:hAnsi="Garamond"/>
          <w:vertAlign w:val="superscript"/>
          <w:lang w:val="it-IT"/>
        </w:rPr>
        <w:t>a</w:t>
      </w:r>
      <w:r w:rsidRPr="008D318D">
        <w:rPr>
          <w:rFonts w:ascii="Garamond" w:hAnsi="Garamond"/>
          <w:lang w:val="it-IT"/>
        </w:rPr>
        <w:t>, Serena Straccini</w:t>
      </w:r>
      <w:r w:rsidRPr="009E0BC7">
        <w:rPr>
          <w:rFonts w:ascii="Garamond" w:hAnsi="Garamond"/>
          <w:vertAlign w:val="superscript"/>
          <w:lang w:val="it-IT"/>
        </w:rPr>
        <w:t>a</w:t>
      </w:r>
      <w:r w:rsidRPr="008D318D">
        <w:rPr>
          <w:rFonts w:ascii="Garamond" w:hAnsi="Garamond"/>
          <w:lang w:val="it-IT"/>
        </w:rPr>
        <w:t>, Sabrina Rovelli</w:t>
      </w:r>
      <w:r w:rsidRPr="009E0BC7">
        <w:rPr>
          <w:rFonts w:ascii="Garamond" w:hAnsi="Garamond"/>
          <w:vertAlign w:val="superscript"/>
          <w:lang w:val="it-IT"/>
        </w:rPr>
        <w:t>a</w:t>
      </w:r>
      <w:r w:rsidRPr="008D318D">
        <w:rPr>
          <w:rFonts w:ascii="Garamond" w:hAnsi="Garamond"/>
          <w:lang w:val="it-IT"/>
        </w:rPr>
        <w:t>, Giacomo Fanti</w:t>
      </w:r>
      <w:r w:rsidRPr="009E0BC7">
        <w:rPr>
          <w:rFonts w:ascii="Garamond" w:hAnsi="Garamond"/>
          <w:vertAlign w:val="superscript"/>
          <w:lang w:val="it-IT"/>
        </w:rPr>
        <w:t>a</w:t>
      </w:r>
      <w:r w:rsidRPr="008D318D">
        <w:rPr>
          <w:rFonts w:ascii="Garamond" w:hAnsi="Garamond"/>
          <w:lang w:val="it-IT"/>
        </w:rPr>
        <w:t>, Daniele Oxoli</w:t>
      </w:r>
      <w:r w:rsidRPr="009E0BC7">
        <w:rPr>
          <w:rFonts w:ascii="Garamond" w:hAnsi="Garamond"/>
          <w:vertAlign w:val="superscript"/>
          <w:lang w:val="it-IT"/>
        </w:rPr>
        <w:t>b</w:t>
      </w:r>
      <w:r w:rsidRPr="008D318D">
        <w:rPr>
          <w:rFonts w:ascii="Garamond" w:hAnsi="Garamond"/>
          <w:lang w:val="it-IT"/>
        </w:rPr>
        <w:t>, Andrea Cattaneo</w:t>
      </w:r>
      <w:r w:rsidRPr="009E0BC7">
        <w:rPr>
          <w:rFonts w:ascii="Garamond" w:hAnsi="Garamond"/>
          <w:vertAlign w:val="superscript"/>
          <w:lang w:val="it-IT"/>
        </w:rPr>
        <w:t>a</w:t>
      </w:r>
      <w:r w:rsidRPr="008D318D">
        <w:rPr>
          <w:rFonts w:ascii="Garamond" w:hAnsi="Garamond"/>
          <w:lang w:val="it-IT"/>
        </w:rPr>
        <w:t xml:space="preserve">, </w:t>
      </w:r>
      <w:r>
        <w:rPr>
          <w:rFonts w:ascii="Garamond" w:hAnsi="Garamond"/>
          <w:lang w:val="it-IT"/>
        </w:rPr>
        <w:t>Domenico</w:t>
      </w:r>
      <w:r w:rsidRPr="008D318D">
        <w:rPr>
          <w:rFonts w:ascii="Garamond" w:hAnsi="Garamond"/>
          <w:lang w:val="it-IT"/>
        </w:rPr>
        <w:t xml:space="preserve"> Maria Cavallo</w:t>
      </w:r>
      <w:r w:rsidRPr="009E0BC7">
        <w:rPr>
          <w:rFonts w:ascii="Garamond" w:hAnsi="Garamond"/>
          <w:vertAlign w:val="superscript"/>
          <w:lang w:val="it-IT"/>
        </w:rPr>
        <w:t>a</w:t>
      </w:r>
      <w:r>
        <w:rPr>
          <w:rFonts w:ascii="Garamond" w:hAnsi="Garamond"/>
          <w:lang w:val="it-IT"/>
        </w:rPr>
        <w:t xml:space="preserve">, </w:t>
      </w:r>
      <w:r w:rsidRPr="008D318D">
        <w:rPr>
          <w:rFonts w:ascii="Garamond" w:hAnsi="Garamond"/>
          <w:lang w:val="it-IT"/>
        </w:rPr>
        <w:t>Maria Antonia Brovelli</w:t>
      </w:r>
      <w:r w:rsidRPr="009E0BC7">
        <w:rPr>
          <w:rFonts w:ascii="Garamond" w:hAnsi="Garamond"/>
          <w:vertAlign w:val="superscript"/>
          <w:lang w:val="it-IT"/>
        </w:rPr>
        <w:t>b</w:t>
      </w:r>
      <w:r w:rsidR="00E30C97">
        <w:rPr>
          <w:rFonts w:ascii="Garamond" w:hAnsi="Garamond"/>
          <w:lang w:val="it-IT"/>
        </w:rPr>
        <w:t>.</w:t>
      </w:r>
    </w:p>
    <w:p w14:paraId="47A9D9A1" w14:textId="77777777" w:rsidR="00D97210" w:rsidRPr="008D318D" w:rsidRDefault="00D97210" w:rsidP="00D97210">
      <w:pPr>
        <w:spacing w:after="0" w:line="480" w:lineRule="auto"/>
        <w:jc w:val="both"/>
        <w:rPr>
          <w:rFonts w:ascii="Garamond" w:hAnsi="Garamond"/>
          <w:lang w:val="it-IT"/>
        </w:rPr>
      </w:pPr>
    </w:p>
    <w:p w14:paraId="5A0ECE47" w14:textId="77777777" w:rsidR="00D97210" w:rsidRDefault="00D97210" w:rsidP="00D97210">
      <w:pPr>
        <w:spacing w:after="0" w:line="480" w:lineRule="auto"/>
        <w:jc w:val="both"/>
        <w:rPr>
          <w:rFonts w:ascii="Garamond" w:hAnsi="Garamond"/>
          <w:lang w:val="en-US"/>
        </w:rPr>
      </w:pPr>
      <w:r w:rsidRPr="009E0BC7">
        <w:rPr>
          <w:rFonts w:ascii="Garamond" w:hAnsi="Garamond"/>
          <w:vertAlign w:val="superscript"/>
        </w:rPr>
        <w:t>a</w:t>
      </w:r>
      <w:r w:rsidRPr="00D30C8B">
        <w:rPr>
          <w:rFonts w:ascii="Garamond" w:hAnsi="Garamond"/>
          <w:lang w:val="en-US"/>
        </w:rPr>
        <w:t>Department of Science and High Technology, University of Insubria, 22100 Como, Italy</w:t>
      </w:r>
    </w:p>
    <w:p w14:paraId="050C5D00" w14:textId="77777777" w:rsidR="00D97210" w:rsidRDefault="00D97210" w:rsidP="00D97210">
      <w:pPr>
        <w:spacing w:after="0" w:line="480" w:lineRule="auto"/>
        <w:jc w:val="both"/>
        <w:rPr>
          <w:rFonts w:ascii="Garamond" w:hAnsi="Garamond"/>
          <w:lang w:val="en-US"/>
        </w:rPr>
      </w:pPr>
      <w:r w:rsidRPr="009E0BC7">
        <w:rPr>
          <w:rFonts w:ascii="Garamond" w:hAnsi="Garamond"/>
          <w:vertAlign w:val="superscript"/>
        </w:rPr>
        <w:t>b</w:t>
      </w:r>
      <w:r w:rsidRPr="008D318D">
        <w:rPr>
          <w:rFonts w:ascii="Garamond" w:hAnsi="Garamond"/>
          <w:lang w:val="en-US"/>
        </w:rPr>
        <w:t xml:space="preserve">Department of Civil and Environmental Engineering, </w:t>
      </w:r>
      <w:r>
        <w:rPr>
          <w:rFonts w:ascii="Garamond" w:hAnsi="Garamond"/>
          <w:lang w:val="en-US"/>
        </w:rPr>
        <w:t xml:space="preserve">Politecnico di Milano, 20133, </w:t>
      </w:r>
      <w:r w:rsidRPr="008D318D">
        <w:rPr>
          <w:rFonts w:ascii="Garamond" w:hAnsi="Garamond"/>
          <w:lang w:val="en-US"/>
        </w:rPr>
        <w:t>Milan, Italy</w:t>
      </w:r>
    </w:p>
    <w:p w14:paraId="46588F5C" w14:textId="77777777" w:rsidR="00D97210" w:rsidRDefault="00D97210" w:rsidP="00D97210">
      <w:pPr>
        <w:spacing w:after="0" w:line="480" w:lineRule="auto"/>
        <w:jc w:val="both"/>
        <w:rPr>
          <w:rFonts w:ascii="Garamond" w:hAnsi="Garamond"/>
          <w:lang w:val="en-US"/>
        </w:rPr>
      </w:pPr>
    </w:p>
    <w:p w14:paraId="4E808567" w14:textId="77777777" w:rsidR="00D97210" w:rsidRPr="00A67C1A" w:rsidRDefault="00D97210" w:rsidP="00D97210">
      <w:pPr>
        <w:spacing w:after="0" w:line="480" w:lineRule="auto"/>
        <w:jc w:val="both"/>
        <w:rPr>
          <w:rFonts w:ascii="Garamond" w:hAnsi="Garamond"/>
          <w:sz w:val="20"/>
          <w:szCs w:val="20"/>
        </w:rPr>
      </w:pPr>
      <w:r w:rsidRPr="00A67C1A">
        <w:rPr>
          <w:rFonts w:ascii="Garamond" w:hAnsi="Garamond"/>
          <w:sz w:val="20"/>
          <w:szCs w:val="20"/>
        </w:rPr>
        <w:t xml:space="preserve">FB: </w:t>
      </w:r>
      <w:hyperlink r:id="rId8" w:history="1">
        <w:r w:rsidRPr="00A67C1A">
          <w:rPr>
            <w:rFonts w:ascii="Garamond" w:hAnsi="Garamond"/>
            <w:sz w:val="20"/>
            <w:szCs w:val="20"/>
          </w:rPr>
          <w:t>francesca.borghi@uninsubria.it</w:t>
        </w:r>
      </w:hyperlink>
      <w:r w:rsidRPr="00A67C1A">
        <w:rPr>
          <w:rFonts w:ascii="Garamond" w:hAnsi="Garamond"/>
          <w:sz w:val="20"/>
          <w:szCs w:val="20"/>
        </w:rPr>
        <w:t xml:space="preserve">; AS: </w:t>
      </w:r>
      <w:hyperlink r:id="rId9" w:history="1">
        <w:r w:rsidRPr="00A67C1A">
          <w:rPr>
            <w:rFonts w:ascii="Garamond" w:hAnsi="Garamond"/>
            <w:sz w:val="20"/>
            <w:szCs w:val="20"/>
          </w:rPr>
          <w:t>andrea.spinazze@uninsubria.it</w:t>
        </w:r>
      </w:hyperlink>
      <w:r w:rsidRPr="00A67C1A">
        <w:rPr>
          <w:rFonts w:ascii="Garamond" w:hAnsi="Garamond"/>
          <w:sz w:val="20"/>
          <w:szCs w:val="20"/>
        </w:rPr>
        <w:t xml:space="preserve">; NDN: </w:t>
      </w:r>
      <w:hyperlink r:id="rId10" w:history="1">
        <w:r w:rsidRPr="00A67C1A">
          <w:rPr>
            <w:rFonts w:ascii="Garamond" w:hAnsi="Garamond"/>
            <w:sz w:val="20"/>
            <w:szCs w:val="20"/>
          </w:rPr>
          <w:t>ndenardis@studenti.uninsubria.it</w:t>
        </w:r>
      </w:hyperlink>
      <w:r w:rsidRPr="00A67C1A">
        <w:rPr>
          <w:rFonts w:ascii="Garamond" w:hAnsi="Garamond"/>
          <w:sz w:val="20"/>
          <w:szCs w:val="20"/>
        </w:rPr>
        <w:t xml:space="preserve">; SS: </w:t>
      </w:r>
      <w:hyperlink r:id="rId11" w:history="1">
        <w:r w:rsidRPr="00A67C1A">
          <w:rPr>
            <w:rFonts w:ascii="Garamond" w:hAnsi="Garamond"/>
            <w:sz w:val="20"/>
            <w:szCs w:val="20"/>
          </w:rPr>
          <w:t>sstraccini@studenti.uninsubria.it</w:t>
        </w:r>
      </w:hyperlink>
      <w:r w:rsidRPr="00A67C1A">
        <w:rPr>
          <w:rFonts w:ascii="Garamond" w:hAnsi="Garamond"/>
          <w:sz w:val="20"/>
          <w:szCs w:val="20"/>
        </w:rPr>
        <w:t xml:space="preserve">; SR: sabrina.rovelli@uninsubria.it; GF: </w:t>
      </w:r>
      <w:hyperlink r:id="rId12" w:history="1">
        <w:r w:rsidRPr="00A67C1A">
          <w:rPr>
            <w:rFonts w:ascii="Garamond" w:hAnsi="Garamond"/>
            <w:sz w:val="20"/>
            <w:szCs w:val="20"/>
          </w:rPr>
          <w:t>giacomo.fanti@uninsubria.it</w:t>
        </w:r>
      </w:hyperlink>
      <w:r w:rsidRPr="00A67C1A">
        <w:rPr>
          <w:rFonts w:ascii="Garamond" w:hAnsi="Garamond"/>
          <w:sz w:val="20"/>
          <w:szCs w:val="20"/>
        </w:rPr>
        <w:t xml:space="preserve">; DO: </w:t>
      </w:r>
      <w:hyperlink r:id="rId13" w:history="1">
        <w:r w:rsidRPr="00A67C1A">
          <w:rPr>
            <w:rFonts w:ascii="Garamond" w:hAnsi="Garamond"/>
            <w:sz w:val="20"/>
            <w:szCs w:val="20"/>
          </w:rPr>
          <w:t>daniele.oxoli@polimi.it</w:t>
        </w:r>
      </w:hyperlink>
      <w:r w:rsidRPr="00A67C1A">
        <w:rPr>
          <w:rFonts w:ascii="Garamond" w:hAnsi="Garamond"/>
          <w:sz w:val="20"/>
          <w:szCs w:val="20"/>
        </w:rPr>
        <w:t xml:space="preserve">; AC: </w:t>
      </w:r>
      <w:hyperlink r:id="rId14" w:history="1">
        <w:r w:rsidRPr="00A67C1A">
          <w:rPr>
            <w:rFonts w:ascii="Garamond" w:hAnsi="Garamond"/>
            <w:sz w:val="20"/>
            <w:szCs w:val="20"/>
          </w:rPr>
          <w:t>andrea.cattaneo@uninsubria.it</w:t>
        </w:r>
      </w:hyperlink>
      <w:r w:rsidRPr="00A67C1A">
        <w:rPr>
          <w:rFonts w:ascii="Garamond" w:hAnsi="Garamond"/>
          <w:sz w:val="20"/>
          <w:szCs w:val="20"/>
        </w:rPr>
        <w:t xml:space="preserve">; DMC: </w:t>
      </w:r>
      <w:hyperlink r:id="rId15" w:history="1">
        <w:r w:rsidRPr="00A67C1A">
          <w:rPr>
            <w:rFonts w:ascii="Garamond" w:hAnsi="Garamond"/>
            <w:sz w:val="20"/>
            <w:szCs w:val="20"/>
          </w:rPr>
          <w:t>domenico.cavallo@uninsubria.it</w:t>
        </w:r>
      </w:hyperlink>
      <w:r w:rsidRPr="00A67C1A">
        <w:rPr>
          <w:rFonts w:ascii="Garamond" w:hAnsi="Garamond"/>
          <w:sz w:val="20"/>
          <w:szCs w:val="20"/>
        </w:rPr>
        <w:t xml:space="preserve">; MAB: </w:t>
      </w:r>
      <w:hyperlink r:id="rId16" w:history="1">
        <w:r w:rsidRPr="00A67C1A">
          <w:rPr>
            <w:rFonts w:ascii="Garamond" w:hAnsi="Garamond"/>
            <w:sz w:val="20"/>
            <w:szCs w:val="20"/>
          </w:rPr>
          <w:t>maria.brovelli@polimi.it</w:t>
        </w:r>
      </w:hyperlink>
    </w:p>
    <w:p w14:paraId="338A971C" w14:textId="77777777" w:rsidR="00D97210" w:rsidRPr="003F4E29" w:rsidRDefault="00D97210" w:rsidP="00D97210">
      <w:pPr>
        <w:spacing w:after="0" w:line="480" w:lineRule="auto"/>
        <w:jc w:val="both"/>
        <w:rPr>
          <w:rFonts w:ascii="Garamond" w:hAnsi="Garamond"/>
        </w:rPr>
      </w:pPr>
    </w:p>
    <w:p w14:paraId="66D3ED14" w14:textId="77777777" w:rsidR="00D97210" w:rsidRPr="003F4E29" w:rsidRDefault="00D97210" w:rsidP="00D97210">
      <w:pPr>
        <w:spacing w:after="0" w:line="480" w:lineRule="auto"/>
        <w:jc w:val="both"/>
        <w:rPr>
          <w:rFonts w:ascii="Garamond" w:hAnsi="Garamond"/>
          <w:highlight w:val="yellow"/>
        </w:rPr>
      </w:pPr>
    </w:p>
    <w:p w14:paraId="6B3B0549" w14:textId="77777777" w:rsidR="00D97210" w:rsidRDefault="00D97210" w:rsidP="00D97210">
      <w:pPr>
        <w:spacing w:after="0" w:line="480" w:lineRule="auto"/>
        <w:jc w:val="both"/>
        <w:rPr>
          <w:rFonts w:ascii="Garamond" w:hAnsi="Garamond"/>
          <w:lang w:val="en-US"/>
        </w:rPr>
      </w:pPr>
      <w:r w:rsidRPr="001C1147">
        <w:rPr>
          <w:rFonts w:ascii="Garamond" w:hAnsi="Garamond"/>
          <w:lang w:val="en-US"/>
        </w:rPr>
        <w:t xml:space="preserve">Correspondence: </w:t>
      </w:r>
    </w:p>
    <w:p w14:paraId="5246A65F" w14:textId="77777777" w:rsidR="00D97210" w:rsidRDefault="00D97210" w:rsidP="00D97210">
      <w:pPr>
        <w:spacing w:after="0" w:line="480" w:lineRule="auto"/>
        <w:jc w:val="both"/>
        <w:rPr>
          <w:rFonts w:ascii="Garamond" w:hAnsi="Garamond"/>
          <w:lang w:val="en-US"/>
        </w:rPr>
      </w:pPr>
      <w:r>
        <w:rPr>
          <w:rFonts w:ascii="Garamond" w:hAnsi="Garamond"/>
          <w:lang w:val="en-US"/>
        </w:rPr>
        <w:t xml:space="preserve">FB: </w:t>
      </w:r>
      <w:r w:rsidRPr="00D30C8B">
        <w:rPr>
          <w:rFonts w:ascii="Garamond" w:hAnsi="Garamond"/>
          <w:lang w:val="en-US"/>
        </w:rPr>
        <w:t>Department of Science and High Technology, University of Insubria, 22100 Como, Italy</w:t>
      </w:r>
    </w:p>
    <w:p w14:paraId="7B69773B" w14:textId="77777777" w:rsidR="00D97210" w:rsidRDefault="00D97210" w:rsidP="00D97210">
      <w:pPr>
        <w:spacing w:after="0" w:line="480" w:lineRule="auto"/>
        <w:jc w:val="both"/>
        <w:rPr>
          <w:rFonts w:ascii="Garamond" w:hAnsi="Garamond"/>
          <w:lang w:val="en-US"/>
        </w:rPr>
      </w:pPr>
      <w:r>
        <w:rPr>
          <w:rFonts w:ascii="Garamond" w:hAnsi="Garamond"/>
          <w:lang w:val="en-US"/>
        </w:rPr>
        <w:t xml:space="preserve">Mail: </w:t>
      </w:r>
      <w:r w:rsidRPr="001C1147">
        <w:rPr>
          <w:rFonts w:ascii="Garamond" w:hAnsi="Garamond"/>
          <w:lang w:val="en-US"/>
        </w:rPr>
        <w:t>francesca.borghi@uninsubria.it</w:t>
      </w:r>
    </w:p>
    <w:p w14:paraId="181001C8" w14:textId="77777777" w:rsidR="00D97210" w:rsidRDefault="00D97210" w:rsidP="00D97210">
      <w:pPr>
        <w:spacing w:after="0" w:line="480" w:lineRule="auto"/>
        <w:jc w:val="both"/>
        <w:rPr>
          <w:rFonts w:ascii="Garamond" w:hAnsi="Garamond"/>
          <w:lang w:val="en-US"/>
        </w:rPr>
      </w:pPr>
      <w:r>
        <w:rPr>
          <w:rFonts w:ascii="Garamond" w:hAnsi="Garamond"/>
          <w:lang w:val="en-US"/>
        </w:rPr>
        <w:t>Phone: +39 031 238 6645</w:t>
      </w:r>
    </w:p>
    <w:p w14:paraId="39210623" w14:textId="77777777" w:rsidR="00D97210" w:rsidRDefault="00D97210" w:rsidP="00D97210">
      <w:pPr>
        <w:spacing w:after="0" w:line="480" w:lineRule="auto"/>
        <w:jc w:val="both"/>
        <w:rPr>
          <w:rFonts w:ascii="Garamond" w:hAnsi="Garamond"/>
          <w:lang w:val="en-US"/>
        </w:rPr>
      </w:pPr>
    </w:p>
    <w:p w14:paraId="42F53432" w14:textId="77777777" w:rsidR="00D97210" w:rsidRDefault="00D97210" w:rsidP="00D97210">
      <w:pPr>
        <w:spacing w:after="0" w:line="480" w:lineRule="auto"/>
        <w:jc w:val="both"/>
        <w:rPr>
          <w:rFonts w:ascii="Garamond" w:hAnsi="Garamond"/>
          <w:lang w:val="en-US"/>
        </w:rPr>
      </w:pPr>
      <w:r>
        <w:rPr>
          <w:rFonts w:ascii="Garamond" w:hAnsi="Garamond"/>
          <w:lang w:val="en-US"/>
        </w:rPr>
        <w:t xml:space="preserve">AS: </w:t>
      </w:r>
      <w:r w:rsidRPr="00D30C8B">
        <w:rPr>
          <w:rFonts w:ascii="Garamond" w:hAnsi="Garamond"/>
          <w:lang w:val="en-US"/>
        </w:rPr>
        <w:t>Department of Science and High Technology, University of Insubria, 22100 Como, Italy</w:t>
      </w:r>
    </w:p>
    <w:p w14:paraId="53E046F1" w14:textId="77777777" w:rsidR="00D97210" w:rsidRDefault="00D97210" w:rsidP="00D97210">
      <w:pPr>
        <w:spacing w:after="0" w:line="480" w:lineRule="auto"/>
        <w:jc w:val="both"/>
        <w:rPr>
          <w:rFonts w:ascii="Garamond" w:hAnsi="Garamond"/>
          <w:lang w:val="en-US"/>
        </w:rPr>
      </w:pPr>
      <w:r>
        <w:rPr>
          <w:rFonts w:ascii="Garamond" w:hAnsi="Garamond"/>
          <w:lang w:val="en-US"/>
        </w:rPr>
        <w:t>Mail: andrea.spinazze</w:t>
      </w:r>
      <w:r w:rsidRPr="001C1147">
        <w:rPr>
          <w:rFonts w:ascii="Garamond" w:hAnsi="Garamond"/>
          <w:lang w:val="en-US"/>
        </w:rPr>
        <w:t>@uninsubria.it</w:t>
      </w:r>
    </w:p>
    <w:p w14:paraId="5E0E7127" w14:textId="77777777" w:rsidR="00D97210" w:rsidRDefault="00D97210" w:rsidP="00D97210">
      <w:pPr>
        <w:spacing w:after="0" w:line="480" w:lineRule="auto"/>
        <w:jc w:val="both"/>
        <w:rPr>
          <w:rFonts w:ascii="Garamond" w:hAnsi="Garamond"/>
          <w:lang w:val="en-US"/>
        </w:rPr>
      </w:pPr>
      <w:r>
        <w:rPr>
          <w:rFonts w:ascii="Garamond" w:hAnsi="Garamond"/>
          <w:lang w:val="en-US"/>
        </w:rPr>
        <w:t>Phone: +39 031 238 6629</w:t>
      </w:r>
    </w:p>
    <w:p w14:paraId="5EC56AF6" w14:textId="56A53622" w:rsidR="00285A3B" w:rsidRPr="0092054B" w:rsidRDefault="00285A3B" w:rsidP="006069AD">
      <w:pPr>
        <w:spacing w:line="360" w:lineRule="auto"/>
        <w:jc w:val="both"/>
        <w:rPr>
          <w:rFonts w:ascii="Garamond" w:eastAsia="Times New Roman" w:hAnsi="Garamond" w:cs="Calibri"/>
          <w:color w:val="000000"/>
          <w:lang w:val="en-US" w:eastAsia="en-GB"/>
        </w:rPr>
      </w:pPr>
    </w:p>
    <w:p w14:paraId="199489F7" w14:textId="52126D57" w:rsidR="00285A3B" w:rsidRPr="00313B39" w:rsidRDefault="00285A3B" w:rsidP="006069AD">
      <w:pPr>
        <w:spacing w:line="360" w:lineRule="auto"/>
        <w:jc w:val="both"/>
        <w:rPr>
          <w:rFonts w:ascii="Garamond" w:eastAsia="Times New Roman" w:hAnsi="Garamond" w:cs="Calibri"/>
          <w:color w:val="000000"/>
          <w:lang w:eastAsia="en-GB"/>
        </w:rPr>
      </w:pPr>
    </w:p>
    <w:p w14:paraId="4F1EF8F8" w14:textId="7A3000CA" w:rsidR="00FD5FF9" w:rsidRDefault="00FD5FF9" w:rsidP="00FD5FF9">
      <w:pPr>
        <w:spacing w:line="360" w:lineRule="auto"/>
        <w:jc w:val="both"/>
        <w:rPr>
          <w:rFonts w:ascii="Garamond" w:eastAsia="Times New Roman" w:hAnsi="Garamond" w:cs="Calibri"/>
          <w:color w:val="000000"/>
          <w:lang w:eastAsia="en-GB"/>
        </w:rPr>
      </w:pPr>
    </w:p>
    <w:p w14:paraId="1FC36F13" w14:textId="77777777" w:rsidR="008574B5" w:rsidRPr="008574B5" w:rsidRDefault="008574B5" w:rsidP="00FD5FF9">
      <w:pPr>
        <w:spacing w:line="360" w:lineRule="auto"/>
        <w:jc w:val="both"/>
        <w:rPr>
          <w:rFonts w:ascii="Garamond" w:eastAsia="Times New Roman" w:hAnsi="Garamond" w:cs="Calibri"/>
          <w:color w:val="000000"/>
          <w:lang w:eastAsia="en-GB"/>
        </w:rPr>
      </w:pPr>
    </w:p>
    <w:p w14:paraId="21440097" w14:textId="3882B4F9" w:rsidR="00285A3B" w:rsidRPr="008574B5" w:rsidRDefault="00285A3B" w:rsidP="000F7A7A">
      <w:pPr>
        <w:spacing w:line="360" w:lineRule="auto"/>
        <w:jc w:val="both"/>
        <w:rPr>
          <w:rFonts w:ascii="Garamond" w:eastAsia="Times New Roman" w:hAnsi="Garamond" w:cs="Calibri"/>
          <w:b/>
          <w:bCs/>
          <w:color w:val="000000"/>
          <w:highlight w:val="yellow"/>
          <w:lang w:eastAsia="en-GB"/>
        </w:rPr>
        <w:sectPr w:rsidR="00285A3B" w:rsidRPr="008574B5">
          <w:pgSz w:w="11906" w:h="16838"/>
          <w:pgMar w:top="1440" w:right="1440" w:bottom="1440" w:left="1440" w:header="708" w:footer="708" w:gutter="0"/>
          <w:cols w:space="708"/>
          <w:docGrid w:linePitch="360"/>
        </w:sectPr>
      </w:pPr>
    </w:p>
    <w:p w14:paraId="44DF3072" w14:textId="4931C2D2" w:rsidR="000F7A7A" w:rsidRPr="00E36914" w:rsidRDefault="0019417E" w:rsidP="00E71630">
      <w:pPr>
        <w:spacing w:line="240" w:lineRule="auto"/>
        <w:jc w:val="both"/>
        <w:rPr>
          <w:rFonts w:ascii="Garamond" w:hAnsi="Garamond"/>
          <w:b/>
          <w:bCs/>
        </w:rPr>
      </w:pPr>
      <w:r w:rsidRPr="00E36914">
        <w:rPr>
          <w:rFonts w:ascii="Garamond" w:hAnsi="Garamond"/>
          <w:b/>
          <w:bCs/>
        </w:rPr>
        <w:lastRenderedPageBreak/>
        <w:t>Supplementary material</w:t>
      </w:r>
    </w:p>
    <w:p w14:paraId="56372720" w14:textId="6220CB81" w:rsidR="004C7898" w:rsidRDefault="005F1EE3" w:rsidP="00E71630">
      <w:pPr>
        <w:spacing w:line="240" w:lineRule="auto"/>
        <w:jc w:val="both"/>
      </w:pPr>
      <w:r w:rsidRPr="00E71630">
        <w:rPr>
          <w:rFonts w:ascii="Garamond" w:hAnsi="Garamond"/>
          <w:b/>
          <w:bCs/>
        </w:rPr>
        <w:t xml:space="preserve">Table </w:t>
      </w:r>
      <w:r w:rsidR="0019417E" w:rsidRPr="00E71630">
        <w:rPr>
          <w:rFonts w:ascii="Garamond" w:hAnsi="Garamond"/>
          <w:b/>
          <w:bCs/>
        </w:rPr>
        <w:t>SM</w:t>
      </w:r>
      <w:r w:rsidR="00060AC2" w:rsidRPr="00E71630">
        <w:rPr>
          <w:rFonts w:ascii="Garamond" w:hAnsi="Garamond"/>
          <w:b/>
          <w:bCs/>
        </w:rPr>
        <w:t>1.</w:t>
      </w:r>
      <w:r w:rsidRPr="00E71630">
        <w:rPr>
          <w:rFonts w:ascii="Garamond" w:hAnsi="Garamond"/>
        </w:rPr>
        <w:t xml:space="preserve"> </w:t>
      </w:r>
      <w:r w:rsidR="004C74C4" w:rsidRPr="00E71630">
        <w:rPr>
          <w:rFonts w:ascii="Garamond" w:hAnsi="Garamond"/>
        </w:rPr>
        <w:t xml:space="preserve">Summary of the characteristics of the experimental design adopted in the </w:t>
      </w:r>
      <w:r w:rsidR="00681B40" w:rsidRPr="00E71630">
        <w:rPr>
          <w:rFonts w:ascii="Garamond" w:hAnsi="Garamond"/>
        </w:rPr>
        <w:t>different</w:t>
      </w:r>
      <w:r w:rsidR="004C74C4" w:rsidRPr="00E71630">
        <w:rPr>
          <w:rFonts w:ascii="Garamond" w:hAnsi="Garamond"/>
        </w:rPr>
        <w:t xml:space="preserve"> studies considered in this review</w:t>
      </w:r>
      <w:r w:rsidR="00681B40" w:rsidRPr="00E71630">
        <w:rPr>
          <w:rFonts w:ascii="Garamond" w:hAnsi="Garamond"/>
        </w:rPr>
        <w:t xml:space="preserve"> (</w:t>
      </w:r>
      <w:r w:rsidR="00F86268" w:rsidRPr="00E71630">
        <w:rPr>
          <w:rFonts w:ascii="Garamond" w:hAnsi="Garamond"/>
        </w:rPr>
        <w:t xml:space="preserve">aim of the study; </w:t>
      </w:r>
      <w:r w:rsidR="00681B40" w:rsidRPr="00E71630">
        <w:rPr>
          <w:rFonts w:ascii="Garamond" w:hAnsi="Garamond"/>
        </w:rPr>
        <w:t>pollutants investigated; year and period of monitoring/sampling; country</w:t>
      </w:r>
      <w:r w:rsidR="00F86268" w:rsidRPr="00E71630">
        <w:rPr>
          <w:rFonts w:ascii="Garamond" w:hAnsi="Garamond"/>
        </w:rPr>
        <w:t>; area</w:t>
      </w:r>
      <w:r w:rsidR="00681B40" w:rsidRPr="00E71630">
        <w:rPr>
          <w:rFonts w:ascii="Garamond" w:hAnsi="Garamond"/>
        </w:rPr>
        <w:t>)</w:t>
      </w:r>
      <w:r w:rsidR="004C74C4" w:rsidRPr="00E71630">
        <w:rPr>
          <w:rFonts w:ascii="Garamond" w:hAnsi="Garamond"/>
        </w:rPr>
        <w:t>.</w:t>
      </w:r>
      <w:r w:rsidR="00681B40" w:rsidRPr="00E71630">
        <w:rPr>
          <w:rFonts w:ascii="Garamond" w:hAnsi="Garamond"/>
        </w:rPr>
        <w:t xml:space="preserve"> </w:t>
      </w:r>
      <w:r w:rsidR="0019417E" w:rsidRPr="00E71630">
        <w:rPr>
          <w:rFonts w:ascii="Garamond" w:hAnsi="Garamond"/>
        </w:rPr>
        <w:t>S/M: Sampling/Monitoring; W: Winter; SP: Spring; SU: Summer; F: Fall</w:t>
      </w:r>
      <w:r w:rsidR="0006060B" w:rsidRPr="00E71630">
        <w:rPr>
          <w:rFonts w:ascii="Garamond" w:hAnsi="Garamond"/>
        </w:rPr>
        <w:t>.</w:t>
      </w:r>
      <w:r w:rsidR="00E65D0F">
        <w:fldChar w:fldCharType="begin"/>
      </w:r>
      <w:r w:rsidR="00E65D0F">
        <w:instrText xml:space="preserve"> LINK </w:instrText>
      </w:r>
      <w:r w:rsidR="004C7898">
        <w:instrText xml:space="preserve">Excel.Sheet.12 "C:\\Users\\franc\\Dropbox\\Documenti\\+++Documenti\\RAHH\\D-Dust\\Review D-DUST\\Agri\\Review D.DUST_PORCO.xlsx" Sheet1!R1C1:R24C7 </w:instrText>
      </w:r>
      <w:r w:rsidR="00E65D0F">
        <w:instrText xml:space="preserve">\a \f 4 \h  \* MERGEFORMAT </w:instrText>
      </w:r>
      <w:r w:rsidR="00E65D0F">
        <w:fldChar w:fldCharType="separate"/>
      </w:r>
    </w:p>
    <w:tbl>
      <w:tblPr>
        <w:tblW w:w="13840" w:type="dxa"/>
        <w:tblLook w:val="04A0" w:firstRow="1" w:lastRow="0" w:firstColumn="1" w:lastColumn="0" w:noHBand="0" w:noVBand="1"/>
      </w:tblPr>
      <w:tblGrid>
        <w:gridCol w:w="1180"/>
        <w:gridCol w:w="4299"/>
        <w:gridCol w:w="1147"/>
        <w:gridCol w:w="1180"/>
        <w:gridCol w:w="1579"/>
        <w:gridCol w:w="924"/>
        <w:gridCol w:w="3531"/>
      </w:tblGrid>
      <w:tr w:rsidR="006E426F" w:rsidRPr="00E71630" w14:paraId="5D0F8D59" w14:textId="77777777" w:rsidTr="00260FFE">
        <w:trPr>
          <w:divId w:val="1401752343"/>
          <w:trHeight w:val="303"/>
        </w:trPr>
        <w:tc>
          <w:tcPr>
            <w:tcW w:w="1180" w:type="dxa"/>
            <w:tcBorders>
              <w:top w:val="single" w:sz="8" w:space="0" w:color="auto"/>
              <w:left w:val="nil"/>
              <w:bottom w:val="single" w:sz="8" w:space="0" w:color="auto"/>
              <w:right w:val="nil"/>
            </w:tcBorders>
            <w:shd w:val="clear" w:color="auto" w:fill="auto"/>
            <w:vAlign w:val="center"/>
            <w:hideMark/>
          </w:tcPr>
          <w:p w14:paraId="08F392B7" w14:textId="7A1A18D2" w:rsidR="004C7898" w:rsidRPr="00E71630" w:rsidRDefault="004C789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Reference</w:t>
            </w:r>
          </w:p>
        </w:tc>
        <w:tc>
          <w:tcPr>
            <w:tcW w:w="4299" w:type="dxa"/>
            <w:tcBorders>
              <w:top w:val="single" w:sz="8" w:space="0" w:color="auto"/>
              <w:left w:val="nil"/>
              <w:bottom w:val="single" w:sz="8" w:space="0" w:color="auto"/>
              <w:right w:val="nil"/>
            </w:tcBorders>
            <w:shd w:val="clear" w:color="auto" w:fill="auto"/>
            <w:vAlign w:val="center"/>
            <w:hideMark/>
          </w:tcPr>
          <w:p w14:paraId="03502132" w14:textId="77777777" w:rsidR="004C7898" w:rsidRPr="00E71630" w:rsidRDefault="004C789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Aim of the study</w:t>
            </w:r>
          </w:p>
        </w:tc>
        <w:tc>
          <w:tcPr>
            <w:tcW w:w="1147" w:type="dxa"/>
            <w:tcBorders>
              <w:top w:val="single" w:sz="8" w:space="0" w:color="auto"/>
              <w:left w:val="nil"/>
              <w:bottom w:val="single" w:sz="8" w:space="0" w:color="auto"/>
              <w:right w:val="nil"/>
            </w:tcBorders>
            <w:shd w:val="clear" w:color="auto" w:fill="auto"/>
            <w:vAlign w:val="center"/>
            <w:hideMark/>
          </w:tcPr>
          <w:p w14:paraId="34161CCF" w14:textId="77777777" w:rsidR="004C7898" w:rsidRPr="00E71630" w:rsidRDefault="004C789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 xml:space="preserve">Pollutants </w:t>
            </w:r>
          </w:p>
        </w:tc>
        <w:tc>
          <w:tcPr>
            <w:tcW w:w="1180" w:type="dxa"/>
            <w:tcBorders>
              <w:top w:val="single" w:sz="8" w:space="0" w:color="auto"/>
              <w:left w:val="nil"/>
              <w:bottom w:val="single" w:sz="8" w:space="0" w:color="auto"/>
              <w:right w:val="nil"/>
            </w:tcBorders>
            <w:shd w:val="clear" w:color="auto" w:fill="auto"/>
            <w:vAlign w:val="center"/>
            <w:hideMark/>
          </w:tcPr>
          <w:p w14:paraId="4F5BFA08" w14:textId="77777777" w:rsidR="004C7898" w:rsidRPr="00E71630" w:rsidRDefault="004C789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Year of S/M</w:t>
            </w:r>
          </w:p>
        </w:tc>
        <w:tc>
          <w:tcPr>
            <w:tcW w:w="1579" w:type="dxa"/>
            <w:tcBorders>
              <w:top w:val="single" w:sz="8" w:space="0" w:color="auto"/>
              <w:left w:val="nil"/>
              <w:bottom w:val="single" w:sz="8" w:space="0" w:color="auto"/>
              <w:right w:val="nil"/>
            </w:tcBorders>
            <w:shd w:val="clear" w:color="auto" w:fill="auto"/>
            <w:vAlign w:val="center"/>
            <w:hideMark/>
          </w:tcPr>
          <w:p w14:paraId="1693E4AB" w14:textId="77777777" w:rsidR="004C7898" w:rsidRPr="00E71630" w:rsidRDefault="004C789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S/M period</w:t>
            </w:r>
          </w:p>
        </w:tc>
        <w:tc>
          <w:tcPr>
            <w:tcW w:w="924" w:type="dxa"/>
            <w:tcBorders>
              <w:top w:val="single" w:sz="8" w:space="0" w:color="auto"/>
              <w:left w:val="nil"/>
              <w:bottom w:val="single" w:sz="8" w:space="0" w:color="auto"/>
              <w:right w:val="nil"/>
            </w:tcBorders>
            <w:shd w:val="clear" w:color="auto" w:fill="auto"/>
            <w:vAlign w:val="center"/>
            <w:hideMark/>
          </w:tcPr>
          <w:p w14:paraId="42B82CD8" w14:textId="77777777" w:rsidR="004C7898" w:rsidRPr="00E71630" w:rsidRDefault="004C789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Country</w:t>
            </w:r>
          </w:p>
        </w:tc>
        <w:tc>
          <w:tcPr>
            <w:tcW w:w="3531" w:type="dxa"/>
            <w:tcBorders>
              <w:top w:val="single" w:sz="8" w:space="0" w:color="auto"/>
              <w:left w:val="nil"/>
              <w:bottom w:val="single" w:sz="8" w:space="0" w:color="auto"/>
              <w:right w:val="nil"/>
            </w:tcBorders>
            <w:shd w:val="clear" w:color="auto" w:fill="auto"/>
            <w:vAlign w:val="center"/>
            <w:hideMark/>
          </w:tcPr>
          <w:p w14:paraId="2E9D2134" w14:textId="77777777" w:rsidR="004C7898" w:rsidRPr="00E71630" w:rsidRDefault="004C789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Area</w:t>
            </w:r>
          </w:p>
        </w:tc>
      </w:tr>
      <w:tr w:rsidR="006E426F" w:rsidRPr="00E71630" w14:paraId="1339B3FD"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38AE77C8" w14:textId="0BAA1723" w:rsidR="004C7898" w:rsidRPr="00E71630" w:rsidRDefault="00E14647"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{"citationItems":[{"id":"ITEM-1","itemData":{"DOI":"10.24953/turkjped.2021.02.010","ISSN":"2791-6421 (Electronic)","PMID":"33929116","abstract":"BACKGROUND: In recent years, many studies have evaluated the increasing incidence  of asthma and chronic respiratory diseases among children living close to rural areas with pesticide application. Pesticide exposure in 266 children (126 girls and 140 boys) in Şanlıurfa, a cotton-producing province in Turkey, was explored in this work. Four different villages spread over 40 km2 were included. METHODS: Measurements of peak expiratory flow (PEF) in 266 children were conducted in late June, before intensive pesticide applications in the cotton-producing fields. The measurements were repeated for 72 of 266 children after pesticide application in late August. PEF, particulate matter with diameter less than 2.5 μm (PM &lt; sub &gt; 2.5 &lt; /sub &gt; ), particulate matter with diameter less than 10 μm (PM &lt; sub &gt; 10 &lt; /sub &gt; ), temperature, humidity, and wind speed were measured. RESULTS: After pesticide application, mean PM &lt; sub &gt; 2.5 &lt; /sub &gt; and PM &lt; sub &gt; 10 &lt; /sub &gt; values were significantly increased compared to before pesticide application (p &lt; 0.001 for both parameters). After pesticide exposure, nasal discharge, sneezing, burning and itching in the eyes, cough, sputum production, wheezing, shortness of breath and chest tightness were significantly increased (p &lt; 0.001). The mean PEF value was demonstrated to decrease significantly after pesticide application (p &lt; 0.001). Moreover, significant negative correlations were noted between PEF and PM &lt; sub &gt; 10 &lt; /sub &gt; and between PEF and PM &lt; sub &gt; 2.5 &lt; /sub &gt; (p &lt; 0.001). CONCLUSIONS: Intensive pesticide application causes respiratory dysfunction and increased respiratory complaints in children living near the affected agricultural areas, and impacts quality of life adversely. The results of this work can be used to develop an early warning system and methods to prevent respiratory disorders in children residing in the study area.","author":[{"dropping-particle":"","family":"Ali-Sak","given":"Zafer Hasan","non-dropping-particle":"","parse-names":false,"suffix":""},{"dropping-particle":"","family":"Kurtuluş","given":"Şerif","non-dropping-particle":"","parse-names":false,"suffix":""},{"dropping-particle":"","family":"Ocaklı","given":"Birsen","non-dropping-particle":"","parse-names":false,"suffix":""},{"dropping-particle":"","family":"Töreyin","given":"Zehra Nur","non-dropping-particle":"","parse-names":false,"suffix":""},{"dropping-particle":"","family":"Bayhan","given":"İbrahim","non-dropping-particle":"","parse-names":false,"suffix":""},{"dropping-particle":"","family":"Yeşilnacar","given":"M İrfan","non-dropping-particle":"","parse-names":false,"suffix":""},{"dropping-particle":"","family":"Akgün","given":"Metin","non-dropping-particle":"","parse-names":false,"suffix":""},{"dropping-particle":"","family":"Arslanoğlu","given":"İlknur","non-dropping-particle":"","parse-names":false,"suffix":""},{"dropping-particle":"","family":"Arbak","given":"Peri Meram","non-dropping-particle":"","parse-names":false,"suffix":""}],"container-title":"The Turkish journal of pediatrics","id":"ITEM-1","issue":"2","issued":{"date-parts":[["2021"]]},"language":"eng","page":"263-272","publisher-place":"Turkey","title":"The relationship between particulate matter and childhood respiratory complaints  and peak expiratory flows in Harran agricultural area.","type":"article-journal","volume":"63"},"uris":["http://www.mendeley.com/documents/?uuid=7b3aaeb0-28d6-42b6-9367-71615d6c5387"]}],"mendeley":{"formattedCitation":"(Ali-Sak et al. 2021)","plainTextFormattedCitation":"(Ali-Sak et al. 2021)","previouslyFormattedCitation":"(Ali-Sak et al. 2021)"},"properties":{"noteIndex":0},"schema":"https://github.com/citation-style-language/schema/raw/master/csl-citation.json"}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(Ali-Sak et al. 2021)</w:t>
            </w:r>
            <w:r w:rsidRPr="00E71630">
              <w:rPr>
                <w:rFonts w:ascii="Garamond" w:eastAsia="Times New Roman" w:hAnsi="Garamond" w:cs="Calibri"/>
                <w:color w:val="000000"/>
                <w:sz w:val="16"/>
                <w:szCs w:val="16"/>
                <w:lang w:eastAsia="en-GB"/>
              </w:rPr>
              <w:fldChar w:fldCharType="end"/>
            </w:r>
          </w:p>
        </w:tc>
        <w:tc>
          <w:tcPr>
            <w:tcW w:w="4299" w:type="dxa"/>
            <w:tcBorders>
              <w:top w:val="nil"/>
              <w:left w:val="nil"/>
              <w:bottom w:val="dotted" w:sz="4" w:space="0" w:color="auto"/>
              <w:right w:val="nil"/>
            </w:tcBorders>
            <w:shd w:val="clear" w:color="auto" w:fill="auto"/>
            <w:vAlign w:val="center"/>
            <w:hideMark/>
          </w:tcPr>
          <w:p w14:paraId="4E015419" w14:textId="72772C74" w:rsidR="00F86268" w:rsidRPr="00E71630" w:rsidRDefault="004C7898" w:rsidP="00E71630">
            <w:pPr>
              <w:pStyle w:val="Paragrafoelenco"/>
              <w:numPr>
                <w:ilvl w:val="0"/>
                <w:numId w:val="5"/>
              </w:numPr>
              <w:spacing w:line="240" w:lineRule="auto"/>
              <w:ind w:left="128" w:hanging="128"/>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Measure the peak expiratory flow rates before and after pesticide application and record upper and lower respiratory tract complaints among children</w:t>
            </w:r>
            <w:r w:rsidR="00F86268" w:rsidRPr="00E71630">
              <w:rPr>
                <w:rFonts w:ascii="Garamond" w:eastAsia="Times New Roman" w:hAnsi="Garamond" w:cs="Calibri"/>
                <w:color w:val="000000"/>
                <w:sz w:val="16"/>
                <w:szCs w:val="16"/>
                <w:lang w:eastAsia="en-GB"/>
              </w:rPr>
              <w:t>.</w:t>
            </w:r>
          </w:p>
          <w:p w14:paraId="18361571" w14:textId="436327F9" w:rsidR="004C7898" w:rsidRPr="00E71630" w:rsidRDefault="004C7898" w:rsidP="00E71630">
            <w:pPr>
              <w:pStyle w:val="Paragrafoelenco"/>
              <w:numPr>
                <w:ilvl w:val="0"/>
                <w:numId w:val="5"/>
              </w:numPr>
              <w:spacing w:line="240" w:lineRule="auto"/>
              <w:ind w:left="128" w:hanging="128"/>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Explore the relationship of these data with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xml:space="preserve"> and PM</w:t>
            </w:r>
            <w:r w:rsidRPr="00E71630">
              <w:rPr>
                <w:rFonts w:ascii="Garamond" w:eastAsia="Times New Roman" w:hAnsi="Garamond" w:cs="Calibri"/>
                <w:color w:val="000000"/>
                <w:sz w:val="16"/>
                <w:szCs w:val="16"/>
                <w:vertAlign w:val="subscript"/>
                <w:lang w:eastAsia="en-GB"/>
              </w:rPr>
              <w:t>2.5</w:t>
            </w:r>
            <w:r w:rsidRPr="00E71630">
              <w:rPr>
                <w:rFonts w:ascii="Garamond" w:eastAsia="Times New Roman" w:hAnsi="Garamond" w:cs="Calibri"/>
                <w:color w:val="000000"/>
                <w:sz w:val="16"/>
                <w:szCs w:val="16"/>
                <w:lang w:eastAsia="en-GB"/>
              </w:rPr>
              <w:t xml:space="preserve"> levels.</w:t>
            </w:r>
          </w:p>
        </w:tc>
        <w:tc>
          <w:tcPr>
            <w:tcW w:w="1147" w:type="dxa"/>
            <w:tcBorders>
              <w:top w:val="nil"/>
              <w:left w:val="nil"/>
              <w:bottom w:val="dotted" w:sz="4" w:space="0" w:color="auto"/>
              <w:right w:val="nil"/>
            </w:tcBorders>
            <w:shd w:val="clear" w:color="auto" w:fill="auto"/>
            <w:vAlign w:val="center"/>
            <w:hideMark/>
          </w:tcPr>
          <w:p w14:paraId="6DE14519"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2.5</w:t>
            </w:r>
            <w:r w:rsidRPr="00E71630">
              <w:rPr>
                <w:rFonts w:ascii="Garamond" w:eastAsia="Times New Roman" w:hAnsi="Garamond" w:cs="Calibri"/>
                <w:color w:val="000000"/>
                <w:sz w:val="16"/>
                <w:szCs w:val="16"/>
                <w:lang w:eastAsia="en-GB"/>
              </w:rPr>
              <w:t>; PM</w:t>
            </w:r>
            <w:r w:rsidRPr="00E71630">
              <w:rPr>
                <w:rFonts w:ascii="Garamond" w:eastAsia="Times New Roman" w:hAnsi="Garamond" w:cs="Calibri"/>
                <w:color w:val="000000"/>
                <w:sz w:val="16"/>
                <w:szCs w:val="16"/>
                <w:vertAlign w:val="subscript"/>
                <w:lang w:eastAsia="en-GB"/>
              </w:rPr>
              <w:t>10</w:t>
            </w:r>
          </w:p>
        </w:tc>
        <w:tc>
          <w:tcPr>
            <w:tcW w:w="1180" w:type="dxa"/>
            <w:tcBorders>
              <w:top w:val="nil"/>
              <w:left w:val="nil"/>
              <w:bottom w:val="dotted" w:sz="4" w:space="0" w:color="auto"/>
              <w:right w:val="nil"/>
            </w:tcBorders>
            <w:shd w:val="clear" w:color="auto" w:fill="auto"/>
            <w:vAlign w:val="center"/>
            <w:hideMark/>
          </w:tcPr>
          <w:p w14:paraId="7624C0FF"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2016</w:t>
            </w:r>
          </w:p>
        </w:tc>
        <w:tc>
          <w:tcPr>
            <w:tcW w:w="1579" w:type="dxa"/>
            <w:tcBorders>
              <w:top w:val="nil"/>
              <w:left w:val="nil"/>
              <w:bottom w:val="dotted" w:sz="4" w:space="0" w:color="auto"/>
              <w:right w:val="nil"/>
            </w:tcBorders>
            <w:shd w:val="clear" w:color="auto" w:fill="auto"/>
            <w:vAlign w:val="center"/>
            <w:hideMark/>
          </w:tcPr>
          <w:p w14:paraId="7B0CECA5"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SU</w:t>
            </w:r>
          </w:p>
        </w:tc>
        <w:tc>
          <w:tcPr>
            <w:tcW w:w="924" w:type="dxa"/>
            <w:tcBorders>
              <w:top w:val="nil"/>
              <w:left w:val="nil"/>
              <w:bottom w:val="dotted" w:sz="4" w:space="0" w:color="auto"/>
              <w:right w:val="nil"/>
            </w:tcBorders>
            <w:shd w:val="clear" w:color="auto" w:fill="auto"/>
            <w:vAlign w:val="center"/>
            <w:hideMark/>
          </w:tcPr>
          <w:p w14:paraId="39DF7971"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Turkey</w:t>
            </w:r>
          </w:p>
        </w:tc>
        <w:tc>
          <w:tcPr>
            <w:tcW w:w="3531" w:type="dxa"/>
            <w:tcBorders>
              <w:top w:val="nil"/>
              <w:left w:val="nil"/>
              <w:bottom w:val="dotted" w:sz="4" w:space="0" w:color="auto"/>
              <w:right w:val="nil"/>
            </w:tcBorders>
            <w:shd w:val="clear" w:color="auto" w:fill="auto"/>
            <w:vAlign w:val="center"/>
            <w:hideMark/>
          </w:tcPr>
          <w:p w14:paraId="4D42B57F"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Villages scattered over an area of 40 km</w:t>
            </w:r>
            <w:r w:rsidRPr="00E71630">
              <w:rPr>
                <w:rFonts w:ascii="Garamond" w:eastAsia="Times New Roman" w:hAnsi="Garamond" w:cs="Calibri"/>
                <w:color w:val="000000"/>
                <w:sz w:val="16"/>
                <w:szCs w:val="16"/>
                <w:vertAlign w:val="superscript"/>
                <w:lang w:eastAsia="en-GB"/>
              </w:rPr>
              <w:t>2</w:t>
            </w:r>
            <w:r w:rsidRPr="00E71630">
              <w:rPr>
                <w:rFonts w:ascii="Garamond" w:eastAsia="Times New Roman" w:hAnsi="Garamond" w:cs="Calibri"/>
                <w:color w:val="000000"/>
                <w:sz w:val="16"/>
                <w:szCs w:val="16"/>
                <w:lang w:eastAsia="en-GB"/>
              </w:rPr>
              <w:t>: Giyimli, Küçük Minareli, Büyük Minareli and Bozyazı.</w:t>
            </w:r>
          </w:p>
        </w:tc>
      </w:tr>
      <w:tr w:rsidR="006E426F" w:rsidRPr="00E71630" w14:paraId="3016F7C2"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27BAA523" w14:textId="12B42F75" w:rsidR="004C7898"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DOI":"10.1111/lam.12024","author":[{"dropping-particle":"","family":"Barnig","given":"C","non-dropping-particle":"","parse-names":false,"suffix":""},{"dropping-particle":"","family":"Reboux","given":"G","non-dropping-particle":"","parse-names":false,"suffix":""},{"dropping-particle":"","family":"Roussel","given":"S","non-dropping-particle":"","parse-names":false,"suffix":""},{"dropping-particle":"","family":"Casset","given":"A","non-dropping-particle":"","parse-names":false,"suffix":""},{"dropping-particle":"","family":"Sohy","given":"C","non-dropping-particle":"","parse-names":false,"suffix":""},{"dropping-particle":"","family":"Dalphin","given":"J","non-dropping-particle":"","parse-names":false,"suffix":""},{"dropping-particle":"De","family":"Blay","given":"F","non-dropping-particle":"","parse-names":false,"suffix":""}],"id":"ITEM-1","issued":{"date-parts":[["2012"]]},"page":"161-167","title":"Indoor dust and air concentrations of endotoxin in urban and rural environments","type":"article-journal"},"uris":["http://www.mendeley.com/documents/?uuid=7f23abcb-5dd0-45e6-a0b3-4efef074c771"]}],"mendeley":{"formattedCitation":"(Barnig et al. 2012)","plainTextFormattedCitation":"(Barnig et al. 2012)","previouslyFormattedCitation":"(Barnig et al. 2012)"},"properties":{"noteIndex":0},"schema":"https://github.com/citation-style-language/schema/raw/master/csl-citation.json"}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(Barnig et al. 2012)</w:t>
            </w:r>
            <w:r w:rsidRPr="00E71630">
              <w:rPr>
                <w:rFonts w:ascii="Garamond" w:eastAsia="Times New Roman" w:hAnsi="Garamond" w:cs="Calibri"/>
                <w:color w:val="000000"/>
                <w:sz w:val="16"/>
                <w:szCs w:val="16"/>
                <w:lang w:eastAsia="en-GB"/>
              </w:rPr>
              <w:fldChar w:fldCharType="end"/>
            </w:r>
          </w:p>
        </w:tc>
        <w:tc>
          <w:tcPr>
            <w:tcW w:w="4299" w:type="dxa"/>
            <w:tcBorders>
              <w:top w:val="nil"/>
              <w:left w:val="nil"/>
              <w:bottom w:val="dotted" w:sz="4" w:space="0" w:color="auto"/>
              <w:right w:val="nil"/>
            </w:tcBorders>
            <w:shd w:val="clear" w:color="auto" w:fill="auto"/>
            <w:vAlign w:val="center"/>
            <w:hideMark/>
          </w:tcPr>
          <w:p w14:paraId="3E5DFA58" w14:textId="77777777" w:rsidR="004C7898" w:rsidRPr="00E71630" w:rsidRDefault="004C7898"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Compare indoor endotoxin concentrations in air and dust samples from randomly selected dwellings in an urban and rural environment.</w:t>
            </w:r>
          </w:p>
        </w:tc>
        <w:tc>
          <w:tcPr>
            <w:tcW w:w="1147" w:type="dxa"/>
            <w:tcBorders>
              <w:top w:val="nil"/>
              <w:left w:val="nil"/>
              <w:bottom w:val="dotted" w:sz="4" w:space="0" w:color="auto"/>
              <w:right w:val="nil"/>
            </w:tcBorders>
            <w:shd w:val="clear" w:color="auto" w:fill="auto"/>
            <w:vAlign w:val="center"/>
            <w:hideMark/>
          </w:tcPr>
          <w:p w14:paraId="3659D883"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Dust; Endotoxin</w:t>
            </w:r>
          </w:p>
        </w:tc>
        <w:tc>
          <w:tcPr>
            <w:tcW w:w="1180" w:type="dxa"/>
            <w:tcBorders>
              <w:top w:val="nil"/>
              <w:left w:val="nil"/>
              <w:bottom w:val="dotted" w:sz="4" w:space="0" w:color="auto"/>
              <w:right w:val="nil"/>
            </w:tcBorders>
            <w:shd w:val="clear" w:color="auto" w:fill="auto"/>
            <w:vAlign w:val="center"/>
            <w:hideMark/>
          </w:tcPr>
          <w:p w14:paraId="2FD3EB90"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579" w:type="dxa"/>
            <w:tcBorders>
              <w:top w:val="nil"/>
              <w:left w:val="nil"/>
              <w:bottom w:val="dotted" w:sz="4" w:space="0" w:color="auto"/>
              <w:right w:val="nil"/>
            </w:tcBorders>
            <w:shd w:val="clear" w:color="auto" w:fill="auto"/>
            <w:vAlign w:val="center"/>
            <w:hideMark/>
          </w:tcPr>
          <w:p w14:paraId="7000C236"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w:t>
            </w:r>
          </w:p>
        </w:tc>
        <w:tc>
          <w:tcPr>
            <w:tcW w:w="924" w:type="dxa"/>
            <w:tcBorders>
              <w:top w:val="nil"/>
              <w:left w:val="nil"/>
              <w:bottom w:val="dotted" w:sz="4" w:space="0" w:color="auto"/>
              <w:right w:val="nil"/>
            </w:tcBorders>
            <w:shd w:val="clear" w:color="auto" w:fill="auto"/>
            <w:vAlign w:val="center"/>
            <w:hideMark/>
          </w:tcPr>
          <w:p w14:paraId="682775B8"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France</w:t>
            </w:r>
          </w:p>
        </w:tc>
        <w:tc>
          <w:tcPr>
            <w:tcW w:w="3531" w:type="dxa"/>
            <w:tcBorders>
              <w:top w:val="nil"/>
              <w:left w:val="nil"/>
              <w:bottom w:val="dotted" w:sz="4" w:space="0" w:color="auto"/>
              <w:right w:val="nil"/>
            </w:tcBorders>
            <w:shd w:val="clear" w:color="auto" w:fill="auto"/>
            <w:vAlign w:val="center"/>
            <w:hideMark/>
          </w:tcPr>
          <w:p w14:paraId="4CDC0775"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6E426F" w:rsidRPr="00E71630" w14:paraId="6AC10EAA"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tcPr>
          <w:p w14:paraId="7C2BA8A9" w14:textId="647EB160" w:rsidR="004C7898"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{"citationItems":[{"id":"ITEM-1","itemData":{"author":[{"dropping-particle":"","family":"Blanes-vidal","given":"Victoria","non-dropping-particle":"","parse-names":false,"suffix":""},{"dropping-particle":"","family":"Nadimi","given":"Esmaeil S","non-dropping-particle":"","parse-names":false,"suffix":""},{"dropping-particle":"","family":"Ellermann","given":"Thomas","non-dropping-particle":"","parse-names":false,"suffix":""},{"dropping-particle":"V","family":"Andersen","given":"Helle","non-dropping-particle":"","parse-names":false,"suffix":""},{"dropping-particle":"","family":"Løfstrøm","given":"Per","non-dropping-particle":"","parse-names":false,"suffix":""}],"id":"ITEM-1","issued":{"date-parts":[["2012"]]},"page":"1-10","title":"Perceived annoyance from environmental odors and association with atmospheric ammonia levels in non-urban residential communities : a cross-sectional study","type":"article-journal"},"uris":["http://www.mendeley.com/documents/?uuid=b86cd9dc-e341-40e6-aa53-8513bb8d65df"]}],"mendeley":{"formattedCitation":"(Blanes-vidal et al. 2012)","plainTextFormattedCitation":"(Blanes-vidal et al. 2012)","previouslyFormattedCitation":"(Blanes-vidal et al. 2012)"},"properties":{"noteIndex":0},"schema":"https://github.com/citation-style-language/schema/raw/master/csl-citation.json"}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(Blanes-vidal et al. 2012)</w:t>
            </w:r>
            <w:r w:rsidRPr="00E71630">
              <w:rPr>
                <w:rFonts w:ascii="Garamond" w:eastAsia="Times New Roman" w:hAnsi="Garamond" w:cs="Calibri"/>
                <w:color w:val="000000"/>
                <w:sz w:val="16"/>
                <w:szCs w:val="16"/>
                <w:lang w:eastAsia="en-GB"/>
              </w:rPr>
              <w:fldChar w:fldCharType="end"/>
            </w:r>
          </w:p>
        </w:tc>
        <w:tc>
          <w:tcPr>
            <w:tcW w:w="4299" w:type="dxa"/>
            <w:tcBorders>
              <w:top w:val="nil"/>
              <w:left w:val="nil"/>
              <w:bottom w:val="dotted" w:sz="4" w:space="0" w:color="auto"/>
              <w:right w:val="nil"/>
            </w:tcBorders>
            <w:shd w:val="clear" w:color="auto" w:fill="auto"/>
            <w:vAlign w:val="center"/>
            <w:hideMark/>
          </w:tcPr>
          <w:p w14:paraId="5E2F0FD7" w14:textId="4A63D1DF" w:rsidR="00F86268" w:rsidRPr="00E71630" w:rsidRDefault="004C7898"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Evaluate the association between NH</w:t>
            </w:r>
            <w:r w:rsidRPr="00E71630">
              <w:rPr>
                <w:rFonts w:ascii="Garamond" w:eastAsia="Times New Roman" w:hAnsi="Garamond" w:cs="Calibri"/>
                <w:color w:val="000000"/>
                <w:sz w:val="16"/>
                <w:szCs w:val="16"/>
                <w:vertAlign w:val="subscript"/>
                <w:lang w:eastAsia="en-GB"/>
              </w:rPr>
              <w:t>3</w:t>
            </w:r>
            <w:r w:rsidRPr="00E71630">
              <w:rPr>
                <w:rFonts w:ascii="Garamond" w:eastAsia="Times New Roman" w:hAnsi="Garamond" w:cs="Calibri"/>
                <w:color w:val="000000"/>
                <w:sz w:val="16"/>
                <w:szCs w:val="16"/>
                <w:lang w:eastAsia="en-GB"/>
              </w:rPr>
              <w:t xml:space="preserve"> concentrations measured and estimated at non-urban air quality monitoring stations, and prevalence of odor annoyance in local residential communities</w:t>
            </w:r>
            <w:r w:rsidR="00F86268" w:rsidRPr="00E71630">
              <w:rPr>
                <w:rFonts w:ascii="Garamond" w:eastAsia="Times New Roman" w:hAnsi="Garamond" w:cs="Calibri"/>
                <w:color w:val="000000"/>
                <w:sz w:val="16"/>
                <w:szCs w:val="16"/>
                <w:lang w:eastAsia="en-GB"/>
              </w:rPr>
              <w:t>.</w:t>
            </w:r>
          </w:p>
          <w:p w14:paraId="31F25DC5" w14:textId="0FB642D8" w:rsidR="004C7898" w:rsidRPr="00E71630" w:rsidRDefault="004C7898"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Study the link between seasonal patterns in NH</w:t>
            </w:r>
            <w:r w:rsidRPr="00E71630">
              <w:rPr>
                <w:rFonts w:ascii="Garamond" w:eastAsia="Times New Roman" w:hAnsi="Garamond" w:cs="Calibri"/>
                <w:color w:val="000000"/>
                <w:sz w:val="16"/>
                <w:szCs w:val="16"/>
                <w:vertAlign w:val="subscript"/>
                <w:lang w:eastAsia="en-GB"/>
              </w:rPr>
              <w:t>3</w:t>
            </w:r>
            <w:r w:rsidRPr="00E71630">
              <w:rPr>
                <w:rFonts w:ascii="Garamond" w:eastAsia="Times New Roman" w:hAnsi="Garamond" w:cs="Calibri"/>
                <w:color w:val="000000"/>
                <w:sz w:val="16"/>
                <w:szCs w:val="16"/>
                <w:lang w:eastAsia="en-GB"/>
              </w:rPr>
              <w:t xml:space="preserve"> measurements and public perception of the seasonal variation on odor pollution.</w:t>
            </w:r>
          </w:p>
        </w:tc>
        <w:tc>
          <w:tcPr>
            <w:tcW w:w="1147" w:type="dxa"/>
            <w:tcBorders>
              <w:top w:val="nil"/>
              <w:left w:val="nil"/>
              <w:bottom w:val="dotted" w:sz="4" w:space="0" w:color="auto"/>
              <w:right w:val="nil"/>
            </w:tcBorders>
            <w:shd w:val="clear" w:color="auto" w:fill="auto"/>
            <w:vAlign w:val="center"/>
            <w:hideMark/>
          </w:tcPr>
          <w:p w14:paraId="3A042A81"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NH</w:t>
            </w:r>
            <w:r w:rsidRPr="00E71630">
              <w:rPr>
                <w:rFonts w:ascii="Garamond" w:eastAsia="Times New Roman" w:hAnsi="Garamond" w:cs="Calibri"/>
                <w:color w:val="000000"/>
                <w:sz w:val="16"/>
                <w:szCs w:val="16"/>
                <w:vertAlign w:val="subscript"/>
                <w:lang w:eastAsia="en-GB"/>
              </w:rPr>
              <w:t>3</w:t>
            </w:r>
            <w:r w:rsidRPr="00E71630">
              <w:rPr>
                <w:rFonts w:ascii="Garamond" w:eastAsia="Times New Roman" w:hAnsi="Garamond" w:cs="Calibri"/>
                <w:color w:val="000000"/>
                <w:sz w:val="16"/>
                <w:szCs w:val="16"/>
                <w:lang w:eastAsia="en-GB"/>
              </w:rPr>
              <w:t xml:space="preserve"> </w:t>
            </w:r>
          </w:p>
        </w:tc>
        <w:tc>
          <w:tcPr>
            <w:tcW w:w="1180" w:type="dxa"/>
            <w:tcBorders>
              <w:top w:val="nil"/>
              <w:left w:val="nil"/>
              <w:bottom w:val="dotted" w:sz="4" w:space="0" w:color="auto"/>
              <w:right w:val="nil"/>
            </w:tcBorders>
            <w:shd w:val="clear" w:color="auto" w:fill="auto"/>
            <w:vAlign w:val="center"/>
            <w:hideMark/>
          </w:tcPr>
          <w:p w14:paraId="4CDF6BD5"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579" w:type="dxa"/>
            <w:tcBorders>
              <w:top w:val="nil"/>
              <w:left w:val="nil"/>
              <w:bottom w:val="dotted" w:sz="4" w:space="0" w:color="auto"/>
              <w:right w:val="nil"/>
            </w:tcBorders>
            <w:shd w:val="clear" w:color="auto" w:fill="auto"/>
            <w:vAlign w:val="center"/>
            <w:hideMark/>
          </w:tcPr>
          <w:p w14:paraId="3238A378"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 SP; SU; F</w:t>
            </w:r>
          </w:p>
        </w:tc>
        <w:tc>
          <w:tcPr>
            <w:tcW w:w="924" w:type="dxa"/>
            <w:tcBorders>
              <w:top w:val="nil"/>
              <w:left w:val="nil"/>
              <w:bottom w:val="dotted" w:sz="4" w:space="0" w:color="auto"/>
              <w:right w:val="nil"/>
            </w:tcBorders>
            <w:shd w:val="clear" w:color="auto" w:fill="auto"/>
            <w:vAlign w:val="center"/>
            <w:hideMark/>
          </w:tcPr>
          <w:p w14:paraId="41E40B4F"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Denimark</w:t>
            </w:r>
          </w:p>
        </w:tc>
        <w:tc>
          <w:tcPr>
            <w:tcW w:w="3531" w:type="dxa"/>
            <w:tcBorders>
              <w:top w:val="nil"/>
              <w:left w:val="nil"/>
              <w:bottom w:val="dotted" w:sz="4" w:space="0" w:color="auto"/>
              <w:right w:val="nil"/>
            </w:tcBorders>
            <w:shd w:val="clear" w:color="auto" w:fill="auto"/>
            <w:vAlign w:val="center"/>
            <w:hideMark/>
          </w:tcPr>
          <w:p w14:paraId="6492B1EF"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Areas with different degree of agricultural activity.</w:t>
            </w:r>
          </w:p>
        </w:tc>
      </w:tr>
      <w:tr w:rsidR="006E426F" w:rsidRPr="00E71630" w14:paraId="508061A4"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tcPr>
          <w:p w14:paraId="0B5C7EBB" w14:textId="43878494" w:rsidR="004C7898"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DOI":"10.5604/12321966.1120617","author":[{"dropping-particle":"","family":"Buczaj","given":"Agnieszka","non-dropping-particle":"","parse-names":false,"suffix":""},{"dropping-particle":"","family":"Brzana","given":"Wojciech","non-dropping-particle":"","parse-names":false,"suffix":""},{"dropping-particle":"","family":"Tarasińska","given":"Joanna","non-dropping-particle":"","parse-names":false,"suffix":""},{"dropping-particle":"","family":"Buczaj","given":"Marcin","non-dropping-particle":"","parse-names":false,"suffix":""},{"dropping-particle":"","family":"Choina","given":"Piotr","non-dropping-particle":"","parse-names":false,"suffix":""}],"id":"ITEM-1","issue":"3","issued":{"date-parts":[["2014"]]},"page":"639-643","title":"Study on the concentration of airbone respirable asbestos fibres in rural areas of the Lublin region in south-east Poland","type":"article-journal","volume":"21"},"uris":["http://www.mendeley.com/documents/?uuid=1dfb0459-8a21-46bf-81da-c7f46cbf2b7f"]}],"mendeley":{"formattedCitation":"(Buczaj et al. 2014)","plainTextFormattedCitation":"(Buczaj et al. 2014)","previouslyFormattedCitation":"(Buczaj et al. 2014)"},"properties":{"noteIndex":0},"schema":"https://github.com/citation-style-language/schema/raw/master/csl-citation.json"}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(Buczaj et al. 2014)</w:t>
            </w:r>
            <w:r w:rsidRPr="00E71630">
              <w:rPr>
                <w:rFonts w:ascii="Garamond" w:eastAsia="Times New Roman" w:hAnsi="Garamond" w:cs="Calibri"/>
                <w:color w:val="000000"/>
                <w:sz w:val="16"/>
                <w:szCs w:val="16"/>
                <w:lang w:eastAsia="en-GB"/>
              </w:rPr>
              <w:fldChar w:fldCharType="end"/>
            </w:r>
          </w:p>
        </w:tc>
        <w:tc>
          <w:tcPr>
            <w:tcW w:w="4299" w:type="dxa"/>
            <w:tcBorders>
              <w:top w:val="nil"/>
              <w:left w:val="nil"/>
              <w:bottom w:val="dotted" w:sz="4" w:space="0" w:color="auto"/>
              <w:right w:val="nil"/>
            </w:tcBorders>
            <w:shd w:val="clear" w:color="auto" w:fill="auto"/>
            <w:vAlign w:val="center"/>
            <w:hideMark/>
          </w:tcPr>
          <w:p w14:paraId="76767FC8" w14:textId="77777777" w:rsidR="004C7898" w:rsidRPr="00E71630" w:rsidRDefault="004C7898"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Measurements of concentrations of asbestos fibres in ambient air in rural environment.</w:t>
            </w:r>
          </w:p>
        </w:tc>
        <w:tc>
          <w:tcPr>
            <w:tcW w:w="1147" w:type="dxa"/>
            <w:tcBorders>
              <w:top w:val="nil"/>
              <w:left w:val="nil"/>
              <w:bottom w:val="dotted" w:sz="4" w:space="0" w:color="auto"/>
              <w:right w:val="nil"/>
            </w:tcBorders>
            <w:shd w:val="clear" w:color="auto" w:fill="auto"/>
            <w:vAlign w:val="center"/>
            <w:hideMark/>
          </w:tcPr>
          <w:p w14:paraId="3B11102C"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Asbestos fibres</w:t>
            </w:r>
          </w:p>
        </w:tc>
        <w:tc>
          <w:tcPr>
            <w:tcW w:w="1180" w:type="dxa"/>
            <w:tcBorders>
              <w:top w:val="nil"/>
              <w:left w:val="nil"/>
              <w:bottom w:val="dotted" w:sz="4" w:space="0" w:color="auto"/>
              <w:right w:val="nil"/>
            </w:tcBorders>
            <w:shd w:val="clear" w:color="auto" w:fill="auto"/>
            <w:vAlign w:val="center"/>
            <w:hideMark/>
          </w:tcPr>
          <w:p w14:paraId="18A62CD9"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2009-2011</w:t>
            </w:r>
          </w:p>
        </w:tc>
        <w:tc>
          <w:tcPr>
            <w:tcW w:w="1579" w:type="dxa"/>
            <w:tcBorders>
              <w:top w:val="nil"/>
              <w:left w:val="nil"/>
              <w:bottom w:val="dotted" w:sz="4" w:space="0" w:color="auto"/>
              <w:right w:val="nil"/>
            </w:tcBorders>
            <w:shd w:val="clear" w:color="auto" w:fill="auto"/>
            <w:vAlign w:val="center"/>
            <w:hideMark/>
          </w:tcPr>
          <w:p w14:paraId="3A133189"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 SP; SU; F</w:t>
            </w:r>
          </w:p>
        </w:tc>
        <w:tc>
          <w:tcPr>
            <w:tcW w:w="924" w:type="dxa"/>
            <w:tcBorders>
              <w:top w:val="nil"/>
              <w:left w:val="nil"/>
              <w:bottom w:val="dotted" w:sz="4" w:space="0" w:color="auto"/>
              <w:right w:val="nil"/>
            </w:tcBorders>
            <w:shd w:val="clear" w:color="auto" w:fill="auto"/>
            <w:vAlign w:val="center"/>
            <w:hideMark/>
          </w:tcPr>
          <w:p w14:paraId="0D603129"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Poland</w:t>
            </w:r>
          </w:p>
        </w:tc>
        <w:tc>
          <w:tcPr>
            <w:tcW w:w="3531" w:type="dxa"/>
            <w:tcBorders>
              <w:top w:val="nil"/>
              <w:left w:val="nil"/>
              <w:bottom w:val="dotted" w:sz="4" w:space="0" w:color="auto"/>
              <w:right w:val="nil"/>
            </w:tcBorders>
            <w:shd w:val="clear" w:color="auto" w:fill="auto"/>
            <w:vAlign w:val="center"/>
            <w:hideMark/>
          </w:tcPr>
          <w:p w14:paraId="3E4AA3F2"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Rural areas: Lublin and Wlodawa countries.</w:t>
            </w:r>
          </w:p>
        </w:tc>
      </w:tr>
      <w:tr w:rsidR="006E426F" w:rsidRPr="00E71630" w14:paraId="675322CF"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tcPr>
          <w:p w14:paraId="682EAB8A" w14:textId="7518A3B6" w:rsidR="004C7898"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DOI":"10.1016/j.atmosenv.2009.09.004","author":[{"dropping-particle":"","family":"Campos-Ramos","given":"A","non-dropping-particle":"","parse-names":false,"suffix":""},{"dropping-particle":"","family":"Arago","given":"A","non-dropping-particle":"","parse-names":false,"suffix":""}],"id":"ITEM-1","issued":{"date-parts":[["2009"]]},"page":"6159-6167","title":"Characterization of atmospheric aerosols by SEM in a rural area in the western ´ xico and its relation with different pollution sources part of Me","type":"article-journal","volume":"43"},"uris":["http://www.mendeley.com/documents/?uuid=ed400650-e3da-4e95-8132-e5eaba210560"]}],"mendeley":{"formattedCitation":"(Campos-Ramos and Arago 2009)","plainTextFormattedCitation":"(Campos-Ramos and Arago 2009)","previouslyFormattedCitation":"(Campos-ramos and Arago 2009)"},"properties":{"noteIndex":0},"schema":"https://github.com/citation-style-language/schema/raw/master/csl-citation.json"}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00A84515" w:rsidRPr="00A84515">
              <w:rPr>
                <w:rFonts w:ascii="Garamond" w:eastAsia="Times New Roman" w:hAnsi="Garamond" w:cs="Calibri"/>
                <w:noProof/>
                <w:color w:val="000000"/>
                <w:sz w:val="16"/>
                <w:szCs w:val="16"/>
                <w:lang w:eastAsia="en-GB"/>
              </w:rPr>
              <w:t>(Campos-Ramos and Arago 2009)</w:t>
            </w:r>
            <w:r w:rsidRPr="00E71630">
              <w:rPr>
                <w:rFonts w:ascii="Garamond" w:eastAsia="Times New Roman" w:hAnsi="Garamond" w:cs="Calibri"/>
                <w:color w:val="000000"/>
                <w:sz w:val="16"/>
                <w:szCs w:val="16"/>
                <w:lang w:eastAsia="en-GB"/>
              </w:rPr>
              <w:fldChar w:fldCharType="end"/>
            </w:r>
          </w:p>
        </w:tc>
        <w:tc>
          <w:tcPr>
            <w:tcW w:w="4299" w:type="dxa"/>
            <w:tcBorders>
              <w:top w:val="nil"/>
              <w:left w:val="nil"/>
              <w:bottom w:val="dotted" w:sz="4" w:space="0" w:color="auto"/>
              <w:right w:val="nil"/>
            </w:tcBorders>
            <w:shd w:val="clear" w:color="auto" w:fill="auto"/>
            <w:vAlign w:val="center"/>
            <w:hideMark/>
          </w:tcPr>
          <w:p w14:paraId="6177BA9A" w14:textId="77777777" w:rsidR="004C7898" w:rsidRPr="00E71630" w:rsidRDefault="004C7898"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Give insight and detailed of the analysis of the morphological characteristics and chemical composition of atmospheric particles at individual level.</w:t>
            </w:r>
          </w:p>
        </w:tc>
        <w:tc>
          <w:tcPr>
            <w:tcW w:w="1147" w:type="dxa"/>
            <w:tcBorders>
              <w:top w:val="nil"/>
              <w:left w:val="nil"/>
              <w:bottom w:val="dotted" w:sz="4" w:space="0" w:color="auto"/>
              <w:right w:val="nil"/>
            </w:tcBorders>
            <w:shd w:val="clear" w:color="auto" w:fill="auto"/>
            <w:vAlign w:val="center"/>
            <w:hideMark/>
          </w:tcPr>
          <w:p w14:paraId="493E8E3F"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10</w:t>
            </w:r>
          </w:p>
        </w:tc>
        <w:tc>
          <w:tcPr>
            <w:tcW w:w="1180" w:type="dxa"/>
            <w:tcBorders>
              <w:top w:val="nil"/>
              <w:left w:val="nil"/>
              <w:bottom w:val="dotted" w:sz="4" w:space="0" w:color="auto"/>
              <w:right w:val="nil"/>
            </w:tcBorders>
            <w:shd w:val="clear" w:color="auto" w:fill="auto"/>
            <w:vAlign w:val="center"/>
            <w:hideMark/>
          </w:tcPr>
          <w:p w14:paraId="7FE3DABA"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2006-2007</w:t>
            </w:r>
          </w:p>
        </w:tc>
        <w:tc>
          <w:tcPr>
            <w:tcW w:w="1579" w:type="dxa"/>
            <w:tcBorders>
              <w:top w:val="nil"/>
              <w:left w:val="nil"/>
              <w:bottom w:val="dotted" w:sz="4" w:space="0" w:color="auto"/>
              <w:right w:val="nil"/>
            </w:tcBorders>
            <w:shd w:val="clear" w:color="auto" w:fill="auto"/>
            <w:vAlign w:val="center"/>
            <w:hideMark/>
          </w:tcPr>
          <w:p w14:paraId="634B1B96"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 SP; SU; F</w:t>
            </w:r>
          </w:p>
        </w:tc>
        <w:tc>
          <w:tcPr>
            <w:tcW w:w="924" w:type="dxa"/>
            <w:tcBorders>
              <w:top w:val="nil"/>
              <w:left w:val="nil"/>
              <w:bottom w:val="dotted" w:sz="4" w:space="0" w:color="auto"/>
              <w:right w:val="nil"/>
            </w:tcBorders>
            <w:shd w:val="clear" w:color="auto" w:fill="auto"/>
            <w:vAlign w:val="center"/>
            <w:hideMark/>
          </w:tcPr>
          <w:p w14:paraId="536E39CF"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Mexico</w:t>
            </w:r>
          </w:p>
        </w:tc>
        <w:tc>
          <w:tcPr>
            <w:tcW w:w="3531" w:type="dxa"/>
            <w:tcBorders>
              <w:top w:val="nil"/>
              <w:left w:val="nil"/>
              <w:bottom w:val="dotted" w:sz="4" w:space="0" w:color="auto"/>
              <w:right w:val="nil"/>
            </w:tcBorders>
            <w:shd w:val="clear" w:color="auto" w:fill="auto"/>
            <w:vAlign w:val="center"/>
            <w:hideMark/>
          </w:tcPr>
          <w:p w14:paraId="46AC9EC1"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Centro Universitario de Investigaciones en Ciencias del Ambiente (CUICA), located 12 km from the city of Colima, considered as a regional background station.</w:t>
            </w:r>
          </w:p>
        </w:tc>
      </w:tr>
      <w:tr w:rsidR="006E426F" w:rsidRPr="00E71630" w14:paraId="1CFCA8EF"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tcPr>
          <w:p w14:paraId="7B6B5116" w14:textId="0B588C90" w:rsidR="004C7898"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DOI":"10.1080/10962247.2014.928242","ISSN":"1096-2247","author":[{"dropping-particle":"V","family":"Assuncao","given":"Joao","non-dropping-particle":"de","parse-names":false,"suffix":""},{"dropping-particle":"","family":"Pesquero","given":"Célia R","non-dropping-particle":"","parse-names":false,"suffix":""},{"dropping-particle":"","family":"Nardocci","given":"Adelaide C","non-dropping-particle":"","parse-names":false,"suffix":""},{"dropping-particle":"","family":"Francisco","given":"Ana P","non-dropping-particle":"","parse-names":false,"suffix":""},{"dropping-particle":"","family":"Soares","given":"Nilson S","non-dropping-particle":"","parse-names":false,"suffix":""},{"dropping-particle":"","family":"Ribeiro","given":"Helena","non-dropping-particle":"","parse-names":false,"suffix":""}],"container-title":"Journal of the Air &amp; Waste Management Association","id":"ITEM-1","issue":"10","issued":{"date-parts":[["2014","10"]]},"page":"1130-1139","publisher":"Taylor &amp; Francis","title":"Airborne polycyclic aromatic hydrocarbons in a medium-sized city affected by preharvest sugarcane burning and inhalation risk for human health","type":"article-journal","volume":"64"},"uris":["http://www.mendeley.com/documents/?uuid=67daa887-a53b-4a7d-bd14-7e1f80ca9985"]}],"mendeley":{"formattedCitation":"(de Assuncao et al. 2014)","plainTextFormattedCitation":"(de Assuncao et al. 2014)","previouslyFormattedCitation":"(de Assuncao et al. 2014)"},"properties":{"noteIndex":0},"schema":"https://github.com/citation-style-language/schema/raw/master/csl-citation.json"}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(de Assuncao et al. 2014)</w:t>
            </w:r>
            <w:r w:rsidRPr="00E71630">
              <w:rPr>
                <w:rFonts w:ascii="Garamond" w:eastAsia="Times New Roman" w:hAnsi="Garamond" w:cs="Calibri"/>
                <w:color w:val="000000"/>
                <w:sz w:val="16"/>
                <w:szCs w:val="16"/>
                <w:lang w:eastAsia="en-GB"/>
              </w:rPr>
              <w:fldChar w:fldCharType="end"/>
            </w:r>
          </w:p>
        </w:tc>
        <w:tc>
          <w:tcPr>
            <w:tcW w:w="4299" w:type="dxa"/>
            <w:tcBorders>
              <w:top w:val="nil"/>
              <w:left w:val="nil"/>
              <w:bottom w:val="dotted" w:sz="4" w:space="0" w:color="auto"/>
              <w:right w:val="nil"/>
            </w:tcBorders>
            <w:shd w:val="clear" w:color="auto" w:fill="auto"/>
            <w:vAlign w:val="center"/>
            <w:hideMark/>
          </w:tcPr>
          <w:p w14:paraId="5F12BCCA" w14:textId="4FCEECC3" w:rsidR="004C7898" w:rsidRPr="00E71630" w:rsidRDefault="004C7898"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Measurements of concentrations of PAH and estimated the incremental cancer risk in Araraquara.</w:t>
            </w:r>
          </w:p>
        </w:tc>
        <w:tc>
          <w:tcPr>
            <w:tcW w:w="1147" w:type="dxa"/>
            <w:tcBorders>
              <w:top w:val="nil"/>
              <w:left w:val="nil"/>
              <w:bottom w:val="dotted" w:sz="4" w:space="0" w:color="auto"/>
              <w:right w:val="nil"/>
            </w:tcBorders>
            <w:shd w:val="clear" w:color="auto" w:fill="auto"/>
            <w:vAlign w:val="center"/>
            <w:hideMark/>
          </w:tcPr>
          <w:p w14:paraId="6CE17EB3"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PAHs</w:t>
            </w:r>
          </w:p>
        </w:tc>
        <w:tc>
          <w:tcPr>
            <w:tcW w:w="1180" w:type="dxa"/>
            <w:tcBorders>
              <w:top w:val="nil"/>
              <w:left w:val="nil"/>
              <w:bottom w:val="dotted" w:sz="4" w:space="0" w:color="auto"/>
              <w:right w:val="nil"/>
            </w:tcBorders>
            <w:shd w:val="clear" w:color="auto" w:fill="auto"/>
            <w:vAlign w:val="center"/>
            <w:hideMark/>
          </w:tcPr>
          <w:p w14:paraId="21C699C2"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2009</w:t>
            </w:r>
          </w:p>
        </w:tc>
        <w:tc>
          <w:tcPr>
            <w:tcW w:w="1579" w:type="dxa"/>
            <w:tcBorders>
              <w:top w:val="nil"/>
              <w:left w:val="nil"/>
              <w:bottom w:val="dotted" w:sz="4" w:space="0" w:color="auto"/>
              <w:right w:val="nil"/>
            </w:tcBorders>
            <w:shd w:val="clear" w:color="auto" w:fill="auto"/>
            <w:vAlign w:val="center"/>
            <w:hideMark/>
          </w:tcPr>
          <w:p w14:paraId="5B055D59"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SU; F</w:t>
            </w:r>
          </w:p>
        </w:tc>
        <w:tc>
          <w:tcPr>
            <w:tcW w:w="924" w:type="dxa"/>
            <w:tcBorders>
              <w:top w:val="nil"/>
              <w:left w:val="nil"/>
              <w:bottom w:val="dotted" w:sz="4" w:space="0" w:color="auto"/>
              <w:right w:val="nil"/>
            </w:tcBorders>
            <w:shd w:val="clear" w:color="auto" w:fill="auto"/>
            <w:vAlign w:val="center"/>
            <w:hideMark/>
          </w:tcPr>
          <w:p w14:paraId="77DB102C"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Brazil</w:t>
            </w:r>
          </w:p>
        </w:tc>
        <w:tc>
          <w:tcPr>
            <w:tcW w:w="3531" w:type="dxa"/>
            <w:tcBorders>
              <w:top w:val="nil"/>
              <w:left w:val="nil"/>
              <w:bottom w:val="dotted" w:sz="4" w:space="0" w:color="auto"/>
              <w:right w:val="nil"/>
            </w:tcBorders>
            <w:shd w:val="clear" w:color="auto" w:fill="auto"/>
            <w:vAlign w:val="center"/>
            <w:hideMark/>
          </w:tcPr>
          <w:p w14:paraId="2A0856F4"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Three sites: one in the city center and two in rural localities.</w:t>
            </w:r>
          </w:p>
        </w:tc>
      </w:tr>
      <w:tr w:rsidR="006E426F" w:rsidRPr="00E71630" w14:paraId="529B9EA9"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tcPr>
          <w:p w14:paraId="23E98795" w14:textId="468E4A7F" w:rsidR="004C7898"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{"citationItems":[{"id":"ITEM-1","itemData":{"author":[{"dropping-particle":"","family":"Green","given":"F H Y","non-dropping-particle":"","parse-names":false,"suffix":""},{"dropping-particle":"","family":"Yoshida","given":"K","non-dropping-particle":"","parse-names":false,"suffix":""},{"dropping-particle":"","family":"Fick","given":"G","non-dropping-particle":"","parse-names":false,"suffix":""},{"dropping-particle":"","family":"Paul","given":"J","non-dropping-particle":"","parse-names":false,"suffix":""},{"dropping-particle":"","family":"Hugh","given":"A","non-dropping-particle":"","parse-names":false,"suffix":""},{"dropping-particle":"","family":"Green","given":"W F","non-dropping-particle":"","parse-names":false,"suffix":""}],"id":"ITEM-1","issue":"Mumpton 1978","issued":{"date-parts":[["1990"]]},"page":"423-430","title":"Oeupatinfa l Environmental Health Characterization of airborne mineral dusts associated with farming activities in rural Alberta , Canada","type":"article-journal"},"uris":["http://www.mendeley.com/documents/?uuid=170052c4-8c39-4fb3-9b43-5c9daead320f"]}],"mendeley":{"formattedCitation":"(Green et al. 1990)","plainTextFormattedCitation":"(Green et al. 1990)","previouslyFormattedCitation":"(Green et al. 1990)"},"properties":{"noteIndex":0},"schema":"https://github.com/citation-style-language/schema/raw/master/csl-citation.json"}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(Green et al. 1990)</w:t>
            </w:r>
            <w:r w:rsidRPr="00E71630">
              <w:rPr>
                <w:rFonts w:ascii="Garamond" w:eastAsia="Times New Roman" w:hAnsi="Garamond" w:cs="Calibri"/>
                <w:color w:val="000000"/>
                <w:sz w:val="16"/>
                <w:szCs w:val="16"/>
                <w:lang w:eastAsia="en-GB"/>
              </w:rPr>
              <w:fldChar w:fldCharType="end"/>
            </w:r>
          </w:p>
        </w:tc>
        <w:tc>
          <w:tcPr>
            <w:tcW w:w="4299" w:type="dxa"/>
            <w:tcBorders>
              <w:top w:val="nil"/>
              <w:left w:val="nil"/>
              <w:bottom w:val="dotted" w:sz="4" w:space="0" w:color="auto"/>
              <w:right w:val="nil"/>
            </w:tcBorders>
            <w:shd w:val="clear" w:color="auto" w:fill="auto"/>
            <w:vAlign w:val="center"/>
            <w:hideMark/>
          </w:tcPr>
          <w:p w14:paraId="2042F8E4" w14:textId="77777777" w:rsidR="00F86268" w:rsidRPr="00E71630" w:rsidRDefault="004C7898"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Characterize, through chemical and mineralogical analysis, the airborne particulates at representative rural sites.</w:t>
            </w:r>
          </w:p>
          <w:p w14:paraId="51031FCB" w14:textId="12B0B601" w:rsidR="004C7898" w:rsidRPr="00E71630" w:rsidRDefault="004C7898"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Assess their potential for toxic effects on humans, in terms of risk for pneumoconiosis in exposed farmer populations.</w:t>
            </w:r>
          </w:p>
        </w:tc>
        <w:tc>
          <w:tcPr>
            <w:tcW w:w="1147" w:type="dxa"/>
            <w:tcBorders>
              <w:top w:val="nil"/>
              <w:left w:val="nil"/>
              <w:bottom w:val="dotted" w:sz="4" w:space="0" w:color="auto"/>
              <w:right w:val="nil"/>
            </w:tcBorders>
            <w:shd w:val="clear" w:color="auto" w:fill="auto"/>
            <w:vAlign w:val="center"/>
            <w:hideMark/>
          </w:tcPr>
          <w:p w14:paraId="7FE77F37"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TSP</w:t>
            </w:r>
          </w:p>
        </w:tc>
        <w:tc>
          <w:tcPr>
            <w:tcW w:w="1180" w:type="dxa"/>
            <w:tcBorders>
              <w:top w:val="nil"/>
              <w:left w:val="nil"/>
              <w:bottom w:val="dotted" w:sz="4" w:space="0" w:color="auto"/>
              <w:right w:val="nil"/>
            </w:tcBorders>
            <w:shd w:val="clear" w:color="auto" w:fill="auto"/>
            <w:vAlign w:val="center"/>
            <w:hideMark/>
          </w:tcPr>
          <w:p w14:paraId="6F086454"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1973-1979</w:t>
            </w:r>
          </w:p>
        </w:tc>
        <w:tc>
          <w:tcPr>
            <w:tcW w:w="1579" w:type="dxa"/>
            <w:tcBorders>
              <w:top w:val="nil"/>
              <w:left w:val="nil"/>
              <w:bottom w:val="dotted" w:sz="4" w:space="0" w:color="auto"/>
              <w:right w:val="nil"/>
            </w:tcBorders>
            <w:shd w:val="clear" w:color="auto" w:fill="auto"/>
            <w:vAlign w:val="center"/>
            <w:hideMark/>
          </w:tcPr>
          <w:p w14:paraId="2FFDD464"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SP; SU</w:t>
            </w:r>
          </w:p>
        </w:tc>
        <w:tc>
          <w:tcPr>
            <w:tcW w:w="924" w:type="dxa"/>
            <w:tcBorders>
              <w:top w:val="nil"/>
              <w:left w:val="nil"/>
              <w:bottom w:val="dotted" w:sz="4" w:space="0" w:color="auto"/>
              <w:right w:val="nil"/>
            </w:tcBorders>
            <w:shd w:val="clear" w:color="auto" w:fill="auto"/>
            <w:vAlign w:val="center"/>
            <w:hideMark/>
          </w:tcPr>
          <w:p w14:paraId="37C9CD21"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Canada</w:t>
            </w:r>
          </w:p>
        </w:tc>
        <w:tc>
          <w:tcPr>
            <w:tcW w:w="3531" w:type="dxa"/>
            <w:tcBorders>
              <w:top w:val="nil"/>
              <w:left w:val="nil"/>
              <w:bottom w:val="dotted" w:sz="4" w:space="0" w:color="auto"/>
              <w:right w:val="nil"/>
            </w:tcBorders>
            <w:shd w:val="clear" w:color="auto" w:fill="auto"/>
            <w:vAlign w:val="center"/>
            <w:hideMark/>
          </w:tcPr>
          <w:p w14:paraId="53CF4BCB"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Six farm sites: south central region (Red Deer), representative of a predominantly grain growing district with minimal use of irrigation; six farm: south eastern region (Medicine Hat), which is mainly forage combined with irrigated crop production.  </w:t>
            </w:r>
          </w:p>
        </w:tc>
      </w:tr>
      <w:tr w:rsidR="006E426F" w:rsidRPr="00E71630" w14:paraId="7A261867"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tcPr>
          <w:p w14:paraId="37229329" w14:textId="242CA2FC" w:rsidR="004C7898"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DOI":"10.1016/j.atmosenv.2005.09.071","author":[{"dropping-particle":"","family":"Jimenez","given":"Jorge","non-dropping-particle":"","parse-names":false,"suffix":""},{"dropping-particle":"","family":"Wu","given":"Chang-fu","non-dropping-particle":"","parse-names":false,"suffix":""},{"dropping-particle":"","family":"Claiborn","given":"Candis","non-dropping-particle":"","parse-names":false,"suffix":""},{"dropping-particle":"","family":"Gould","given":"Tim","non-dropping-particle":"","parse-names":false,"suffix":""},{"dropping-particle":"","family":"Simpson","given":"Christopher D","non-dropping-particle":"","parse-names":false,"suffix":""},{"dropping-particle":"","family":"Larson","given":"Tim","non-dropping-particle":"","parse-names":false,"suffix":""},{"dropping-particle":"","family":"Liu","given":"L Sally","non-dropping-particle":"","parse-names":false,"suffix":""}],"id":"ITEM-1","issued":{"date-parts":[["2006"]]},"page":"639-650","title":"Agricultural burning smoke in eastern Washington — part I : Atmospheric characterization","type":"article-journal","volume":"40"},"uris":["http://www.mendeley.com/documents/?uuid=679bf664-d460-44e1-a09e-3ec491c5df0e"]}],"mendeley":{"formattedCitation":"(Jimenez et al. 2006)","plainTextFormattedCitation":"(Jimenez et al. 2006)","previouslyFormattedCitation":"(Jimenez et al. 2006)"},"properties":{"noteIndex":0},"schema":"https://github.com/citation-style-language/schema/raw/master/csl-citation.json"}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(Jimenez et al. 2006)</w:t>
            </w:r>
            <w:r w:rsidRPr="00E71630">
              <w:rPr>
                <w:rFonts w:ascii="Garamond" w:eastAsia="Times New Roman" w:hAnsi="Garamond" w:cs="Calibri"/>
                <w:color w:val="000000"/>
                <w:sz w:val="16"/>
                <w:szCs w:val="16"/>
                <w:lang w:eastAsia="en-GB"/>
              </w:rPr>
              <w:fldChar w:fldCharType="end"/>
            </w:r>
          </w:p>
        </w:tc>
        <w:tc>
          <w:tcPr>
            <w:tcW w:w="4299" w:type="dxa"/>
            <w:tcBorders>
              <w:top w:val="nil"/>
              <w:left w:val="nil"/>
              <w:bottom w:val="dotted" w:sz="4" w:space="0" w:color="auto"/>
              <w:right w:val="nil"/>
            </w:tcBorders>
            <w:shd w:val="clear" w:color="auto" w:fill="auto"/>
            <w:vAlign w:val="center"/>
            <w:hideMark/>
          </w:tcPr>
          <w:p w14:paraId="44745699" w14:textId="77777777" w:rsidR="004C7898" w:rsidRPr="00E71630" w:rsidRDefault="004C7898"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Characterize the air quality in Pullman, WA during the fall 2002 prescribed field burning season.</w:t>
            </w:r>
          </w:p>
        </w:tc>
        <w:tc>
          <w:tcPr>
            <w:tcW w:w="1147" w:type="dxa"/>
            <w:tcBorders>
              <w:top w:val="nil"/>
              <w:left w:val="nil"/>
              <w:bottom w:val="dotted" w:sz="4" w:space="0" w:color="auto"/>
              <w:right w:val="nil"/>
            </w:tcBorders>
            <w:shd w:val="clear" w:color="auto" w:fill="auto"/>
            <w:vAlign w:val="center"/>
            <w:hideMark/>
          </w:tcPr>
          <w:p w14:paraId="3E2B0918"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2.5</w:t>
            </w:r>
            <w:r w:rsidRPr="00E71630">
              <w:rPr>
                <w:rFonts w:ascii="Garamond" w:eastAsia="Times New Roman" w:hAnsi="Garamond" w:cs="Calibri"/>
                <w:color w:val="000000"/>
                <w:sz w:val="16"/>
                <w:szCs w:val="16"/>
                <w:lang w:eastAsia="en-GB"/>
              </w:rPr>
              <w:t>;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CO</w:t>
            </w:r>
            <w:r w:rsidRPr="00E71630">
              <w:rPr>
                <w:rFonts w:ascii="Garamond" w:eastAsia="Times New Roman" w:hAnsi="Garamond" w:cs="Calibri"/>
                <w:color w:val="000000"/>
                <w:sz w:val="16"/>
                <w:szCs w:val="16"/>
                <w:vertAlign w:val="subscript"/>
                <w:lang w:eastAsia="en-GB"/>
              </w:rPr>
              <w:t>2</w:t>
            </w:r>
            <w:r w:rsidRPr="00E71630">
              <w:rPr>
                <w:rFonts w:ascii="Garamond" w:eastAsia="Times New Roman" w:hAnsi="Garamond" w:cs="Calibri"/>
                <w:color w:val="000000"/>
                <w:sz w:val="16"/>
                <w:szCs w:val="16"/>
                <w:lang w:eastAsia="en-GB"/>
              </w:rPr>
              <w:t>; NO</w:t>
            </w:r>
            <w:r w:rsidRPr="00E71630">
              <w:rPr>
                <w:rFonts w:ascii="Garamond" w:eastAsia="Times New Roman" w:hAnsi="Garamond" w:cs="Calibri"/>
                <w:color w:val="000000"/>
                <w:sz w:val="16"/>
                <w:szCs w:val="16"/>
                <w:vertAlign w:val="subscript"/>
                <w:lang w:eastAsia="en-GB"/>
              </w:rPr>
              <w:t>x</w:t>
            </w:r>
            <w:r w:rsidRPr="00E71630">
              <w:rPr>
                <w:rFonts w:ascii="Garamond" w:eastAsia="Times New Roman" w:hAnsi="Garamond" w:cs="Calibri"/>
                <w:color w:val="000000"/>
                <w:sz w:val="16"/>
                <w:szCs w:val="16"/>
                <w:lang w:eastAsia="en-GB"/>
              </w:rPr>
              <w:t>; OC; EC; Levoglucosan</w:t>
            </w:r>
          </w:p>
        </w:tc>
        <w:tc>
          <w:tcPr>
            <w:tcW w:w="1180" w:type="dxa"/>
            <w:tcBorders>
              <w:top w:val="nil"/>
              <w:left w:val="nil"/>
              <w:bottom w:val="dotted" w:sz="4" w:space="0" w:color="auto"/>
              <w:right w:val="nil"/>
            </w:tcBorders>
            <w:shd w:val="clear" w:color="auto" w:fill="auto"/>
            <w:vAlign w:val="center"/>
            <w:hideMark/>
          </w:tcPr>
          <w:p w14:paraId="1408AB92"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2002</w:t>
            </w:r>
          </w:p>
        </w:tc>
        <w:tc>
          <w:tcPr>
            <w:tcW w:w="1579" w:type="dxa"/>
            <w:tcBorders>
              <w:top w:val="nil"/>
              <w:left w:val="nil"/>
              <w:bottom w:val="dotted" w:sz="4" w:space="0" w:color="auto"/>
              <w:right w:val="nil"/>
            </w:tcBorders>
            <w:shd w:val="clear" w:color="auto" w:fill="auto"/>
            <w:vAlign w:val="center"/>
            <w:hideMark/>
          </w:tcPr>
          <w:p w14:paraId="2BAACF51"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F</w:t>
            </w:r>
          </w:p>
        </w:tc>
        <w:tc>
          <w:tcPr>
            <w:tcW w:w="924" w:type="dxa"/>
            <w:tcBorders>
              <w:top w:val="nil"/>
              <w:left w:val="nil"/>
              <w:bottom w:val="dotted" w:sz="4" w:space="0" w:color="auto"/>
              <w:right w:val="nil"/>
            </w:tcBorders>
            <w:shd w:val="clear" w:color="auto" w:fill="auto"/>
            <w:vAlign w:val="center"/>
            <w:hideMark/>
          </w:tcPr>
          <w:p w14:paraId="52E010A5"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USA</w:t>
            </w:r>
          </w:p>
        </w:tc>
        <w:tc>
          <w:tcPr>
            <w:tcW w:w="3531" w:type="dxa"/>
            <w:tcBorders>
              <w:top w:val="nil"/>
              <w:left w:val="nil"/>
              <w:bottom w:val="dotted" w:sz="4" w:space="0" w:color="auto"/>
              <w:right w:val="nil"/>
            </w:tcBorders>
            <w:shd w:val="clear" w:color="auto" w:fill="auto"/>
            <w:vAlign w:val="center"/>
            <w:hideMark/>
          </w:tcPr>
          <w:p w14:paraId="78EB68F3"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One central monitoring site located on the roof of a building at Washington State University (WSU) in Pullman, WA (elevation = 770 m, approximately 12 m above street level).</w:t>
            </w:r>
          </w:p>
        </w:tc>
      </w:tr>
      <w:tr w:rsidR="006E426F" w:rsidRPr="00E71630" w14:paraId="14475737"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tcPr>
          <w:p w14:paraId="22831770" w14:textId="0DAF6FAE" w:rsidR="004C7898"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{"citationItems":[{"id":"ITEM-1","itemData":{"DOI":"https://doi.org/10.1016/j.atmosenv.2016.11.012","ISSN":"1352-2310","abstract":"Emissions from sugarcane burning are known to impact on the respiratory health of sugar estate workers and local populations. Despite this, there have been few studies on occupational and ambient exposures and risks from airborne particulate matter (PM) associated with field burning and ash re-suspension. From workplace monitoring on sugarcane estates in two different South American countries in 2010 and 2011, median concentrations of airborne PM10 (particulate matter nominally &lt;10 μm in diameter) were found to be statistically much higher during pre-harvest sugarcane burning (1807 μg m−3) than during either sugarcane cutting after burning (</w:instrText>
            </w:r>
            <w:r w:rsidR="00A84515">
              <w:rPr>
                <w:rFonts w:ascii="Cambria Math" w:eastAsia="Times New Roman" w:hAnsi="Cambria Math" w:cs="Cambria Math"/>
                <w:color w:val="000000"/>
                <w:sz w:val="16"/>
                <w:szCs w:val="16"/>
                <w:lang w:eastAsia="en-GB"/>
              </w:rPr>
              <w:instrText>∼</w:instrText>
            </w:r>
            <w:r w:rsidR="00A84515">
              <w:rPr>
                <w:rFonts w:ascii="Garamond" w:eastAsia="Times New Roman" w:hAnsi="Garamond" w:cs="Calibri"/>
                <w:color w:val="000000"/>
                <w:sz w:val="16"/>
                <w:szCs w:val="16"/>
                <w:lang w:eastAsia="en-GB"/>
              </w:rPr>
              <w:instrText>123</w:instrText>
            </w:r>
            <w:r w:rsidR="00A84515">
              <w:rPr>
                <w:rFonts w:ascii="Garamond" w:eastAsia="Times New Roman" w:hAnsi="Garamond" w:cs="Garamond"/>
                <w:color w:val="000000"/>
                <w:sz w:val="16"/>
                <w:szCs w:val="16"/>
                <w:lang w:eastAsia="en-GB"/>
              </w:rPr>
              <w:instrText> μ</w:instrText>
            </w:r>
            <w:r w:rsidR="00A84515">
              <w:rPr>
                <w:rFonts w:ascii="Garamond" w:eastAsia="Times New Roman" w:hAnsi="Garamond" w:cs="Calibri"/>
                <w:color w:val="000000"/>
                <w:sz w:val="16"/>
                <w:szCs w:val="16"/>
                <w:lang w:eastAsia="en-GB"/>
              </w:rPr>
              <w:instrText>g</w:instrText>
            </w:r>
            <w:r w:rsidR="00A84515">
              <w:rPr>
                <w:rFonts w:ascii="Garamond" w:eastAsia="Times New Roman" w:hAnsi="Garamond" w:cs="Garamond"/>
                <w:color w:val="000000"/>
                <w:sz w:val="16"/>
                <w:szCs w:val="16"/>
                <w:lang w:eastAsia="en-GB"/>
              </w:rPr>
              <w:instrText> </w:instrText>
            </w:r>
            <w:r w:rsidR="00A84515">
              <w:rPr>
                <w:rFonts w:ascii="Garamond" w:eastAsia="Times New Roman" w:hAnsi="Garamond" w:cs="Calibri"/>
                <w:color w:val="000000"/>
                <w:sz w:val="16"/>
                <w:szCs w:val="16"/>
                <w:lang w:eastAsia="en-GB"/>
              </w:rPr>
              <w:instrText>m</w:instrText>
            </w:r>
            <w:r w:rsidR="00A84515">
              <w:rPr>
                <w:rFonts w:ascii="Garamond" w:eastAsia="Times New Roman" w:hAnsi="Garamond" w:cs="Garamond"/>
                <w:color w:val="000000"/>
                <w:sz w:val="16"/>
                <w:szCs w:val="16"/>
                <w:lang w:eastAsia="en-GB"/>
              </w:rPr>
              <w:instrText>−</w:instrText>
            </w:r>
            <w:r w:rsidR="00A84515">
              <w:rPr>
                <w:rFonts w:ascii="Garamond" w:eastAsia="Times New Roman" w:hAnsi="Garamond" w:cs="Calibri"/>
                <w:color w:val="000000"/>
                <w:sz w:val="16"/>
                <w:szCs w:val="16"/>
                <w:lang w:eastAsia="en-GB"/>
              </w:rPr>
              <w:instrText>3) or in the sugarcane processing factory (</w:instrText>
            </w:r>
            <w:r w:rsidR="00A84515">
              <w:rPr>
                <w:rFonts w:ascii="Cambria Math" w:eastAsia="Times New Roman" w:hAnsi="Cambria Math" w:cs="Cambria Math"/>
                <w:color w:val="000000"/>
                <w:sz w:val="16"/>
                <w:szCs w:val="16"/>
                <w:lang w:eastAsia="en-GB"/>
              </w:rPr>
              <w:instrText>∼</w:instrText>
            </w:r>
            <w:r w:rsidR="00A84515">
              <w:rPr>
                <w:rFonts w:ascii="Garamond" w:eastAsia="Times New Roman" w:hAnsi="Garamond" w:cs="Calibri"/>
                <w:color w:val="000000"/>
                <w:sz w:val="16"/>
                <w:szCs w:val="16"/>
                <w:lang w:eastAsia="en-GB"/>
              </w:rPr>
              <w:instrText>175</w:instrText>
            </w:r>
            <w:r w:rsidR="00A84515">
              <w:rPr>
                <w:rFonts w:ascii="Garamond" w:eastAsia="Times New Roman" w:hAnsi="Garamond" w:cs="Garamond"/>
                <w:color w:val="000000"/>
                <w:sz w:val="16"/>
                <w:szCs w:val="16"/>
                <w:lang w:eastAsia="en-GB"/>
              </w:rPr>
              <w:instrText> μ</w:instrText>
            </w:r>
            <w:r w:rsidR="00A84515">
              <w:rPr>
                <w:rFonts w:ascii="Garamond" w:eastAsia="Times New Roman" w:hAnsi="Garamond" w:cs="Calibri"/>
                <w:color w:val="000000"/>
                <w:sz w:val="16"/>
                <w:szCs w:val="16"/>
                <w:lang w:eastAsia="en-GB"/>
              </w:rPr>
              <w:instrText>g</w:instrText>
            </w:r>
            <w:r w:rsidR="00A84515">
              <w:rPr>
                <w:rFonts w:ascii="Garamond" w:eastAsia="Times New Roman" w:hAnsi="Garamond" w:cs="Garamond"/>
                <w:color w:val="000000"/>
                <w:sz w:val="16"/>
                <w:szCs w:val="16"/>
                <w:lang w:eastAsia="en-GB"/>
              </w:rPr>
              <w:instrText> </w:instrText>
            </w:r>
            <w:r w:rsidR="00A84515">
              <w:rPr>
                <w:rFonts w:ascii="Garamond" w:eastAsia="Times New Roman" w:hAnsi="Garamond" w:cs="Calibri"/>
                <w:color w:val="000000"/>
                <w:sz w:val="16"/>
                <w:szCs w:val="16"/>
                <w:lang w:eastAsia="en-GB"/>
              </w:rPr>
              <w:instrText>m</w:instrText>
            </w:r>
            <w:r w:rsidR="00A84515">
              <w:rPr>
                <w:rFonts w:ascii="Garamond" w:eastAsia="Times New Roman" w:hAnsi="Garamond" w:cs="Garamond"/>
                <w:color w:val="000000"/>
                <w:sz w:val="16"/>
                <w:szCs w:val="16"/>
                <w:lang w:eastAsia="en-GB"/>
              </w:rPr>
              <w:instrText>−</w:instrText>
            </w:r>
            <w:r w:rsidR="00A84515">
              <w:rPr>
                <w:rFonts w:ascii="Garamond" w:eastAsia="Times New Roman" w:hAnsi="Garamond" w:cs="Calibri"/>
                <w:color w:val="000000"/>
                <w:sz w:val="16"/>
                <w:szCs w:val="16"/>
                <w:lang w:eastAsia="en-GB"/>
              </w:rPr>
              <w:instrText>3). Median PM10 measurements in ambient scenarios, for example in the sugarcane fields before the burning or during 24</w:instrText>
            </w:r>
            <w:r w:rsidR="00A84515">
              <w:rPr>
                <w:rFonts w:ascii="Garamond" w:eastAsia="Times New Roman" w:hAnsi="Garamond" w:cs="Garamond"/>
                <w:color w:val="000000"/>
                <w:sz w:val="16"/>
                <w:szCs w:val="16"/>
                <w:lang w:eastAsia="en-GB"/>
              </w:rPr>
              <w:instrText> </w:instrText>
            </w:r>
            <w:r w:rsidR="00A84515">
              <w:rPr>
                <w:rFonts w:ascii="Garamond" w:eastAsia="Times New Roman" w:hAnsi="Garamond" w:cs="Calibri"/>
                <w:color w:val="000000"/>
                <w:sz w:val="16"/>
                <w:szCs w:val="16"/>
                <w:lang w:eastAsia="en-GB"/>
              </w:rPr>
              <w:instrText>h measurements in neighboring villages (bordering the sugarcane plantation), were much lower, between 18 and 37 μg m−3. From the analysis of size-selective samples of airborne PM10, collected during sugarcane field burning, cutting and ambient periods, almost all (</w:instrText>
            </w:r>
            <w:r w:rsidR="00A84515">
              <w:rPr>
                <w:rFonts w:ascii="Cambria Math" w:eastAsia="Times New Roman" w:hAnsi="Cambria Math" w:cs="Cambria Math"/>
                <w:color w:val="000000"/>
                <w:sz w:val="16"/>
                <w:szCs w:val="16"/>
                <w:lang w:eastAsia="en-GB"/>
              </w:rPr>
              <w:instrText>∼</w:instrText>
            </w:r>
            <w:r w:rsidR="00A84515">
              <w:rPr>
                <w:rFonts w:ascii="Garamond" w:eastAsia="Times New Roman" w:hAnsi="Garamond" w:cs="Calibri"/>
                <w:color w:val="000000"/>
                <w:sz w:val="16"/>
                <w:szCs w:val="16"/>
                <w:lang w:eastAsia="en-GB"/>
              </w:rPr>
              <w:instrText>96</w:instrText>
            </w:r>
            <w:r w:rsidR="00A84515">
              <w:rPr>
                <w:rFonts w:ascii="Garamond" w:eastAsia="Times New Roman" w:hAnsi="Garamond" w:cs="Garamond"/>
                <w:color w:val="000000"/>
                <w:sz w:val="16"/>
                <w:szCs w:val="16"/>
                <w:lang w:eastAsia="en-GB"/>
              </w:rPr>
              <w:instrText> </w:instrText>
            </w:r>
            <w:r w:rsidR="00A84515">
              <w:rPr>
                <w:rFonts w:ascii="Garamond" w:eastAsia="Times New Roman" w:hAnsi="Garamond" w:cs="Calibri"/>
                <w:color w:val="000000"/>
                <w:sz w:val="16"/>
                <w:szCs w:val="16"/>
                <w:lang w:eastAsia="en-GB"/>
              </w:rPr>
              <w:instrText>wt %) fell within the ‘respirable’ fraction (&lt;4 μm aerodynamic diameter), with a mass median aerodynamic diameter (MMAD) of 1.1 μm. Residual ash from field and bagasse burning, characterised using Scanning Electron Microscopy (SEM) with X-ray elemental analysis, was found to contain carbonaceous and silicate-dominated particles in the PM0.5 and PM0.5-2.5 size ranges and fibres from &lt;10 to over 50 μm in length. Only a small proportion of the field burning ash (average 0.6 vol %) and bagasse ash (average 1.3 vol %) was in the respirable fraction. However, from grinding experiments, which simulate disaggregation as a result of disturbance during harvest or bagasse ash removal, the ash was fragile and easily broken down into thoracic particulate (&lt;10 μm aerodynamic diameter) and, in some instances, created respirable-sized PM. From exposure calculations, the 8 h time weighted average (TWA) concentrations of PM10, during the different measurement scenarios, were found to be below occupational exposure limits (OELs; 5000 μg m−3 for respirable PM). Ambient PM10 exposure of residents surrounding the sugarcane plantations was found to be below the WHO air quality guideline (50 μg m−3 as a 24 h mean). The relative risk calculated for ‘all cause’ mortality from exposure of nearby residents to PM10 generated by sugarcane burning was found to be 3%. The concentrations of PM10 produced du…","author":[{"dropping-particle":"","family":"Blond","given":"Jennifer S","non-dropping-particle":"Le","parse-names":false,"suffix":""},{"dropping-particle":"","family":"Woskie","given":"Susan","non-dropping-particle":"","parse-names":false,"suffix":""},{"dropping-particle":"","family":"Horwell","given":"Claire J","non-dropping-particle":"","parse-names":false,"suffix":""},{"dropping-particle":"","family":"Williamson","given":"Ben J","non-dropping-particle":"","parse-names":false,"suffix":""}],"container-title":"Atmospheric Environment","id":"ITEM-1","issued":{"date-parts":[["2017"]]},"page":"34-46","title":"Particulate matter produced during commercial sugarcane harvesting and processing: A respiratory health hazard?","type":"article-journal","volume":"149"},"uris":["http://www.mendeley.com/documents/?uuid=13422fa0-7ad4-426e-a7e4-f9003e945ebc"]}],"mendeley":{"formattedCitation":"(Le Blond et al. 2017)","plainTextFormattedCitation":"(Le Blond et al. 2017)","previouslyFormattedCitation":"(Le Blond et al. 2017)"},"properties":{"noteIndex":0},"schema":"https://github.com/citation-style-language/schema/raw/master/csl-citation.json"}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(Le Blond et al. 2017)</w:t>
            </w:r>
            <w:r w:rsidRPr="00E71630">
              <w:rPr>
                <w:rFonts w:ascii="Garamond" w:eastAsia="Times New Roman" w:hAnsi="Garamond" w:cs="Calibri"/>
                <w:color w:val="000000"/>
                <w:sz w:val="16"/>
                <w:szCs w:val="16"/>
                <w:lang w:eastAsia="en-GB"/>
              </w:rPr>
              <w:fldChar w:fldCharType="end"/>
            </w:r>
          </w:p>
        </w:tc>
        <w:tc>
          <w:tcPr>
            <w:tcW w:w="4299" w:type="dxa"/>
            <w:tcBorders>
              <w:top w:val="nil"/>
              <w:left w:val="nil"/>
              <w:bottom w:val="dotted" w:sz="4" w:space="0" w:color="auto"/>
              <w:right w:val="nil"/>
            </w:tcBorders>
            <w:shd w:val="clear" w:color="auto" w:fill="auto"/>
            <w:vAlign w:val="center"/>
            <w:hideMark/>
          </w:tcPr>
          <w:p w14:paraId="53E3ED64" w14:textId="77777777" w:rsidR="00F86268" w:rsidRPr="00E71630" w:rsidRDefault="004C7898"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To estimate occupational exposure levels to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xml:space="preserve"> during the commercial production of sugar from sugarcane.</w:t>
            </w:r>
          </w:p>
          <w:p w14:paraId="1A26EC72" w14:textId="517D6DA3" w:rsidR="004C7898" w:rsidRPr="00E71630" w:rsidRDefault="004C7898"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Assess its potential impacts on human health.</w:t>
            </w:r>
          </w:p>
        </w:tc>
        <w:tc>
          <w:tcPr>
            <w:tcW w:w="1147" w:type="dxa"/>
            <w:tcBorders>
              <w:top w:val="nil"/>
              <w:left w:val="nil"/>
              <w:bottom w:val="dotted" w:sz="4" w:space="0" w:color="auto"/>
              <w:right w:val="nil"/>
            </w:tcBorders>
            <w:shd w:val="clear" w:color="auto" w:fill="auto"/>
            <w:vAlign w:val="center"/>
            <w:hideMark/>
          </w:tcPr>
          <w:p w14:paraId="62499333"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PM</w:t>
            </w:r>
            <w:r w:rsidRPr="00E71630">
              <w:rPr>
                <w:rFonts w:ascii="Garamond" w:eastAsia="Times New Roman" w:hAnsi="Garamond" w:cs="Calibri"/>
                <w:color w:val="000000"/>
                <w:sz w:val="16"/>
                <w:szCs w:val="16"/>
                <w:vertAlign w:val="subscript"/>
                <w:lang w:val="it-IT" w:eastAsia="en-GB"/>
              </w:rPr>
              <w:t>10</w:t>
            </w:r>
          </w:p>
        </w:tc>
        <w:tc>
          <w:tcPr>
            <w:tcW w:w="1180" w:type="dxa"/>
            <w:tcBorders>
              <w:top w:val="nil"/>
              <w:left w:val="nil"/>
              <w:bottom w:val="dotted" w:sz="4" w:space="0" w:color="auto"/>
              <w:right w:val="nil"/>
            </w:tcBorders>
            <w:shd w:val="clear" w:color="auto" w:fill="auto"/>
            <w:vAlign w:val="center"/>
            <w:hideMark/>
          </w:tcPr>
          <w:p w14:paraId="3BA0F7CD"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2007-2008</w:t>
            </w:r>
          </w:p>
        </w:tc>
        <w:tc>
          <w:tcPr>
            <w:tcW w:w="1579" w:type="dxa"/>
            <w:tcBorders>
              <w:top w:val="nil"/>
              <w:left w:val="nil"/>
              <w:bottom w:val="dotted" w:sz="4" w:space="0" w:color="auto"/>
              <w:right w:val="nil"/>
            </w:tcBorders>
            <w:shd w:val="clear" w:color="auto" w:fill="auto"/>
            <w:vAlign w:val="center"/>
            <w:hideMark/>
          </w:tcPr>
          <w:p w14:paraId="294F3902"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SU; F</w:t>
            </w:r>
          </w:p>
        </w:tc>
        <w:tc>
          <w:tcPr>
            <w:tcW w:w="924" w:type="dxa"/>
            <w:tcBorders>
              <w:top w:val="nil"/>
              <w:left w:val="nil"/>
              <w:bottom w:val="dotted" w:sz="4" w:space="0" w:color="auto"/>
              <w:right w:val="nil"/>
            </w:tcBorders>
            <w:shd w:val="clear" w:color="auto" w:fill="auto"/>
            <w:vAlign w:val="center"/>
            <w:hideMark/>
          </w:tcPr>
          <w:p w14:paraId="5F4ACAC8"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Ecuador; Brazil</w:t>
            </w:r>
          </w:p>
        </w:tc>
        <w:tc>
          <w:tcPr>
            <w:tcW w:w="3531" w:type="dxa"/>
            <w:tcBorders>
              <w:top w:val="nil"/>
              <w:left w:val="nil"/>
              <w:bottom w:val="dotted" w:sz="4" w:space="0" w:color="auto"/>
              <w:right w:val="nil"/>
            </w:tcBorders>
            <w:shd w:val="clear" w:color="auto" w:fill="auto"/>
            <w:vAlign w:val="center"/>
            <w:hideMark/>
          </w:tcPr>
          <w:p w14:paraId="53523851"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Commercial sugarcane-growing estates.</w:t>
            </w:r>
          </w:p>
        </w:tc>
      </w:tr>
      <w:tr w:rsidR="006E426F" w:rsidRPr="00E71630" w14:paraId="38EC1AEF"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tcPr>
          <w:p w14:paraId="0FE9A004" w14:textId="585E14A2" w:rsidR="004C7898"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lastRenderedPageBreak/>
              <w:fldChar w:fldCharType="begin" w:fldLock="1"/>
            </w:r>
            <w:r w:rsidR="00A84515">
              <w:rPr>
                <w:rFonts w:ascii="Garamond" w:eastAsia="Times New Roman" w:hAnsi="Garamond" w:cs="Calibri"/>
                <w:color w:val="000000"/>
                <w:sz w:val="16"/>
                <w:szCs w:val="16"/>
                <w:lang w:eastAsia="en-GB"/>
              </w:rPr>
              <w:instrText>ADDIN CSL_CITATION {"citationItems":[{"id":"ITEM-1","itemData":{"DOI":"10.1097/EDE.0000000000000368.Ambient","ISBN":"0000000000000","author":[{"dropping-particle":"","family":"Loftus","given":"Christine","non-dropping-particle":"","parse-names":false,"suffix":""},{"dropping-particle":"","family":"Yost","given":"Michael","non-dropping-particle":"","parse-names":false,"suffix":""},{"dropping-particle":"","family":"Sampson","given":"Paul","non-dropping-particle":"","parse-names":false,"suffix":""},{"dropping-particle":"","family":"Torres","given":"Elizabeth","non-dropping-particle":"","parse-names":false,"suffix":""},{"dropping-particle":"","family":"Arias","given":"Griselda","non-dropping-particle":"","parse-names":false,"suffix":""},{"dropping-particle":"","family":"Vasquez","given":"Victoria Breckwich","non-dropping-particle":"","parse-names":false,"suffix":""},{"dropping-particle":"","family":"Hartin","given":"Kris","non-dropping-particle":"","parse-names":false,"suffix":""},{"dropping-particle":"","family":"Armstrong","given":"Jenna","non-dropping-particle":"","parse-names":false,"suffix":""},{"dropping-particle":"","family":"Tchong-french","given":"Maria","non-dropping-particle":"","parse-names":false,"suffix":""},{"dropping-particle":"","family":"Vedal","given":"Sverre","non-dropping-particle":"","parse-names":false,"suffix":""},{"dropping-particle":"","family":"Bhatti","given":"Parveen","non-dropping-particle":"","parse-names":false,"suffix":""},{"dropping-particle":"","family":"Karr","given":"Catherine","non-dropping-particle":"","parse-names":false,"suffix":""},{"dropping-particle":"","family":"States","given":"United","non-dropping-particle":"","parse-names":false,"suffix":""},{"dropping-particle":"","family":"Sciences","given":"Occupational Health","non-dropping-particle":"","parse-names":false,"suffix":""},{"dropping-particle":"","family":"States","given":"United","non-dropping-particle":"","parse-names":false,"suffix":""},{"dropping-particle":"","family":"States","given":"United","non-dropping-particle":"","parse-names":false,"suffix":""},{"dropping-particle":"","family":"States","given":"United","non-dropping-particle":"","parse-names":false,"suffix":""},{"dropping-particle":"","family":"Farm","given":"Valley","non-dropping-particle":"","parse-names":false,"suffix":""},{"dropping-particle":"","family":"Clinic","given":"Workers","non-dropping-particle":"","parse-names":false,"suffix":""},{"dropping-particle":"","family":"States","given":"United","non-dropping-particle":"","parse-names":false,"suffix":""},{"dropping-particle":"","family":"Safety","given":"Northwest Agricultural","non-dropping-particle":"","parse-names":false,"suffix":""},{"dropping-particle":"","family":"States","given":"United","non-dropping-particle":"","parse-names":false,"suffix":""},{"dropping-particle":"","family":"States","given":"United","non-dropping-particle":"","parse-names":false,"suffix":""}],"id":"ITEM-1","issue":"6","issued":{"date-parts":[["2016"]]},"page":"794-801","title":"HHS Public Access","type":"article-journal","volume":"i"},"uris":["http://www.mendeley.com/documents/?uuid=a8f79986-47c3-467b-bc56-5743a279928e"]}],"mendeley":{"formattedCitation":"(Loftus et al. 2016)","plainTextFormattedCitation":"(Loftus et al. 2016)","previouslyFormattedCitation":"(Loftus et al. 2016)"},"properties":{"noteIndex":0},"schema":"https://github.com/citation-style-language/schema/raw/master/csl-citation.json"}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(Loftus et al. 2016)</w:t>
            </w:r>
            <w:r w:rsidRPr="00E71630">
              <w:rPr>
                <w:rFonts w:ascii="Garamond" w:eastAsia="Times New Roman" w:hAnsi="Garamond" w:cs="Calibri"/>
                <w:color w:val="000000"/>
                <w:sz w:val="16"/>
                <w:szCs w:val="16"/>
                <w:lang w:eastAsia="en-GB"/>
              </w:rPr>
              <w:fldChar w:fldCharType="end"/>
            </w:r>
          </w:p>
        </w:tc>
        <w:tc>
          <w:tcPr>
            <w:tcW w:w="4299" w:type="dxa"/>
            <w:tcBorders>
              <w:top w:val="nil"/>
              <w:left w:val="nil"/>
              <w:bottom w:val="dotted" w:sz="4" w:space="0" w:color="auto"/>
              <w:right w:val="nil"/>
            </w:tcBorders>
            <w:shd w:val="clear" w:color="auto" w:fill="auto"/>
            <w:vAlign w:val="center"/>
            <w:hideMark/>
          </w:tcPr>
          <w:p w14:paraId="10AC746D" w14:textId="77777777" w:rsidR="004C7898" w:rsidRPr="00E71630" w:rsidRDefault="004C7898"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To investigate associations between PM</w:t>
            </w:r>
            <w:r w:rsidRPr="00E71630">
              <w:rPr>
                <w:rFonts w:ascii="Garamond" w:eastAsia="Times New Roman" w:hAnsi="Garamond" w:cs="Calibri"/>
                <w:color w:val="000000"/>
                <w:sz w:val="16"/>
                <w:szCs w:val="16"/>
                <w:vertAlign w:val="subscript"/>
                <w:lang w:eastAsia="en-GB"/>
              </w:rPr>
              <w:t>2.5</w:t>
            </w:r>
            <w:r w:rsidRPr="00E71630">
              <w:rPr>
                <w:rFonts w:ascii="Garamond" w:eastAsia="Times New Roman" w:hAnsi="Garamond" w:cs="Calibri"/>
                <w:color w:val="000000"/>
                <w:sz w:val="16"/>
                <w:szCs w:val="16"/>
                <w:lang w:eastAsia="en-GB"/>
              </w:rPr>
              <w:t xml:space="preserve"> and pediatric asthma exacerbations in an agricultural community of Washington State.</w:t>
            </w:r>
          </w:p>
        </w:tc>
        <w:tc>
          <w:tcPr>
            <w:tcW w:w="1147" w:type="dxa"/>
            <w:tcBorders>
              <w:top w:val="nil"/>
              <w:left w:val="nil"/>
              <w:bottom w:val="dotted" w:sz="4" w:space="0" w:color="auto"/>
              <w:right w:val="nil"/>
            </w:tcBorders>
            <w:shd w:val="clear" w:color="auto" w:fill="auto"/>
            <w:vAlign w:val="center"/>
            <w:hideMark/>
          </w:tcPr>
          <w:p w14:paraId="42FB2B33"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2.5</w:t>
            </w:r>
          </w:p>
        </w:tc>
        <w:tc>
          <w:tcPr>
            <w:tcW w:w="1180" w:type="dxa"/>
            <w:tcBorders>
              <w:top w:val="nil"/>
              <w:left w:val="nil"/>
              <w:bottom w:val="dotted" w:sz="4" w:space="0" w:color="auto"/>
              <w:right w:val="nil"/>
            </w:tcBorders>
            <w:shd w:val="clear" w:color="auto" w:fill="auto"/>
            <w:vAlign w:val="center"/>
            <w:hideMark/>
          </w:tcPr>
          <w:p w14:paraId="38B526CF"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2010</w:t>
            </w:r>
          </w:p>
        </w:tc>
        <w:tc>
          <w:tcPr>
            <w:tcW w:w="1579" w:type="dxa"/>
            <w:tcBorders>
              <w:top w:val="nil"/>
              <w:left w:val="nil"/>
              <w:bottom w:val="dotted" w:sz="4" w:space="0" w:color="auto"/>
              <w:right w:val="nil"/>
            </w:tcBorders>
            <w:shd w:val="clear" w:color="auto" w:fill="auto"/>
            <w:vAlign w:val="center"/>
            <w:hideMark/>
          </w:tcPr>
          <w:p w14:paraId="189EA087"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SU</w:t>
            </w:r>
          </w:p>
        </w:tc>
        <w:tc>
          <w:tcPr>
            <w:tcW w:w="924" w:type="dxa"/>
            <w:tcBorders>
              <w:top w:val="nil"/>
              <w:left w:val="nil"/>
              <w:bottom w:val="dotted" w:sz="4" w:space="0" w:color="auto"/>
              <w:right w:val="nil"/>
            </w:tcBorders>
            <w:shd w:val="clear" w:color="auto" w:fill="auto"/>
            <w:vAlign w:val="center"/>
            <w:hideMark/>
          </w:tcPr>
          <w:p w14:paraId="18811FE8"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USA</w:t>
            </w:r>
          </w:p>
        </w:tc>
        <w:tc>
          <w:tcPr>
            <w:tcW w:w="3531" w:type="dxa"/>
            <w:tcBorders>
              <w:top w:val="nil"/>
              <w:left w:val="nil"/>
              <w:bottom w:val="dotted" w:sz="4" w:space="0" w:color="auto"/>
              <w:right w:val="nil"/>
            </w:tcBorders>
            <w:shd w:val="clear" w:color="auto" w:fill="auto"/>
            <w:vAlign w:val="center"/>
            <w:hideMark/>
          </w:tcPr>
          <w:p w14:paraId="2CB1B7FC" w14:textId="77777777" w:rsidR="004C7898" w:rsidRPr="00E71630" w:rsidRDefault="004C789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Area covering approximately 300 square miles and characterized by a high density of large-scale agricultural operations, including tree fruit orchards and dairy farms.</w:t>
            </w:r>
          </w:p>
        </w:tc>
      </w:tr>
      <w:tr w:rsidR="006E426F" w:rsidRPr="00E71630" w14:paraId="22DB27F7"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54D21B3D" w14:textId="153AEAAC" w:rsidR="006E426F" w:rsidRPr="00E71630" w:rsidRDefault="006E426F" w:rsidP="00E71630">
            <w:pPr>
              <w:spacing w:after="0" w:line="240" w:lineRule="auto"/>
              <w:jc w:val="both"/>
              <w:rPr>
                <w:rFonts w:ascii="Garamond" w:eastAsia="Times New Roman" w:hAnsi="Garamond" w:cs="Calibri"/>
                <w:color w:val="000000"/>
                <w:sz w:val="16"/>
                <w:szCs w:val="16"/>
                <w:highlight w:val="yellow"/>
                <w:lang w:eastAsia="en-GB"/>
              </w:rPr>
            </w:pPr>
            <w:r w:rsidRPr="00E71630">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{"citationItems":[{"id":"ITEM-1","itemData":{"author":[{"dropping-particle":"","family":"Maesano","given":"Cara Nichole","non-dropping-particle":"","parse-names":false,"suffix":""},{"dropping-particle":"","family":"Caillaud","given":"Denis","non-dropping-particle":"","parse-names":false,"suffix":""},{"dropping-particle":"","family":"Youssouf","given":"Hassani","non-dropping-particle":"","parse-names":false,"suffix":""},{"dropping-particle":"","family":"Banerjee","given":"Soutrik","non-dropping-particle":"","parse-names":false,"suffix":""},{"dropping-particle":"","family":"Homme","given":"Julie Prud","non-dropping-particle":"","parse-names":false,"suffix":""},{"dropping-particle":"","family":"Audi","given":"Christelle","non-dropping-particle":"","parse-names":false,"suffix":""},{"dropping-particle":"","family":"Horo","given":"Kigninlman","non-dropping-particle":"","parse-names":false,"suffix":""},{"dropping-particle":"","family":"Toloba","given":"Yacouba","non-dropping-particle":"","parse-names":false,"suffix":""},{"dropping-particle":"","family":"Ramousse","given":"Ollivier","non-dropping-particle":"","parse-names":false,"suffix":""},{"dropping-particle":"","family":"Annesi-maesano","given":"Isabella","non-dropping-particle":"","parse-names":false,"suffix":""}],"id":"ITEM-1","issued":{"date-parts":[["2019"]]},"page":"1-12","publisher":"Multidisciplinary Respiratory Medicine","title":"Indoor exposure to particulate matter and volatile organic compounds in dwellings and workplaces and respiratory health in French farmers","type":"article-journal","volume":"3"},"uris":["http://www.mendeley.com/documents/?uuid=3302d214-8260-4393-8e8c-11f89ab06164"]}],"mendeley":{"formattedCitation":"(Maesano et al. 2019)","plainTextFormattedCitation":"(Maesano et al. 2019)","previouslyFormattedCitation":"(Maesano et al. 2019)"},"properties":{"noteIndex":0},"schema":"https://github.com/citation-style-language/schema/raw/master/csl-citation.json"}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(Maesano et al. 2019)</w:t>
            </w:r>
            <w:r w:rsidRPr="00E71630">
              <w:rPr>
                <w:rFonts w:ascii="Garamond" w:eastAsia="Times New Roman" w:hAnsi="Garamond" w:cs="Calibri"/>
                <w:color w:val="000000"/>
                <w:sz w:val="16"/>
                <w:szCs w:val="16"/>
                <w:lang w:eastAsia="en-GB"/>
              </w:rPr>
              <w:fldChar w:fldCharType="end"/>
            </w:r>
          </w:p>
        </w:tc>
        <w:tc>
          <w:tcPr>
            <w:tcW w:w="4299" w:type="dxa"/>
            <w:tcBorders>
              <w:top w:val="nil"/>
              <w:left w:val="nil"/>
              <w:bottom w:val="dotted" w:sz="4" w:space="0" w:color="auto"/>
              <w:right w:val="nil"/>
            </w:tcBorders>
            <w:shd w:val="clear" w:color="auto" w:fill="auto"/>
            <w:vAlign w:val="center"/>
            <w:hideMark/>
          </w:tcPr>
          <w:p w14:paraId="1B6BD9E4" w14:textId="07B5F94B"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Determine the effects on respiratory health from exposure to PM of 4 sizes,</w:t>
            </w:r>
            <w:r w:rsidR="0031481E">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TSP and 19 VOCs (from 5 VOC families), objectively measured in dwellings and workplaces, among farmers drawn from the Environmental Factors of Allergic and Respiratory Diseases study (FERMA), conducted in the Auvergne region of France.</w:t>
            </w:r>
          </w:p>
        </w:tc>
        <w:tc>
          <w:tcPr>
            <w:tcW w:w="1147" w:type="dxa"/>
            <w:tcBorders>
              <w:top w:val="nil"/>
              <w:left w:val="nil"/>
              <w:bottom w:val="dotted" w:sz="4" w:space="0" w:color="auto"/>
              <w:right w:val="nil"/>
            </w:tcBorders>
            <w:shd w:val="clear" w:color="auto" w:fill="auto"/>
            <w:vAlign w:val="center"/>
            <w:hideMark/>
          </w:tcPr>
          <w:p w14:paraId="1392B46E"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UFP; PM</w:t>
            </w:r>
            <w:r w:rsidRPr="00E71630">
              <w:rPr>
                <w:rFonts w:ascii="Garamond" w:eastAsia="Times New Roman" w:hAnsi="Garamond" w:cs="Calibri"/>
                <w:color w:val="000000"/>
                <w:sz w:val="16"/>
                <w:szCs w:val="16"/>
                <w:vertAlign w:val="subscript"/>
                <w:lang w:eastAsia="en-GB"/>
              </w:rPr>
              <w:t>1</w:t>
            </w:r>
            <w:r w:rsidRPr="00E71630">
              <w:rPr>
                <w:rFonts w:ascii="Garamond" w:eastAsia="Times New Roman" w:hAnsi="Garamond" w:cs="Calibri"/>
                <w:color w:val="000000"/>
                <w:sz w:val="16"/>
                <w:szCs w:val="16"/>
                <w:lang w:eastAsia="en-GB"/>
              </w:rPr>
              <w:t>; PM</w:t>
            </w:r>
            <w:r w:rsidRPr="00E71630">
              <w:rPr>
                <w:rFonts w:ascii="Garamond" w:eastAsia="Times New Roman" w:hAnsi="Garamond" w:cs="Calibri"/>
                <w:color w:val="000000"/>
                <w:sz w:val="16"/>
                <w:szCs w:val="16"/>
                <w:vertAlign w:val="subscript"/>
                <w:lang w:eastAsia="en-GB"/>
              </w:rPr>
              <w:t>2.5</w:t>
            </w:r>
            <w:r w:rsidRPr="00E71630">
              <w:rPr>
                <w:rFonts w:ascii="Garamond" w:eastAsia="Times New Roman" w:hAnsi="Garamond" w:cs="Calibri"/>
                <w:color w:val="000000"/>
                <w:sz w:val="16"/>
                <w:szCs w:val="16"/>
                <w:lang w:eastAsia="en-GB"/>
              </w:rPr>
              <w:t>;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TSP; VOCs</w:t>
            </w:r>
          </w:p>
        </w:tc>
        <w:tc>
          <w:tcPr>
            <w:tcW w:w="1180" w:type="dxa"/>
            <w:tcBorders>
              <w:top w:val="nil"/>
              <w:left w:val="nil"/>
              <w:bottom w:val="dotted" w:sz="4" w:space="0" w:color="auto"/>
              <w:right w:val="nil"/>
            </w:tcBorders>
            <w:shd w:val="clear" w:color="auto" w:fill="auto"/>
            <w:vAlign w:val="center"/>
            <w:hideMark/>
          </w:tcPr>
          <w:p w14:paraId="7E20A710"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2012</w:t>
            </w:r>
          </w:p>
        </w:tc>
        <w:tc>
          <w:tcPr>
            <w:tcW w:w="1579" w:type="dxa"/>
            <w:tcBorders>
              <w:top w:val="nil"/>
              <w:left w:val="nil"/>
              <w:bottom w:val="dotted" w:sz="4" w:space="0" w:color="auto"/>
              <w:right w:val="nil"/>
            </w:tcBorders>
            <w:shd w:val="clear" w:color="auto" w:fill="auto"/>
            <w:vAlign w:val="center"/>
            <w:hideMark/>
          </w:tcPr>
          <w:p w14:paraId="45B61F7A"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W; SP  </w:t>
            </w:r>
          </w:p>
        </w:tc>
        <w:tc>
          <w:tcPr>
            <w:tcW w:w="924" w:type="dxa"/>
            <w:tcBorders>
              <w:top w:val="nil"/>
              <w:left w:val="nil"/>
              <w:bottom w:val="dotted" w:sz="4" w:space="0" w:color="auto"/>
              <w:right w:val="nil"/>
            </w:tcBorders>
            <w:shd w:val="clear" w:color="auto" w:fill="auto"/>
            <w:vAlign w:val="center"/>
            <w:hideMark/>
          </w:tcPr>
          <w:p w14:paraId="76E25F29"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France</w:t>
            </w:r>
          </w:p>
        </w:tc>
        <w:tc>
          <w:tcPr>
            <w:tcW w:w="3531" w:type="dxa"/>
            <w:tcBorders>
              <w:top w:val="nil"/>
              <w:left w:val="nil"/>
              <w:bottom w:val="dotted" w:sz="4" w:space="0" w:color="auto"/>
              <w:right w:val="nil"/>
            </w:tcBorders>
            <w:shd w:val="clear" w:color="auto" w:fill="auto"/>
            <w:vAlign w:val="center"/>
            <w:hideMark/>
          </w:tcPr>
          <w:p w14:paraId="6569B1E9"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French farmers.</w:t>
            </w:r>
          </w:p>
        </w:tc>
      </w:tr>
      <w:tr w:rsidR="006E426F" w:rsidRPr="00E71630" w14:paraId="558AAEC2"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4C98ECEC"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(Maw et al. 2002)</w:t>
            </w:r>
          </w:p>
        </w:tc>
        <w:tc>
          <w:tcPr>
            <w:tcW w:w="4299" w:type="dxa"/>
            <w:tcBorders>
              <w:top w:val="nil"/>
              <w:left w:val="nil"/>
              <w:bottom w:val="dotted" w:sz="4" w:space="0" w:color="auto"/>
              <w:right w:val="nil"/>
            </w:tcBorders>
            <w:shd w:val="clear" w:color="auto" w:fill="auto"/>
            <w:vAlign w:val="center"/>
            <w:hideMark/>
          </w:tcPr>
          <w:p w14:paraId="21C5EA6F" w14:textId="77777777"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Assess the losses of NO</w:t>
            </w:r>
            <w:r w:rsidRPr="00E71630">
              <w:rPr>
                <w:rFonts w:ascii="Garamond" w:eastAsia="Times New Roman" w:hAnsi="Garamond" w:cs="Calibri"/>
                <w:color w:val="000000"/>
                <w:sz w:val="16"/>
                <w:szCs w:val="16"/>
                <w:vertAlign w:val="subscript"/>
                <w:lang w:eastAsia="en-GB"/>
              </w:rPr>
              <w:t>x</w:t>
            </w:r>
            <w:r w:rsidRPr="00E71630">
              <w:rPr>
                <w:rFonts w:ascii="Garamond" w:eastAsia="Times New Roman" w:hAnsi="Garamond" w:cs="Calibri"/>
                <w:color w:val="000000"/>
                <w:sz w:val="16"/>
                <w:szCs w:val="16"/>
                <w:lang w:eastAsia="en-GB"/>
              </w:rPr>
              <w:t xml:space="preserve"> from grass and maize silage, and their potential nutritional, atmospheric and health implications.</w:t>
            </w:r>
          </w:p>
        </w:tc>
        <w:tc>
          <w:tcPr>
            <w:tcW w:w="1147" w:type="dxa"/>
            <w:tcBorders>
              <w:top w:val="nil"/>
              <w:left w:val="nil"/>
              <w:bottom w:val="dotted" w:sz="4" w:space="0" w:color="auto"/>
              <w:right w:val="nil"/>
            </w:tcBorders>
            <w:shd w:val="clear" w:color="auto" w:fill="auto"/>
            <w:vAlign w:val="center"/>
            <w:hideMark/>
          </w:tcPr>
          <w:p w14:paraId="40BF6FDA"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NO; NO</w:t>
            </w:r>
            <w:r w:rsidRPr="00E71630">
              <w:rPr>
                <w:rFonts w:ascii="Garamond" w:eastAsia="Times New Roman" w:hAnsi="Garamond" w:cs="Calibri"/>
                <w:color w:val="000000"/>
                <w:sz w:val="16"/>
                <w:szCs w:val="16"/>
                <w:vertAlign w:val="subscript"/>
                <w:lang w:eastAsia="en-GB"/>
              </w:rPr>
              <w:t>2</w:t>
            </w:r>
          </w:p>
        </w:tc>
        <w:tc>
          <w:tcPr>
            <w:tcW w:w="1180" w:type="dxa"/>
            <w:tcBorders>
              <w:top w:val="nil"/>
              <w:left w:val="nil"/>
              <w:bottom w:val="dotted" w:sz="4" w:space="0" w:color="auto"/>
              <w:right w:val="nil"/>
            </w:tcBorders>
            <w:shd w:val="clear" w:color="auto" w:fill="auto"/>
            <w:vAlign w:val="center"/>
            <w:hideMark/>
          </w:tcPr>
          <w:p w14:paraId="0B32DBA2"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1998-2000</w:t>
            </w:r>
          </w:p>
        </w:tc>
        <w:tc>
          <w:tcPr>
            <w:tcW w:w="1579" w:type="dxa"/>
            <w:tcBorders>
              <w:top w:val="nil"/>
              <w:left w:val="nil"/>
              <w:bottom w:val="dotted" w:sz="4" w:space="0" w:color="auto"/>
              <w:right w:val="nil"/>
            </w:tcBorders>
            <w:shd w:val="clear" w:color="auto" w:fill="auto"/>
            <w:vAlign w:val="center"/>
            <w:hideMark/>
          </w:tcPr>
          <w:p w14:paraId="39209CBC"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 SP</w:t>
            </w:r>
          </w:p>
        </w:tc>
        <w:tc>
          <w:tcPr>
            <w:tcW w:w="924" w:type="dxa"/>
            <w:tcBorders>
              <w:top w:val="nil"/>
              <w:left w:val="nil"/>
              <w:bottom w:val="dotted" w:sz="4" w:space="0" w:color="auto"/>
              <w:right w:val="nil"/>
            </w:tcBorders>
            <w:shd w:val="clear" w:color="auto" w:fill="auto"/>
            <w:vAlign w:val="center"/>
            <w:hideMark/>
          </w:tcPr>
          <w:p w14:paraId="3329ABB1"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w:t>
            </w:r>
          </w:p>
        </w:tc>
        <w:tc>
          <w:tcPr>
            <w:tcW w:w="3531" w:type="dxa"/>
            <w:tcBorders>
              <w:top w:val="nil"/>
              <w:left w:val="nil"/>
              <w:bottom w:val="dotted" w:sz="4" w:space="0" w:color="auto"/>
              <w:right w:val="nil"/>
            </w:tcBorders>
            <w:shd w:val="clear" w:color="auto" w:fill="auto"/>
            <w:vAlign w:val="center"/>
            <w:hideMark/>
          </w:tcPr>
          <w:p w14:paraId="60AC8582"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n.a.</w:t>
            </w:r>
          </w:p>
        </w:tc>
      </w:tr>
      <w:tr w:rsidR="006E426F" w:rsidRPr="00E71630" w14:paraId="0EA8FDDF"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445F1CD9"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(Pavilonis et al. 2013)</w:t>
            </w:r>
          </w:p>
        </w:tc>
        <w:tc>
          <w:tcPr>
            <w:tcW w:w="4299" w:type="dxa"/>
            <w:tcBorders>
              <w:top w:val="nil"/>
              <w:left w:val="nil"/>
              <w:bottom w:val="dotted" w:sz="4" w:space="0" w:color="auto"/>
              <w:right w:val="nil"/>
            </w:tcBorders>
            <w:shd w:val="clear" w:color="auto" w:fill="auto"/>
            <w:vAlign w:val="center"/>
            <w:hideMark/>
          </w:tcPr>
          <w:p w14:paraId="41199BCF" w14:textId="77777777" w:rsidR="00F86268"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To quantify airborne concentrations of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PM</w:t>
            </w:r>
            <w:r w:rsidRPr="00E71630">
              <w:rPr>
                <w:rFonts w:ascii="Garamond" w:eastAsia="Times New Roman" w:hAnsi="Garamond" w:cs="Calibri"/>
                <w:color w:val="000000"/>
                <w:sz w:val="16"/>
                <w:szCs w:val="16"/>
                <w:vertAlign w:val="subscript"/>
                <w:lang w:eastAsia="en-GB"/>
              </w:rPr>
              <w:t>2.5</w:t>
            </w:r>
            <w:r w:rsidRPr="00E71630">
              <w:rPr>
                <w:rFonts w:ascii="Garamond" w:eastAsia="Times New Roman" w:hAnsi="Garamond" w:cs="Calibri"/>
                <w:color w:val="000000"/>
                <w:sz w:val="16"/>
                <w:szCs w:val="16"/>
                <w:lang w:eastAsia="en-GB"/>
              </w:rPr>
              <w:t>, and endotoxin in an intensely agricultural area.</w:t>
            </w:r>
          </w:p>
          <w:p w14:paraId="29593823" w14:textId="77777777" w:rsidR="00F86268"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Compare findings with reported concentrations from urban areas</w:t>
            </w:r>
            <w:r w:rsidR="00F86268" w:rsidRPr="00E71630">
              <w:rPr>
                <w:rFonts w:ascii="Garamond" w:eastAsia="Times New Roman" w:hAnsi="Garamond" w:cs="Calibri"/>
                <w:color w:val="000000"/>
                <w:sz w:val="16"/>
                <w:szCs w:val="16"/>
                <w:lang w:eastAsia="en-GB"/>
              </w:rPr>
              <w:t>.</w:t>
            </w:r>
          </w:p>
          <w:p w14:paraId="4E006B47" w14:textId="012053A5" w:rsidR="00F86268"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Identify factors contributing to rural PM and endotoxin concentrations in both ambient and indoor air in homes</w:t>
            </w:r>
            <w:r w:rsidR="00F86268" w:rsidRPr="00E71630">
              <w:rPr>
                <w:rFonts w:ascii="Garamond" w:eastAsia="Times New Roman" w:hAnsi="Garamond" w:cs="Calibri"/>
                <w:color w:val="000000"/>
                <w:sz w:val="16"/>
                <w:szCs w:val="16"/>
                <w:lang w:eastAsia="en-GB"/>
              </w:rPr>
              <w:t>.</w:t>
            </w:r>
          </w:p>
          <w:p w14:paraId="0FE2788B" w14:textId="284A85EC"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Evaluate the effect of seasonal variation on PM and endotoxin levels.</w:t>
            </w:r>
          </w:p>
        </w:tc>
        <w:tc>
          <w:tcPr>
            <w:tcW w:w="1147" w:type="dxa"/>
            <w:tcBorders>
              <w:top w:val="nil"/>
              <w:left w:val="nil"/>
              <w:bottom w:val="dotted" w:sz="4" w:space="0" w:color="auto"/>
              <w:right w:val="nil"/>
            </w:tcBorders>
            <w:shd w:val="clear" w:color="auto" w:fill="auto"/>
            <w:vAlign w:val="center"/>
            <w:hideMark/>
          </w:tcPr>
          <w:p w14:paraId="7E371973"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2.5</w:t>
            </w:r>
            <w:r w:rsidRPr="00E71630">
              <w:rPr>
                <w:rFonts w:ascii="Garamond" w:eastAsia="Times New Roman" w:hAnsi="Garamond" w:cs="Calibri"/>
                <w:color w:val="000000"/>
                <w:sz w:val="16"/>
                <w:szCs w:val="16"/>
                <w:lang w:eastAsia="en-GB"/>
              </w:rPr>
              <w:t>;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Endotoxin</w:t>
            </w:r>
          </w:p>
        </w:tc>
        <w:tc>
          <w:tcPr>
            <w:tcW w:w="1180" w:type="dxa"/>
            <w:tcBorders>
              <w:top w:val="nil"/>
              <w:left w:val="nil"/>
              <w:bottom w:val="dotted" w:sz="4" w:space="0" w:color="auto"/>
              <w:right w:val="nil"/>
            </w:tcBorders>
            <w:shd w:val="clear" w:color="auto" w:fill="auto"/>
            <w:vAlign w:val="center"/>
            <w:hideMark/>
          </w:tcPr>
          <w:p w14:paraId="22D85062"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2007-2011</w:t>
            </w:r>
          </w:p>
        </w:tc>
        <w:tc>
          <w:tcPr>
            <w:tcW w:w="1579" w:type="dxa"/>
            <w:tcBorders>
              <w:top w:val="nil"/>
              <w:left w:val="nil"/>
              <w:bottom w:val="dotted" w:sz="4" w:space="0" w:color="auto"/>
              <w:right w:val="nil"/>
            </w:tcBorders>
            <w:shd w:val="clear" w:color="auto" w:fill="auto"/>
            <w:vAlign w:val="center"/>
            <w:hideMark/>
          </w:tcPr>
          <w:p w14:paraId="5F907FF7"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w:t>
            </w:r>
          </w:p>
        </w:tc>
        <w:tc>
          <w:tcPr>
            <w:tcW w:w="924" w:type="dxa"/>
            <w:tcBorders>
              <w:top w:val="nil"/>
              <w:left w:val="nil"/>
              <w:bottom w:val="dotted" w:sz="4" w:space="0" w:color="auto"/>
              <w:right w:val="nil"/>
            </w:tcBorders>
            <w:shd w:val="clear" w:color="auto" w:fill="auto"/>
            <w:vAlign w:val="center"/>
            <w:hideMark/>
          </w:tcPr>
          <w:p w14:paraId="458A01B2"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USA</w:t>
            </w:r>
          </w:p>
        </w:tc>
        <w:tc>
          <w:tcPr>
            <w:tcW w:w="3531" w:type="dxa"/>
            <w:tcBorders>
              <w:top w:val="nil"/>
              <w:left w:val="nil"/>
              <w:bottom w:val="dotted" w:sz="4" w:space="0" w:color="auto"/>
              <w:right w:val="nil"/>
            </w:tcBorders>
            <w:shd w:val="clear" w:color="auto" w:fill="auto"/>
            <w:vAlign w:val="center"/>
            <w:hideMark/>
          </w:tcPr>
          <w:p w14:paraId="5A6FD0C5"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Intensely agricultural area: the majority of the land area in the county was devoted to agricultural production (86%), with approximately 318,160 acres considered cropland, pastures, and trees. The primary crops grown in the county were corn and soybeans, accounting for 157 and 57 tonnes harvested in 2009, respectively.</w:t>
            </w:r>
          </w:p>
        </w:tc>
      </w:tr>
      <w:tr w:rsidR="006E426F" w:rsidRPr="00E71630" w14:paraId="4FC0BDB4"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0420017F"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(Ramli et al. 2021)</w:t>
            </w:r>
          </w:p>
        </w:tc>
        <w:tc>
          <w:tcPr>
            <w:tcW w:w="4299" w:type="dxa"/>
            <w:tcBorders>
              <w:top w:val="nil"/>
              <w:left w:val="nil"/>
              <w:bottom w:val="dotted" w:sz="4" w:space="0" w:color="auto"/>
              <w:right w:val="nil"/>
            </w:tcBorders>
            <w:shd w:val="clear" w:color="auto" w:fill="auto"/>
            <w:vAlign w:val="center"/>
            <w:hideMark/>
          </w:tcPr>
          <w:p w14:paraId="0C97F4E5" w14:textId="77777777" w:rsidR="00F86268"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Determining the compositions of trace elements and the morphological properties of fine particles. </w:t>
            </w:r>
          </w:p>
          <w:p w14:paraId="1D71FB41" w14:textId="77777777" w:rsidR="00F86268"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Establish a causal connection between rice straw open burning and ambient air quality in Bagan Serai, Perak, Malaysia. </w:t>
            </w:r>
          </w:p>
          <w:p w14:paraId="5AE6226D" w14:textId="7FDC4576"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Investigate the chemical, biological, and morphological properties of fine particles from the emissions and the potential impacts on the air quality in the neighbo</w:t>
            </w:r>
            <w:r w:rsidR="00235840">
              <w:rPr>
                <w:rFonts w:ascii="Garamond" w:eastAsia="Times New Roman" w:hAnsi="Garamond" w:cs="Calibri"/>
                <w:color w:val="000000"/>
                <w:sz w:val="16"/>
                <w:szCs w:val="16"/>
                <w:lang w:eastAsia="en-GB"/>
              </w:rPr>
              <w:t>u</w:t>
            </w:r>
            <w:r w:rsidRPr="00E71630">
              <w:rPr>
                <w:rFonts w:ascii="Garamond" w:eastAsia="Times New Roman" w:hAnsi="Garamond" w:cs="Calibri"/>
                <w:color w:val="000000"/>
                <w:sz w:val="16"/>
                <w:szCs w:val="16"/>
                <w:lang w:eastAsia="en-GB"/>
              </w:rPr>
              <w:t>ring areas.</w:t>
            </w:r>
          </w:p>
        </w:tc>
        <w:tc>
          <w:tcPr>
            <w:tcW w:w="1147" w:type="dxa"/>
            <w:tcBorders>
              <w:top w:val="nil"/>
              <w:left w:val="nil"/>
              <w:bottom w:val="dotted" w:sz="4" w:space="0" w:color="auto"/>
              <w:right w:val="nil"/>
            </w:tcBorders>
            <w:shd w:val="clear" w:color="auto" w:fill="auto"/>
            <w:vAlign w:val="center"/>
            <w:hideMark/>
          </w:tcPr>
          <w:p w14:paraId="49C39FC4"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2.5</w:t>
            </w:r>
          </w:p>
        </w:tc>
        <w:tc>
          <w:tcPr>
            <w:tcW w:w="1180" w:type="dxa"/>
            <w:tcBorders>
              <w:top w:val="nil"/>
              <w:left w:val="nil"/>
              <w:bottom w:val="dotted" w:sz="4" w:space="0" w:color="auto"/>
              <w:right w:val="nil"/>
            </w:tcBorders>
            <w:shd w:val="clear" w:color="auto" w:fill="auto"/>
            <w:vAlign w:val="center"/>
            <w:hideMark/>
          </w:tcPr>
          <w:p w14:paraId="70D4F8D1"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2020</w:t>
            </w:r>
          </w:p>
        </w:tc>
        <w:tc>
          <w:tcPr>
            <w:tcW w:w="1579" w:type="dxa"/>
            <w:tcBorders>
              <w:top w:val="nil"/>
              <w:left w:val="nil"/>
              <w:bottom w:val="dotted" w:sz="4" w:space="0" w:color="auto"/>
              <w:right w:val="nil"/>
            </w:tcBorders>
            <w:shd w:val="clear" w:color="auto" w:fill="auto"/>
            <w:vAlign w:val="center"/>
            <w:hideMark/>
          </w:tcPr>
          <w:p w14:paraId="355A693B"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F</w:t>
            </w:r>
          </w:p>
        </w:tc>
        <w:tc>
          <w:tcPr>
            <w:tcW w:w="924" w:type="dxa"/>
            <w:tcBorders>
              <w:top w:val="nil"/>
              <w:left w:val="nil"/>
              <w:bottom w:val="dotted" w:sz="4" w:space="0" w:color="auto"/>
              <w:right w:val="nil"/>
            </w:tcBorders>
            <w:shd w:val="clear" w:color="auto" w:fill="auto"/>
            <w:vAlign w:val="center"/>
            <w:hideMark/>
          </w:tcPr>
          <w:p w14:paraId="6883C749"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Malaysia</w:t>
            </w:r>
          </w:p>
        </w:tc>
        <w:tc>
          <w:tcPr>
            <w:tcW w:w="3531" w:type="dxa"/>
            <w:tcBorders>
              <w:top w:val="nil"/>
              <w:left w:val="nil"/>
              <w:bottom w:val="dotted" w:sz="4" w:space="0" w:color="auto"/>
              <w:right w:val="nil"/>
            </w:tcBorders>
            <w:shd w:val="clear" w:color="auto" w:fill="auto"/>
            <w:vAlign w:val="center"/>
            <w:hideMark/>
          </w:tcPr>
          <w:p w14:paraId="228126F8"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n.a.</w:t>
            </w:r>
          </w:p>
        </w:tc>
      </w:tr>
      <w:tr w:rsidR="006E426F" w:rsidRPr="00E71630" w14:paraId="028D1653"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303A726A"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(Reinhardt et al. 2011)</w:t>
            </w:r>
          </w:p>
        </w:tc>
        <w:tc>
          <w:tcPr>
            <w:tcW w:w="4299" w:type="dxa"/>
            <w:tcBorders>
              <w:top w:val="nil"/>
              <w:left w:val="nil"/>
              <w:bottom w:val="dotted" w:sz="4" w:space="0" w:color="auto"/>
              <w:right w:val="nil"/>
            </w:tcBorders>
            <w:shd w:val="clear" w:color="auto" w:fill="auto"/>
            <w:vAlign w:val="center"/>
            <w:hideMark/>
          </w:tcPr>
          <w:p w14:paraId="4D44260C" w14:textId="77777777"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Characterize exposure to smoke among a rural population in Rondônia during the peak of the burning season.</w:t>
            </w:r>
          </w:p>
        </w:tc>
        <w:tc>
          <w:tcPr>
            <w:tcW w:w="1147" w:type="dxa"/>
            <w:tcBorders>
              <w:top w:val="nil"/>
              <w:left w:val="nil"/>
              <w:bottom w:val="dotted" w:sz="4" w:space="0" w:color="auto"/>
              <w:right w:val="nil"/>
            </w:tcBorders>
            <w:shd w:val="clear" w:color="auto" w:fill="auto"/>
            <w:vAlign w:val="center"/>
            <w:hideMark/>
          </w:tcPr>
          <w:p w14:paraId="4A747685"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CO; HCHO; PM</w:t>
            </w:r>
            <w:r w:rsidRPr="00E71630">
              <w:rPr>
                <w:rFonts w:ascii="Garamond" w:eastAsia="Times New Roman" w:hAnsi="Garamond" w:cs="Calibri"/>
                <w:color w:val="000000"/>
                <w:sz w:val="16"/>
                <w:szCs w:val="16"/>
                <w:vertAlign w:val="subscript"/>
                <w:lang w:eastAsia="en-GB"/>
              </w:rPr>
              <w:t>3.5</w:t>
            </w:r>
            <w:r w:rsidRPr="00E71630">
              <w:rPr>
                <w:rFonts w:ascii="Garamond" w:eastAsia="Times New Roman" w:hAnsi="Garamond" w:cs="Calibri"/>
                <w:color w:val="000000"/>
                <w:sz w:val="16"/>
                <w:szCs w:val="16"/>
                <w:lang w:eastAsia="en-GB"/>
              </w:rPr>
              <w:t xml:space="preserve">; Acrolein; Benzene  </w:t>
            </w:r>
          </w:p>
        </w:tc>
        <w:tc>
          <w:tcPr>
            <w:tcW w:w="1180" w:type="dxa"/>
            <w:tcBorders>
              <w:top w:val="nil"/>
              <w:left w:val="nil"/>
              <w:bottom w:val="dotted" w:sz="4" w:space="0" w:color="auto"/>
              <w:right w:val="nil"/>
            </w:tcBorders>
            <w:shd w:val="clear" w:color="auto" w:fill="auto"/>
            <w:vAlign w:val="center"/>
            <w:hideMark/>
          </w:tcPr>
          <w:p w14:paraId="70F3B630"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1995</w:t>
            </w:r>
          </w:p>
        </w:tc>
        <w:tc>
          <w:tcPr>
            <w:tcW w:w="1579" w:type="dxa"/>
            <w:tcBorders>
              <w:top w:val="nil"/>
              <w:left w:val="nil"/>
              <w:bottom w:val="dotted" w:sz="4" w:space="0" w:color="auto"/>
              <w:right w:val="nil"/>
            </w:tcBorders>
            <w:shd w:val="clear" w:color="auto" w:fill="auto"/>
            <w:vAlign w:val="center"/>
            <w:hideMark/>
          </w:tcPr>
          <w:p w14:paraId="50A14287"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SU</w:t>
            </w:r>
          </w:p>
        </w:tc>
        <w:tc>
          <w:tcPr>
            <w:tcW w:w="924" w:type="dxa"/>
            <w:tcBorders>
              <w:top w:val="nil"/>
              <w:left w:val="nil"/>
              <w:bottom w:val="dotted" w:sz="4" w:space="0" w:color="auto"/>
              <w:right w:val="nil"/>
            </w:tcBorders>
            <w:shd w:val="clear" w:color="auto" w:fill="auto"/>
            <w:vAlign w:val="center"/>
            <w:hideMark/>
          </w:tcPr>
          <w:p w14:paraId="55820EE2"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Brazil</w:t>
            </w:r>
          </w:p>
        </w:tc>
        <w:tc>
          <w:tcPr>
            <w:tcW w:w="3531" w:type="dxa"/>
            <w:tcBorders>
              <w:top w:val="nil"/>
              <w:left w:val="nil"/>
              <w:bottom w:val="dotted" w:sz="4" w:space="0" w:color="auto"/>
              <w:right w:val="nil"/>
            </w:tcBorders>
            <w:shd w:val="clear" w:color="auto" w:fill="auto"/>
            <w:vAlign w:val="center"/>
            <w:hideMark/>
          </w:tcPr>
          <w:p w14:paraId="7981C5C5"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Northwest of central Theobroma in an open agricultural research field. The nearest road was ~70 m away to the southwest, downwind of the predominant wind direction. </w:t>
            </w:r>
          </w:p>
        </w:tc>
      </w:tr>
      <w:tr w:rsidR="006E426F" w:rsidRPr="00E71630" w14:paraId="33FCB80C"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799E1616"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(Ryu et al. 2007)</w:t>
            </w:r>
          </w:p>
        </w:tc>
        <w:tc>
          <w:tcPr>
            <w:tcW w:w="4299" w:type="dxa"/>
            <w:tcBorders>
              <w:top w:val="nil"/>
              <w:left w:val="nil"/>
              <w:bottom w:val="dotted" w:sz="4" w:space="0" w:color="auto"/>
              <w:right w:val="nil"/>
            </w:tcBorders>
            <w:shd w:val="clear" w:color="auto" w:fill="auto"/>
            <w:vAlign w:val="center"/>
            <w:hideMark/>
          </w:tcPr>
          <w:p w14:paraId="40C24314" w14:textId="77777777"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Investigate the chemical characteristics of biomass burning aerosol and its impact on regional air quality during an agricultural waste burning period in early summer in the rural areas of Korea.</w:t>
            </w:r>
          </w:p>
        </w:tc>
        <w:tc>
          <w:tcPr>
            <w:tcW w:w="1147" w:type="dxa"/>
            <w:tcBorders>
              <w:top w:val="nil"/>
              <w:left w:val="nil"/>
              <w:bottom w:val="dotted" w:sz="4" w:space="0" w:color="auto"/>
              <w:right w:val="nil"/>
            </w:tcBorders>
            <w:shd w:val="clear" w:color="auto" w:fill="auto"/>
            <w:vAlign w:val="center"/>
            <w:hideMark/>
          </w:tcPr>
          <w:p w14:paraId="77943532"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2.5</w:t>
            </w:r>
            <w:r w:rsidRPr="00E71630">
              <w:rPr>
                <w:rFonts w:ascii="Garamond" w:eastAsia="Times New Roman" w:hAnsi="Garamond" w:cs="Calibri"/>
                <w:color w:val="000000"/>
                <w:sz w:val="16"/>
                <w:szCs w:val="16"/>
                <w:lang w:eastAsia="en-GB"/>
              </w:rPr>
              <w:t>; PM</w:t>
            </w:r>
            <w:r w:rsidRPr="00E71630">
              <w:rPr>
                <w:rFonts w:ascii="Garamond" w:eastAsia="Times New Roman" w:hAnsi="Garamond" w:cs="Calibri"/>
                <w:color w:val="000000"/>
                <w:sz w:val="16"/>
                <w:szCs w:val="16"/>
                <w:vertAlign w:val="subscript"/>
                <w:lang w:eastAsia="en-GB"/>
              </w:rPr>
              <w:t>10</w:t>
            </w:r>
          </w:p>
        </w:tc>
        <w:tc>
          <w:tcPr>
            <w:tcW w:w="1180" w:type="dxa"/>
            <w:tcBorders>
              <w:top w:val="nil"/>
              <w:left w:val="nil"/>
              <w:bottom w:val="dotted" w:sz="4" w:space="0" w:color="auto"/>
              <w:right w:val="nil"/>
            </w:tcBorders>
            <w:shd w:val="clear" w:color="auto" w:fill="auto"/>
            <w:vAlign w:val="center"/>
            <w:hideMark/>
          </w:tcPr>
          <w:p w14:paraId="0BC9C4B1"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2003</w:t>
            </w:r>
          </w:p>
        </w:tc>
        <w:tc>
          <w:tcPr>
            <w:tcW w:w="1579" w:type="dxa"/>
            <w:tcBorders>
              <w:top w:val="nil"/>
              <w:left w:val="nil"/>
              <w:bottom w:val="dotted" w:sz="4" w:space="0" w:color="auto"/>
              <w:right w:val="nil"/>
            </w:tcBorders>
            <w:shd w:val="clear" w:color="auto" w:fill="auto"/>
            <w:vAlign w:val="center"/>
            <w:hideMark/>
          </w:tcPr>
          <w:p w14:paraId="568B61C9"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SU</w:t>
            </w:r>
          </w:p>
        </w:tc>
        <w:tc>
          <w:tcPr>
            <w:tcW w:w="924" w:type="dxa"/>
            <w:tcBorders>
              <w:top w:val="nil"/>
              <w:left w:val="nil"/>
              <w:bottom w:val="dotted" w:sz="4" w:space="0" w:color="auto"/>
              <w:right w:val="nil"/>
            </w:tcBorders>
            <w:shd w:val="clear" w:color="auto" w:fill="auto"/>
            <w:vAlign w:val="center"/>
            <w:hideMark/>
          </w:tcPr>
          <w:p w14:paraId="3C3351A8"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South Korea</w:t>
            </w:r>
          </w:p>
        </w:tc>
        <w:tc>
          <w:tcPr>
            <w:tcW w:w="3531" w:type="dxa"/>
            <w:tcBorders>
              <w:top w:val="nil"/>
              <w:left w:val="nil"/>
              <w:bottom w:val="dotted" w:sz="4" w:space="0" w:color="auto"/>
              <w:right w:val="nil"/>
            </w:tcBorders>
            <w:shd w:val="clear" w:color="auto" w:fill="auto"/>
            <w:vAlign w:val="center"/>
            <w:hideMark/>
          </w:tcPr>
          <w:p w14:paraId="17D07A9E"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Mobile laboratory trailer at the Gwangju Institute of Science and Technology, which is located in a northern suburb of Gwangju and surrounded by rural areas from north to east of the sampling site.</w:t>
            </w:r>
          </w:p>
        </w:tc>
      </w:tr>
      <w:tr w:rsidR="006E426F" w:rsidRPr="00E71630" w14:paraId="2DEEEACF"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012D6421"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(Sevimoglu and Rogge 2016)</w:t>
            </w:r>
          </w:p>
        </w:tc>
        <w:tc>
          <w:tcPr>
            <w:tcW w:w="4299" w:type="dxa"/>
            <w:tcBorders>
              <w:top w:val="nil"/>
              <w:left w:val="nil"/>
              <w:bottom w:val="dotted" w:sz="4" w:space="0" w:color="auto"/>
              <w:right w:val="nil"/>
            </w:tcBorders>
            <w:shd w:val="clear" w:color="auto" w:fill="auto"/>
            <w:vAlign w:val="center"/>
            <w:hideMark/>
          </w:tcPr>
          <w:p w14:paraId="490986AB" w14:textId="69F6AA96" w:rsidR="00A71173"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Gain insight into differences between size-segregated airborne PM concentrations at Belle Glade and Delray</w:t>
            </w:r>
            <w:r w:rsidR="00122AF8">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 xml:space="preserve">Beach during an entire year with special emphasis on PM exposure levels during sugarcane harvesting and growing seasons. </w:t>
            </w:r>
          </w:p>
          <w:p w14:paraId="4566E934" w14:textId="638A3B15"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Determine exposure levels of PAHs associated with different particle size fractions.</w:t>
            </w:r>
          </w:p>
        </w:tc>
        <w:tc>
          <w:tcPr>
            <w:tcW w:w="1147" w:type="dxa"/>
            <w:tcBorders>
              <w:top w:val="nil"/>
              <w:left w:val="nil"/>
              <w:bottom w:val="dotted" w:sz="4" w:space="0" w:color="auto"/>
              <w:right w:val="nil"/>
            </w:tcBorders>
            <w:shd w:val="clear" w:color="auto" w:fill="auto"/>
            <w:vAlign w:val="center"/>
            <w:hideMark/>
          </w:tcPr>
          <w:p w14:paraId="180D57F8"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3</w:t>
            </w:r>
            <w:r w:rsidRPr="00E71630">
              <w:rPr>
                <w:rFonts w:ascii="Garamond" w:eastAsia="Times New Roman" w:hAnsi="Garamond" w:cs="Calibri"/>
                <w:color w:val="000000"/>
                <w:sz w:val="16"/>
                <w:szCs w:val="16"/>
                <w:lang w:eastAsia="en-GB"/>
              </w:rPr>
              <w:t>;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PAHs</w:t>
            </w:r>
          </w:p>
        </w:tc>
        <w:tc>
          <w:tcPr>
            <w:tcW w:w="1180" w:type="dxa"/>
            <w:tcBorders>
              <w:top w:val="nil"/>
              <w:left w:val="nil"/>
              <w:bottom w:val="dotted" w:sz="4" w:space="0" w:color="auto"/>
              <w:right w:val="nil"/>
            </w:tcBorders>
            <w:shd w:val="clear" w:color="auto" w:fill="auto"/>
            <w:vAlign w:val="center"/>
            <w:hideMark/>
          </w:tcPr>
          <w:p w14:paraId="52F48F7F"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1996-1997</w:t>
            </w:r>
          </w:p>
        </w:tc>
        <w:tc>
          <w:tcPr>
            <w:tcW w:w="1579" w:type="dxa"/>
            <w:tcBorders>
              <w:top w:val="nil"/>
              <w:left w:val="nil"/>
              <w:bottom w:val="dotted" w:sz="4" w:space="0" w:color="auto"/>
              <w:right w:val="nil"/>
            </w:tcBorders>
            <w:shd w:val="clear" w:color="auto" w:fill="auto"/>
            <w:vAlign w:val="center"/>
            <w:hideMark/>
          </w:tcPr>
          <w:p w14:paraId="0B31E324"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 SP; SU; F</w:t>
            </w:r>
          </w:p>
        </w:tc>
        <w:tc>
          <w:tcPr>
            <w:tcW w:w="924" w:type="dxa"/>
            <w:tcBorders>
              <w:top w:val="nil"/>
              <w:left w:val="nil"/>
              <w:bottom w:val="dotted" w:sz="4" w:space="0" w:color="auto"/>
              <w:right w:val="nil"/>
            </w:tcBorders>
            <w:shd w:val="clear" w:color="auto" w:fill="auto"/>
            <w:vAlign w:val="center"/>
            <w:hideMark/>
          </w:tcPr>
          <w:p w14:paraId="13E3940D"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USA</w:t>
            </w:r>
          </w:p>
        </w:tc>
        <w:tc>
          <w:tcPr>
            <w:tcW w:w="3531" w:type="dxa"/>
            <w:tcBorders>
              <w:top w:val="nil"/>
              <w:left w:val="nil"/>
              <w:bottom w:val="dotted" w:sz="4" w:space="0" w:color="auto"/>
              <w:right w:val="nil"/>
            </w:tcBorders>
            <w:shd w:val="clear" w:color="auto" w:fill="auto"/>
            <w:vAlign w:val="center"/>
            <w:hideMark/>
          </w:tcPr>
          <w:p w14:paraId="1CB38480" w14:textId="295B259A"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Delray Beach is located roughly 60 km east and 36 km south</w:t>
            </w:r>
            <w:r w:rsidR="00122AF8">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of Belle Glade. This sampling site is typically under the impact of traffic-related and industrial emissions. The major industries include electric power production, construction, aircraft testing, computer and electronics manufacturing, waste incineration,</w:t>
            </w:r>
            <w:r w:rsidR="00122AF8">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 xml:space="preserve">concrete and asphalt production. Belle Glade is located in the western part of Palm Beach County, where sugarcane growing is the major agricultural </w:t>
            </w:r>
            <w:r w:rsidRPr="00E71630">
              <w:rPr>
                <w:rFonts w:ascii="Garamond" w:eastAsia="Times New Roman" w:hAnsi="Garamond" w:cs="Calibri"/>
                <w:color w:val="000000"/>
                <w:sz w:val="16"/>
                <w:szCs w:val="16"/>
                <w:lang w:eastAsia="en-GB"/>
              </w:rPr>
              <w:lastRenderedPageBreak/>
              <w:t>crop and the</w:t>
            </w:r>
            <w:r w:rsidR="00122AF8">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largest sugarcane-producing industry in the continental United States.</w:t>
            </w:r>
          </w:p>
        </w:tc>
      </w:tr>
      <w:tr w:rsidR="006E426F" w:rsidRPr="00E71630" w14:paraId="691A00B2"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41B2C58A" w14:textId="49578E5E"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lastRenderedPageBreak/>
              <w:fldChar w:fldCharType="begin" w:fldLock="1"/>
            </w:r>
            <w:r w:rsidR="00A84515">
              <w:rPr>
                <w:rFonts w:ascii="Garamond" w:eastAsia="Times New Roman" w:hAnsi="Garamond" w:cs="Calibri"/>
                <w:color w:val="000000"/>
                <w:sz w:val="16"/>
                <w:szCs w:val="16"/>
                <w:lang w:eastAsia="en-GB"/>
              </w:rPr>
              <w:instrText>ADDIN CSL_CITATION {"citationItems":[{"id":"ITEM-1","itemData":{"DOI":"10.1093/annhyg/mer025","author":[{"dropping-particle":"","family":"Swanepoel","given":"Andrew J","non-dropping-particle":"","parse-names":false,"suffix":""},{"dropping-particle":"","family":"Kromhout","given":"Hans","non-dropping-particle":"","parse-names":false,"suffix":""},{"dropping-particle":"","family":"Portengen","given":"Tzen","non-dropping-particle":"","parse-names":false,"suffix":""},{"dropping-particle":"","family":"Renton","given":"Kevin","non-dropping-particle":"","parse-names":false,"suffix":""},{"dropping-particle":"","family":"Jinnah","given":"Zubair A","non-dropping-particle":"","parse-names":false,"suffix":""},{"dropping-particle":"","family":"Gardiner","given":"Kerry","non-dropping-particle":"","parse-names":false,"suffix":""},{"dropping-particle":"","family":"Rees","given":"David","non-dropping-particle":"","parse-names":false,"suffix":""}],"id":"ITEM-1","issue":"6","issued":{"date-parts":[["2011"]]},"page":"634-643","title":"Respirable Dust and Quartz Exposure from Three South African Farms with Sandy , Sandy Loam , and Clay Soils","type":"article-journal","volume":"55"},"uris":["http://www.mendeley.com/documents/?uuid=b7be029c-187f-4a5f-b6a1-a6ecc292a73e"]}],"mendeley":{"formattedCitation":"(Swanepoel et al. 2011)","plainTextFormattedCitation":"(Swanepoel et al. 2011)","previouslyFormattedCitation":"(Swanepoel et al. 2011)"},"properties":{"noteIndex":0},"schema":"https://github.com/citation-style-language/schema/raw/master/csl-citation.json"}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(Swanepoel et al. 2011)</w:t>
            </w:r>
            <w:r w:rsidRPr="00E71630">
              <w:rPr>
                <w:rFonts w:ascii="Garamond" w:eastAsia="Times New Roman" w:hAnsi="Garamond" w:cs="Calibri"/>
                <w:color w:val="000000"/>
                <w:sz w:val="16"/>
                <w:szCs w:val="16"/>
                <w:lang w:eastAsia="en-GB"/>
              </w:rPr>
              <w:fldChar w:fldCharType="end"/>
            </w:r>
          </w:p>
        </w:tc>
        <w:tc>
          <w:tcPr>
            <w:tcW w:w="4299" w:type="dxa"/>
            <w:tcBorders>
              <w:top w:val="nil"/>
              <w:left w:val="nil"/>
              <w:bottom w:val="dotted" w:sz="4" w:space="0" w:color="auto"/>
              <w:right w:val="nil"/>
            </w:tcBorders>
            <w:shd w:val="clear" w:color="auto" w:fill="auto"/>
            <w:vAlign w:val="center"/>
            <w:hideMark/>
          </w:tcPr>
          <w:p w14:paraId="741D3878" w14:textId="77777777" w:rsidR="00A71173"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To determine whether farming activities on a clay soil farm generated time-weighted average respirable quartz concentrations above OELs </w:t>
            </w:r>
          </w:p>
          <w:p w14:paraId="02511DC5" w14:textId="39831083"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Test the hypothesis that the level of exposure to respirable quartz follows a declining gradient from sandy to sandy loam soils with less potential for high exposure from clay soils.</w:t>
            </w:r>
          </w:p>
        </w:tc>
        <w:tc>
          <w:tcPr>
            <w:tcW w:w="1147" w:type="dxa"/>
            <w:tcBorders>
              <w:top w:val="nil"/>
              <w:left w:val="nil"/>
              <w:bottom w:val="dotted" w:sz="4" w:space="0" w:color="auto"/>
              <w:right w:val="nil"/>
            </w:tcBorders>
            <w:shd w:val="clear" w:color="auto" w:fill="auto"/>
            <w:vAlign w:val="center"/>
            <w:hideMark/>
          </w:tcPr>
          <w:p w14:paraId="7CEFD1D9"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Respirable dust; Quartz</w:t>
            </w:r>
          </w:p>
        </w:tc>
        <w:tc>
          <w:tcPr>
            <w:tcW w:w="1180" w:type="dxa"/>
            <w:tcBorders>
              <w:top w:val="nil"/>
              <w:left w:val="nil"/>
              <w:bottom w:val="dotted" w:sz="4" w:space="0" w:color="auto"/>
              <w:right w:val="nil"/>
            </w:tcBorders>
            <w:shd w:val="clear" w:color="auto" w:fill="auto"/>
            <w:vAlign w:val="center"/>
            <w:hideMark/>
          </w:tcPr>
          <w:p w14:paraId="17527663"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2006-2009</w:t>
            </w:r>
          </w:p>
        </w:tc>
        <w:tc>
          <w:tcPr>
            <w:tcW w:w="1579" w:type="dxa"/>
            <w:tcBorders>
              <w:top w:val="nil"/>
              <w:left w:val="nil"/>
              <w:bottom w:val="dotted" w:sz="4" w:space="0" w:color="auto"/>
              <w:right w:val="nil"/>
            </w:tcBorders>
            <w:shd w:val="clear" w:color="auto" w:fill="auto"/>
            <w:vAlign w:val="center"/>
            <w:hideMark/>
          </w:tcPr>
          <w:p w14:paraId="51946471"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 SP; SU; F</w:t>
            </w:r>
          </w:p>
        </w:tc>
        <w:tc>
          <w:tcPr>
            <w:tcW w:w="924" w:type="dxa"/>
            <w:tcBorders>
              <w:top w:val="nil"/>
              <w:left w:val="nil"/>
              <w:bottom w:val="dotted" w:sz="4" w:space="0" w:color="auto"/>
              <w:right w:val="nil"/>
            </w:tcBorders>
            <w:shd w:val="clear" w:color="auto" w:fill="auto"/>
            <w:vAlign w:val="center"/>
            <w:hideMark/>
          </w:tcPr>
          <w:p w14:paraId="44DE30E5"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South Africa</w:t>
            </w:r>
          </w:p>
        </w:tc>
        <w:tc>
          <w:tcPr>
            <w:tcW w:w="3531" w:type="dxa"/>
            <w:tcBorders>
              <w:top w:val="nil"/>
              <w:left w:val="nil"/>
              <w:bottom w:val="dotted" w:sz="4" w:space="0" w:color="auto"/>
              <w:right w:val="nil"/>
            </w:tcBorders>
            <w:shd w:val="clear" w:color="auto" w:fill="auto"/>
            <w:vAlign w:val="center"/>
            <w:hideMark/>
          </w:tcPr>
          <w:p w14:paraId="1B06A5F9" w14:textId="05F63990"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Three farms located in the Free State and North</w:t>
            </w:r>
            <w:r w:rsidR="00122AF8">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West provinces of South Africa: (i) north western part of the Free-State province (being about 1500 ha in size); (ii) southern and eastern part of the North</w:t>
            </w:r>
            <w:r w:rsidR="00122AF8">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West province.</w:t>
            </w:r>
          </w:p>
        </w:tc>
      </w:tr>
      <w:tr w:rsidR="006E426F" w:rsidRPr="00E71630" w14:paraId="655DCEE1"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25999232"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(Wei et al. 2019)</w:t>
            </w:r>
          </w:p>
        </w:tc>
        <w:tc>
          <w:tcPr>
            <w:tcW w:w="4299" w:type="dxa"/>
            <w:tcBorders>
              <w:top w:val="nil"/>
              <w:left w:val="nil"/>
              <w:bottom w:val="dotted" w:sz="4" w:space="0" w:color="auto"/>
              <w:right w:val="nil"/>
            </w:tcBorders>
            <w:shd w:val="clear" w:color="auto" w:fill="auto"/>
            <w:vAlign w:val="center"/>
            <w:hideMark/>
          </w:tcPr>
          <w:p w14:paraId="0BA9B70A" w14:textId="77777777" w:rsidR="00A71173"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Determine microbial community structure and abundance between biomass burning events and non-biomass burning events.</w:t>
            </w:r>
          </w:p>
          <w:p w14:paraId="1E9FA9E9" w14:textId="300CC79A" w:rsidR="00A71173"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Understand the potential eco</w:t>
            </w:r>
            <w:r w:rsidR="00122AF8">
              <w:rPr>
                <w:rFonts w:ascii="Garamond" w:eastAsia="Times New Roman" w:hAnsi="Garamond" w:cs="Calibri"/>
                <w:color w:val="000000"/>
                <w:sz w:val="16"/>
                <w:szCs w:val="16"/>
                <w:lang w:eastAsia="en-GB"/>
              </w:rPr>
              <w:t>-</w:t>
            </w:r>
            <w:r w:rsidRPr="00E71630">
              <w:rPr>
                <w:rFonts w:ascii="Garamond" w:eastAsia="Times New Roman" w:hAnsi="Garamond" w:cs="Calibri"/>
                <w:color w:val="000000"/>
                <w:sz w:val="16"/>
                <w:szCs w:val="16"/>
                <w:lang w:eastAsia="en-GB"/>
              </w:rPr>
              <w:t>physiological function of bacterial and fungal community.</w:t>
            </w:r>
          </w:p>
          <w:p w14:paraId="0F8A405D" w14:textId="5986ACCA"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Identify the main environmental variables in shaping community structure and abundance.</w:t>
            </w:r>
          </w:p>
        </w:tc>
        <w:tc>
          <w:tcPr>
            <w:tcW w:w="1147" w:type="dxa"/>
            <w:tcBorders>
              <w:top w:val="nil"/>
              <w:left w:val="nil"/>
              <w:bottom w:val="dotted" w:sz="4" w:space="0" w:color="auto"/>
              <w:right w:val="nil"/>
            </w:tcBorders>
            <w:shd w:val="clear" w:color="auto" w:fill="auto"/>
            <w:vAlign w:val="center"/>
            <w:hideMark/>
          </w:tcPr>
          <w:p w14:paraId="45D3EC1A"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2.5</w:t>
            </w:r>
            <w:r w:rsidRPr="00E71630">
              <w:rPr>
                <w:rFonts w:ascii="Garamond" w:eastAsia="Times New Roman" w:hAnsi="Garamond" w:cs="Calibri"/>
                <w:color w:val="000000"/>
                <w:sz w:val="16"/>
                <w:szCs w:val="16"/>
                <w:lang w:eastAsia="en-GB"/>
              </w:rPr>
              <w:t>; CO; SO</w:t>
            </w:r>
            <w:r w:rsidRPr="00E71630">
              <w:rPr>
                <w:rFonts w:ascii="Garamond" w:eastAsia="Times New Roman" w:hAnsi="Garamond" w:cs="Calibri"/>
                <w:color w:val="000000"/>
                <w:sz w:val="16"/>
                <w:szCs w:val="16"/>
                <w:vertAlign w:val="subscript"/>
                <w:lang w:eastAsia="en-GB"/>
              </w:rPr>
              <w:t>2</w:t>
            </w:r>
            <w:r w:rsidRPr="00E71630">
              <w:rPr>
                <w:rFonts w:ascii="Garamond" w:eastAsia="Times New Roman" w:hAnsi="Garamond" w:cs="Calibri"/>
                <w:color w:val="000000"/>
                <w:sz w:val="16"/>
                <w:szCs w:val="16"/>
                <w:lang w:eastAsia="en-GB"/>
              </w:rPr>
              <w:t>; O</w:t>
            </w:r>
            <w:r w:rsidRPr="00E71630">
              <w:rPr>
                <w:rFonts w:ascii="Garamond" w:eastAsia="Times New Roman" w:hAnsi="Garamond" w:cs="Calibri"/>
                <w:color w:val="000000"/>
                <w:sz w:val="16"/>
                <w:szCs w:val="16"/>
                <w:vertAlign w:val="subscript"/>
                <w:lang w:eastAsia="en-GB"/>
              </w:rPr>
              <w:t>3</w:t>
            </w:r>
            <w:r w:rsidRPr="00E71630">
              <w:rPr>
                <w:rFonts w:ascii="Garamond" w:eastAsia="Times New Roman" w:hAnsi="Garamond" w:cs="Calibri"/>
                <w:color w:val="000000"/>
                <w:sz w:val="16"/>
                <w:szCs w:val="16"/>
                <w:lang w:eastAsia="en-GB"/>
              </w:rPr>
              <w:t>; NO</w:t>
            </w:r>
            <w:r w:rsidRPr="00E71630">
              <w:rPr>
                <w:rFonts w:ascii="Garamond" w:eastAsia="Times New Roman" w:hAnsi="Garamond" w:cs="Calibri"/>
                <w:color w:val="000000"/>
                <w:sz w:val="16"/>
                <w:szCs w:val="16"/>
                <w:vertAlign w:val="subscript"/>
                <w:lang w:eastAsia="en-GB"/>
              </w:rPr>
              <w:t>x</w:t>
            </w:r>
            <w:r w:rsidRPr="00E71630">
              <w:rPr>
                <w:rFonts w:ascii="Garamond" w:eastAsia="Times New Roman" w:hAnsi="Garamond" w:cs="Calibri"/>
                <w:color w:val="000000"/>
                <w:sz w:val="16"/>
                <w:szCs w:val="16"/>
                <w:lang w:eastAsia="en-GB"/>
              </w:rPr>
              <w:t>; Inorganic aerosols (NH</w:t>
            </w:r>
            <w:r w:rsidRPr="00E71630">
              <w:rPr>
                <w:rFonts w:ascii="Garamond" w:eastAsia="Times New Roman" w:hAnsi="Garamond" w:cs="Calibri"/>
                <w:color w:val="000000"/>
                <w:sz w:val="16"/>
                <w:szCs w:val="16"/>
                <w:vertAlign w:val="subscript"/>
                <w:lang w:eastAsia="en-GB"/>
              </w:rPr>
              <w:t>4</w:t>
            </w:r>
            <w:r w:rsidRPr="00E71630">
              <w:rPr>
                <w:rFonts w:ascii="Garamond" w:eastAsia="Times New Roman" w:hAnsi="Garamond" w:cs="Calibri"/>
                <w:color w:val="000000"/>
                <w:sz w:val="16"/>
                <w:szCs w:val="16"/>
                <w:vertAlign w:val="superscript"/>
                <w:lang w:eastAsia="en-GB"/>
              </w:rPr>
              <w:t>+</w:t>
            </w:r>
            <w:r w:rsidRPr="00E71630">
              <w:rPr>
                <w:rFonts w:ascii="Garamond" w:eastAsia="Times New Roman" w:hAnsi="Garamond" w:cs="Calibri"/>
                <w:color w:val="000000"/>
                <w:sz w:val="16"/>
                <w:szCs w:val="16"/>
                <w:lang w:eastAsia="en-GB"/>
              </w:rPr>
              <w:t>, NO</w:t>
            </w:r>
            <w:r w:rsidRPr="00E71630">
              <w:rPr>
                <w:rFonts w:ascii="Garamond" w:eastAsia="Times New Roman" w:hAnsi="Garamond" w:cs="Calibri"/>
                <w:color w:val="000000"/>
                <w:sz w:val="16"/>
                <w:szCs w:val="16"/>
                <w:vertAlign w:val="subscript"/>
                <w:lang w:eastAsia="en-GB"/>
              </w:rPr>
              <w:t>3</w:t>
            </w:r>
            <w:r w:rsidRPr="00E71630">
              <w:rPr>
                <w:rFonts w:ascii="Garamond" w:eastAsia="Times New Roman" w:hAnsi="Garamond" w:cs="Calibri"/>
                <w:color w:val="000000"/>
                <w:sz w:val="16"/>
                <w:szCs w:val="16"/>
                <w:vertAlign w:val="superscript"/>
                <w:lang w:eastAsia="en-GB"/>
              </w:rPr>
              <w:t>−</w:t>
            </w:r>
            <w:r w:rsidRPr="00E71630">
              <w:rPr>
                <w:rFonts w:ascii="Garamond" w:eastAsia="Times New Roman" w:hAnsi="Garamond" w:cs="Calibri"/>
                <w:color w:val="000000"/>
                <w:sz w:val="16"/>
                <w:szCs w:val="16"/>
                <w:lang w:eastAsia="en-GB"/>
              </w:rPr>
              <w:t>, SO</w:t>
            </w:r>
            <w:r w:rsidRPr="00E71630">
              <w:rPr>
                <w:rFonts w:ascii="Garamond" w:eastAsia="Times New Roman" w:hAnsi="Garamond" w:cs="Calibri"/>
                <w:color w:val="000000"/>
                <w:sz w:val="16"/>
                <w:szCs w:val="16"/>
                <w:vertAlign w:val="subscript"/>
                <w:lang w:eastAsia="en-GB"/>
              </w:rPr>
              <w:t>4</w:t>
            </w:r>
            <w:r w:rsidRPr="00E71630">
              <w:rPr>
                <w:rFonts w:ascii="Garamond" w:eastAsia="Times New Roman" w:hAnsi="Garamond" w:cs="Calibri"/>
                <w:color w:val="000000"/>
                <w:sz w:val="16"/>
                <w:szCs w:val="16"/>
                <w:vertAlign w:val="superscript"/>
                <w:lang w:eastAsia="en-GB"/>
              </w:rPr>
              <w:t>2−</w:t>
            </w:r>
            <w:r w:rsidRPr="00E71630">
              <w:rPr>
                <w:rFonts w:ascii="Garamond" w:eastAsia="Times New Roman" w:hAnsi="Garamond" w:cs="Calibri"/>
                <w:color w:val="000000"/>
                <w:sz w:val="16"/>
                <w:szCs w:val="16"/>
                <w:lang w:eastAsia="en-GB"/>
              </w:rPr>
              <w:t>, Cl−); Mineral cations (Na</w:t>
            </w:r>
            <w:r w:rsidRPr="00E71630">
              <w:rPr>
                <w:rFonts w:ascii="Garamond" w:eastAsia="Times New Roman" w:hAnsi="Garamond" w:cs="Calibri"/>
                <w:color w:val="000000"/>
                <w:sz w:val="16"/>
                <w:szCs w:val="16"/>
                <w:vertAlign w:val="superscript"/>
                <w:lang w:eastAsia="en-GB"/>
              </w:rPr>
              <w:t>+</w:t>
            </w:r>
            <w:r w:rsidRPr="00E71630">
              <w:rPr>
                <w:rFonts w:ascii="Garamond" w:eastAsia="Times New Roman" w:hAnsi="Garamond" w:cs="Calibri"/>
                <w:color w:val="000000"/>
                <w:sz w:val="16"/>
                <w:szCs w:val="16"/>
                <w:lang w:eastAsia="en-GB"/>
              </w:rPr>
              <w:t>, K</w:t>
            </w:r>
            <w:r w:rsidRPr="00E71630">
              <w:rPr>
                <w:rFonts w:ascii="Garamond" w:eastAsia="Times New Roman" w:hAnsi="Garamond" w:cs="Calibri"/>
                <w:color w:val="000000"/>
                <w:sz w:val="16"/>
                <w:szCs w:val="16"/>
                <w:vertAlign w:val="superscript"/>
                <w:lang w:eastAsia="en-GB"/>
              </w:rPr>
              <w:t>+</w:t>
            </w:r>
            <w:r w:rsidRPr="00E71630">
              <w:rPr>
                <w:rFonts w:ascii="Garamond" w:eastAsia="Times New Roman" w:hAnsi="Garamond" w:cs="Calibri"/>
                <w:color w:val="000000"/>
                <w:sz w:val="16"/>
                <w:szCs w:val="16"/>
                <w:lang w:eastAsia="en-GB"/>
              </w:rPr>
              <w:t>, Ca</w:t>
            </w:r>
            <w:r w:rsidRPr="00E71630">
              <w:rPr>
                <w:rFonts w:ascii="Garamond" w:eastAsia="Times New Roman" w:hAnsi="Garamond" w:cs="Calibri"/>
                <w:color w:val="000000"/>
                <w:sz w:val="16"/>
                <w:szCs w:val="16"/>
                <w:vertAlign w:val="superscript"/>
                <w:lang w:eastAsia="en-GB"/>
              </w:rPr>
              <w:t>2+</w:t>
            </w:r>
            <w:r w:rsidRPr="00E71630">
              <w:rPr>
                <w:rFonts w:ascii="Garamond" w:eastAsia="Times New Roman" w:hAnsi="Garamond" w:cs="Calibri"/>
                <w:color w:val="000000"/>
                <w:sz w:val="16"/>
                <w:szCs w:val="16"/>
                <w:lang w:eastAsia="en-GB"/>
              </w:rPr>
              <w:t>, Mg</w:t>
            </w:r>
            <w:r w:rsidRPr="00E71630">
              <w:rPr>
                <w:rFonts w:ascii="Garamond" w:eastAsia="Times New Roman" w:hAnsi="Garamond" w:cs="Calibri"/>
                <w:color w:val="000000"/>
                <w:sz w:val="16"/>
                <w:szCs w:val="16"/>
                <w:vertAlign w:val="superscript"/>
                <w:lang w:eastAsia="en-GB"/>
              </w:rPr>
              <w:t>2+</w:t>
            </w:r>
            <w:r w:rsidRPr="00E71630">
              <w:rPr>
                <w:rFonts w:ascii="Garamond" w:eastAsia="Times New Roman" w:hAnsi="Garamond" w:cs="Calibri"/>
                <w:color w:val="000000"/>
                <w:sz w:val="16"/>
                <w:szCs w:val="16"/>
                <w:lang w:eastAsia="en-GB"/>
              </w:rPr>
              <w:t>)</w:t>
            </w:r>
          </w:p>
        </w:tc>
        <w:tc>
          <w:tcPr>
            <w:tcW w:w="1180" w:type="dxa"/>
            <w:tcBorders>
              <w:top w:val="nil"/>
              <w:left w:val="nil"/>
              <w:bottom w:val="dotted" w:sz="4" w:space="0" w:color="auto"/>
              <w:right w:val="nil"/>
            </w:tcBorders>
            <w:shd w:val="clear" w:color="auto" w:fill="auto"/>
            <w:vAlign w:val="center"/>
            <w:hideMark/>
          </w:tcPr>
          <w:p w14:paraId="6E1583C0"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2014</w:t>
            </w:r>
          </w:p>
        </w:tc>
        <w:tc>
          <w:tcPr>
            <w:tcW w:w="1579" w:type="dxa"/>
            <w:tcBorders>
              <w:top w:val="nil"/>
              <w:left w:val="nil"/>
              <w:bottom w:val="dotted" w:sz="4" w:space="0" w:color="auto"/>
              <w:right w:val="nil"/>
            </w:tcBorders>
            <w:shd w:val="clear" w:color="auto" w:fill="auto"/>
            <w:vAlign w:val="center"/>
            <w:hideMark/>
          </w:tcPr>
          <w:p w14:paraId="4A6C4294"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SU</w:t>
            </w:r>
          </w:p>
        </w:tc>
        <w:tc>
          <w:tcPr>
            <w:tcW w:w="924" w:type="dxa"/>
            <w:tcBorders>
              <w:top w:val="nil"/>
              <w:left w:val="nil"/>
              <w:bottom w:val="dotted" w:sz="4" w:space="0" w:color="auto"/>
              <w:right w:val="nil"/>
            </w:tcBorders>
            <w:shd w:val="clear" w:color="auto" w:fill="auto"/>
            <w:vAlign w:val="center"/>
            <w:hideMark/>
          </w:tcPr>
          <w:p w14:paraId="3642FBE9"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China</w:t>
            </w:r>
          </w:p>
        </w:tc>
        <w:tc>
          <w:tcPr>
            <w:tcW w:w="3531" w:type="dxa"/>
            <w:tcBorders>
              <w:top w:val="nil"/>
              <w:left w:val="nil"/>
              <w:bottom w:val="dotted" w:sz="4" w:space="0" w:color="auto"/>
              <w:right w:val="nil"/>
            </w:tcBorders>
            <w:shd w:val="clear" w:color="auto" w:fill="auto"/>
            <w:vAlign w:val="center"/>
            <w:hideMark/>
          </w:tcPr>
          <w:p w14:paraId="42C6F2CF" w14:textId="1D705EB8"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Yucheng is located almost in the center of the North China Plain.</w:t>
            </w:r>
            <w:r w:rsidR="00122AF8">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The sampling site</w:t>
            </w:r>
            <w:r w:rsidR="00122AF8">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was inside the Yucheng Comprehensive Experiment Station of Chinese Academy of Sciences, which located about 50 km northwest of Jinan and downwind of Jinan in summer. The experimental field was in a highly intensive agricultural area surrounded by arable land and without</w:t>
            </w:r>
            <w:r w:rsidR="00122AF8">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major pollution sources nearby.</w:t>
            </w:r>
          </w:p>
        </w:tc>
      </w:tr>
      <w:tr w:rsidR="006E426F" w:rsidRPr="00E71630" w14:paraId="63B056AE"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5AD68C37"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(Xing et al. 2020)</w:t>
            </w:r>
          </w:p>
        </w:tc>
        <w:tc>
          <w:tcPr>
            <w:tcW w:w="4299" w:type="dxa"/>
            <w:tcBorders>
              <w:top w:val="nil"/>
              <w:left w:val="nil"/>
              <w:bottom w:val="dotted" w:sz="4" w:space="0" w:color="auto"/>
              <w:right w:val="nil"/>
            </w:tcBorders>
            <w:shd w:val="clear" w:color="auto" w:fill="auto"/>
            <w:vAlign w:val="center"/>
            <w:hideMark/>
          </w:tcPr>
          <w:p w14:paraId="46DDBB6D" w14:textId="77777777" w:rsidR="00A71173"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Explain the concentration, composition, source and transmission of PM2.5-bound PAHs at rural, suburban, and urban in central China during summer harvest activity.</w:t>
            </w:r>
          </w:p>
          <w:p w14:paraId="28BAAE8E" w14:textId="77777777" w:rsidR="00A71173"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Clarifying the potential PAH sources through MDR and PCA–MLR.</w:t>
            </w:r>
          </w:p>
          <w:p w14:paraId="1B486672" w14:textId="77777777" w:rsidR="00A71173"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Clustering trajectories by HYSPLIT model for potential pollution source areas.</w:t>
            </w:r>
          </w:p>
          <w:p w14:paraId="73CE0B32" w14:textId="21001593"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Evaluate the human health risk of PAHs by ILCR model.</w:t>
            </w:r>
          </w:p>
        </w:tc>
        <w:tc>
          <w:tcPr>
            <w:tcW w:w="1147" w:type="dxa"/>
            <w:tcBorders>
              <w:top w:val="nil"/>
              <w:left w:val="nil"/>
              <w:bottom w:val="dotted" w:sz="4" w:space="0" w:color="auto"/>
              <w:right w:val="nil"/>
            </w:tcBorders>
            <w:shd w:val="clear" w:color="auto" w:fill="auto"/>
            <w:vAlign w:val="center"/>
            <w:hideMark/>
          </w:tcPr>
          <w:p w14:paraId="4290689D"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2.5</w:t>
            </w:r>
            <w:r w:rsidRPr="00E71630">
              <w:rPr>
                <w:rFonts w:ascii="Garamond" w:eastAsia="Times New Roman" w:hAnsi="Garamond" w:cs="Calibri"/>
                <w:color w:val="000000"/>
                <w:sz w:val="16"/>
                <w:szCs w:val="16"/>
                <w:lang w:eastAsia="en-GB"/>
              </w:rPr>
              <w:t>; PAHs</w:t>
            </w:r>
          </w:p>
        </w:tc>
        <w:tc>
          <w:tcPr>
            <w:tcW w:w="1180" w:type="dxa"/>
            <w:tcBorders>
              <w:top w:val="nil"/>
              <w:left w:val="nil"/>
              <w:bottom w:val="dotted" w:sz="4" w:space="0" w:color="auto"/>
              <w:right w:val="nil"/>
            </w:tcBorders>
            <w:shd w:val="clear" w:color="auto" w:fill="auto"/>
            <w:vAlign w:val="center"/>
            <w:hideMark/>
          </w:tcPr>
          <w:p w14:paraId="390A14CB"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2017</w:t>
            </w:r>
          </w:p>
        </w:tc>
        <w:tc>
          <w:tcPr>
            <w:tcW w:w="1579" w:type="dxa"/>
            <w:tcBorders>
              <w:top w:val="nil"/>
              <w:left w:val="nil"/>
              <w:bottom w:val="dotted" w:sz="4" w:space="0" w:color="auto"/>
              <w:right w:val="nil"/>
            </w:tcBorders>
            <w:shd w:val="clear" w:color="auto" w:fill="auto"/>
            <w:vAlign w:val="center"/>
            <w:hideMark/>
          </w:tcPr>
          <w:p w14:paraId="52CC8DB5"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SU</w:t>
            </w:r>
          </w:p>
        </w:tc>
        <w:tc>
          <w:tcPr>
            <w:tcW w:w="924" w:type="dxa"/>
            <w:tcBorders>
              <w:top w:val="nil"/>
              <w:left w:val="nil"/>
              <w:bottom w:val="dotted" w:sz="4" w:space="0" w:color="auto"/>
              <w:right w:val="nil"/>
            </w:tcBorders>
            <w:shd w:val="clear" w:color="auto" w:fill="auto"/>
            <w:vAlign w:val="center"/>
            <w:hideMark/>
          </w:tcPr>
          <w:p w14:paraId="0C652A0E"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China</w:t>
            </w:r>
          </w:p>
        </w:tc>
        <w:tc>
          <w:tcPr>
            <w:tcW w:w="3531" w:type="dxa"/>
            <w:tcBorders>
              <w:top w:val="nil"/>
              <w:left w:val="nil"/>
              <w:bottom w:val="dotted" w:sz="4" w:space="0" w:color="auto"/>
              <w:right w:val="nil"/>
            </w:tcBorders>
            <w:shd w:val="clear" w:color="auto" w:fill="auto"/>
            <w:vAlign w:val="center"/>
            <w:hideMark/>
          </w:tcPr>
          <w:p w14:paraId="200B11A3"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Wuhan in the central of China, is a mega city. Pingdingshan and Suizhou located in north of Wuhan, are less developed city/county: (i) the sampling site in Wuhan is the roof of the 8th floor in Hubei Environmental Monitoring Center Station, adjoining Bayi Road. This location is approximately 25 m above the ground with intensive human activities of the large city; (ii) Pingdingshan site is situated on the roof of the residents' committees in Baofeng. This site is located in the central and western of Henan province; (iii) Suizhou site is located the north of Hubei province and is surrounded by hills with no industrial emissions.</w:t>
            </w:r>
          </w:p>
        </w:tc>
      </w:tr>
      <w:tr w:rsidR="006E426F" w:rsidRPr="00E71630" w14:paraId="06F3F364"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7EFA4173" w14:textId="5CB19793" w:rsidR="006E426F" w:rsidRPr="00E71630" w:rsidRDefault="00E14647"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{"citationItems":[{"id":"ITEM-1","itemData":{"DOI":"10.1038/sj.jes.7500556","author":[{"dropping-particle":"","family":"You","given":"Xiaoqing Isabelle","non-dropping-particle":"","parse-names":false,"suffix":""},{"dropping-particle":"","family":"Senthilselvan","given":"Ambikaipakan","non-dropping-particle":"","parse-names":false,"suffix":""},{"dropping-particle":"","family":"Cherry","given":"Nicola M","non-dropping-particle":"","parse-names":false,"suffix":""},{"dropping-particle":"","family":"Kim","given":"Hyang-mi","non-dropping-particle":"","parse-names":false,"suffix":""}],"id":"ITEM-1","issue":"November 2016","issued":{"date-parts":[["2008"]]},"title":"Determinants of airborne concentrations of volatile organic compounds in rural areas of Western Canada Determinants of airborne concentrations of volatile organic compounds in rural areas of Western Canada","type":"article-journal"},"uris":["http://www.mendeley.com/documents/?uuid=0127bb51-52d8-4588-b703-721d8087a18a"]}],"mendeley":{"formattedCitation":"(You et al. 2008)","plainTextFormattedCitation":"(You et al. 2008)","previouslyFormattedCitation":"(You et al. 2008)"},"properties":{"noteIndex":0},"schema":"https://github.com/citation-style-language/schema/raw/master/csl-citation.json"}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(You et al. 2008)</w:t>
            </w:r>
            <w:r w:rsidRPr="00E71630">
              <w:rPr>
                <w:rFonts w:ascii="Garamond" w:eastAsia="Times New Roman" w:hAnsi="Garamond" w:cs="Calibri"/>
                <w:color w:val="000000"/>
                <w:sz w:val="16"/>
                <w:szCs w:val="16"/>
                <w:lang w:eastAsia="en-GB"/>
              </w:rPr>
              <w:fldChar w:fldCharType="end"/>
            </w:r>
          </w:p>
        </w:tc>
        <w:tc>
          <w:tcPr>
            <w:tcW w:w="4299" w:type="dxa"/>
            <w:tcBorders>
              <w:top w:val="nil"/>
              <w:left w:val="nil"/>
              <w:bottom w:val="dotted" w:sz="4" w:space="0" w:color="auto"/>
              <w:right w:val="nil"/>
            </w:tcBorders>
            <w:shd w:val="clear" w:color="auto" w:fill="auto"/>
            <w:vAlign w:val="center"/>
            <w:hideMark/>
          </w:tcPr>
          <w:p w14:paraId="2E95776B" w14:textId="77777777" w:rsidR="00A71173"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Describe the levels and variability of airborne concentrations for VOC.</w:t>
            </w:r>
          </w:p>
          <w:p w14:paraId="3F75F67F" w14:textId="77777777" w:rsidR="00A71173"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Identify factors that determine airborne concentrations of VOC.</w:t>
            </w:r>
          </w:p>
          <w:p w14:paraId="61ADDCB9" w14:textId="3C5C6405"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Produce statistical models that can be used to gain insight into the impact of major oil and gas facilities on the airborne VOC concentrations in the rural areas of Western Canada.</w:t>
            </w:r>
          </w:p>
        </w:tc>
        <w:tc>
          <w:tcPr>
            <w:tcW w:w="1147" w:type="dxa"/>
            <w:tcBorders>
              <w:top w:val="nil"/>
              <w:left w:val="nil"/>
              <w:bottom w:val="dotted" w:sz="4" w:space="0" w:color="auto"/>
              <w:right w:val="nil"/>
            </w:tcBorders>
            <w:shd w:val="clear" w:color="auto" w:fill="auto"/>
            <w:vAlign w:val="center"/>
            <w:hideMark/>
          </w:tcPr>
          <w:p w14:paraId="65F9A076"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VOCs</w:t>
            </w:r>
          </w:p>
        </w:tc>
        <w:tc>
          <w:tcPr>
            <w:tcW w:w="1180" w:type="dxa"/>
            <w:tcBorders>
              <w:top w:val="nil"/>
              <w:left w:val="nil"/>
              <w:bottom w:val="dotted" w:sz="4" w:space="0" w:color="auto"/>
              <w:right w:val="nil"/>
            </w:tcBorders>
            <w:shd w:val="clear" w:color="auto" w:fill="auto"/>
            <w:vAlign w:val="center"/>
            <w:hideMark/>
          </w:tcPr>
          <w:p w14:paraId="348DC75A"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2001-2002</w:t>
            </w:r>
          </w:p>
        </w:tc>
        <w:tc>
          <w:tcPr>
            <w:tcW w:w="1579" w:type="dxa"/>
            <w:tcBorders>
              <w:top w:val="nil"/>
              <w:left w:val="nil"/>
              <w:bottom w:val="dotted" w:sz="4" w:space="0" w:color="auto"/>
              <w:right w:val="nil"/>
            </w:tcBorders>
            <w:shd w:val="clear" w:color="auto" w:fill="auto"/>
            <w:vAlign w:val="center"/>
            <w:hideMark/>
          </w:tcPr>
          <w:p w14:paraId="3E25A488"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 SP; SU; F</w:t>
            </w:r>
          </w:p>
        </w:tc>
        <w:tc>
          <w:tcPr>
            <w:tcW w:w="924" w:type="dxa"/>
            <w:tcBorders>
              <w:top w:val="nil"/>
              <w:left w:val="nil"/>
              <w:bottom w:val="dotted" w:sz="4" w:space="0" w:color="auto"/>
              <w:right w:val="nil"/>
            </w:tcBorders>
            <w:shd w:val="clear" w:color="auto" w:fill="auto"/>
            <w:vAlign w:val="center"/>
            <w:hideMark/>
          </w:tcPr>
          <w:p w14:paraId="4525D145"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Canada</w:t>
            </w:r>
          </w:p>
        </w:tc>
        <w:tc>
          <w:tcPr>
            <w:tcW w:w="3531" w:type="dxa"/>
            <w:tcBorders>
              <w:top w:val="nil"/>
              <w:left w:val="nil"/>
              <w:bottom w:val="dotted" w:sz="4" w:space="0" w:color="auto"/>
              <w:right w:val="nil"/>
            </w:tcBorders>
            <w:shd w:val="clear" w:color="auto" w:fill="auto"/>
            <w:vAlign w:val="center"/>
            <w:hideMark/>
          </w:tcPr>
          <w:p w14:paraId="56DA1211"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The monitoring sites were located in the vicinity of approximately 33,000 beef cattle in some 200 herds selected across a geographic area associated with primary oil and gas industry in British Columbia, Alberta, and Saskatchewan.</w:t>
            </w:r>
          </w:p>
        </w:tc>
      </w:tr>
      <w:tr w:rsidR="006E426F" w:rsidRPr="00E71630" w14:paraId="5C51535C" w14:textId="77777777" w:rsidTr="00260FFE">
        <w:trPr>
          <w:divId w:val="1401752343"/>
          <w:trHeight w:val="303"/>
        </w:trPr>
        <w:tc>
          <w:tcPr>
            <w:tcW w:w="1180" w:type="dxa"/>
            <w:tcBorders>
              <w:top w:val="nil"/>
              <w:left w:val="nil"/>
              <w:bottom w:val="dotted" w:sz="4" w:space="0" w:color="auto"/>
              <w:right w:val="nil"/>
            </w:tcBorders>
            <w:shd w:val="clear" w:color="auto" w:fill="auto"/>
            <w:vAlign w:val="center"/>
            <w:hideMark/>
          </w:tcPr>
          <w:p w14:paraId="57CCF54E"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(Zbieranowski and Aherne 2012)</w:t>
            </w:r>
          </w:p>
        </w:tc>
        <w:tc>
          <w:tcPr>
            <w:tcW w:w="4299" w:type="dxa"/>
            <w:tcBorders>
              <w:top w:val="nil"/>
              <w:left w:val="nil"/>
              <w:bottom w:val="dotted" w:sz="4" w:space="0" w:color="auto"/>
              <w:right w:val="nil"/>
            </w:tcBorders>
            <w:shd w:val="clear" w:color="auto" w:fill="auto"/>
            <w:vAlign w:val="center"/>
            <w:hideMark/>
          </w:tcPr>
          <w:p w14:paraId="395D3265" w14:textId="77777777" w:rsidR="00A71173"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Assess the spatial and temporal variation in ambient atmospheric gaseous (NH</w:t>
            </w:r>
            <w:r w:rsidRPr="00E71630">
              <w:rPr>
                <w:rFonts w:ascii="Garamond" w:eastAsia="Times New Roman" w:hAnsi="Garamond" w:cs="Calibri"/>
                <w:color w:val="000000"/>
                <w:sz w:val="16"/>
                <w:szCs w:val="16"/>
                <w:vertAlign w:val="subscript"/>
                <w:lang w:eastAsia="en-GB"/>
              </w:rPr>
              <w:t>3</w:t>
            </w:r>
            <w:r w:rsidRPr="00E71630">
              <w:rPr>
                <w:rFonts w:ascii="Garamond" w:eastAsia="Times New Roman" w:hAnsi="Garamond" w:cs="Calibri"/>
                <w:color w:val="000000"/>
                <w:sz w:val="16"/>
                <w:szCs w:val="16"/>
                <w:lang w:eastAsia="en-GB"/>
              </w:rPr>
              <w:t>, NO</w:t>
            </w:r>
            <w:r w:rsidRPr="00E71630">
              <w:rPr>
                <w:rFonts w:ascii="Garamond" w:eastAsia="Times New Roman" w:hAnsi="Garamond" w:cs="Calibri"/>
                <w:color w:val="000000"/>
                <w:sz w:val="16"/>
                <w:szCs w:val="16"/>
                <w:vertAlign w:val="subscript"/>
                <w:lang w:eastAsia="en-GB"/>
              </w:rPr>
              <w:t>2</w:t>
            </w:r>
            <w:r w:rsidRPr="00E71630">
              <w:rPr>
                <w:rFonts w:ascii="Garamond" w:eastAsia="Times New Roman" w:hAnsi="Garamond" w:cs="Calibri"/>
                <w:color w:val="000000"/>
                <w:sz w:val="16"/>
                <w:szCs w:val="16"/>
                <w:lang w:eastAsia="en-GB"/>
              </w:rPr>
              <w:t xml:space="preserve"> and HNO</w:t>
            </w:r>
            <w:r w:rsidRPr="00E71630">
              <w:rPr>
                <w:rFonts w:ascii="Garamond" w:eastAsia="Times New Roman" w:hAnsi="Garamond" w:cs="Calibri"/>
                <w:color w:val="000000"/>
                <w:sz w:val="16"/>
                <w:szCs w:val="16"/>
                <w:vertAlign w:val="subscript"/>
                <w:lang w:eastAsia="en-GB"/>
              </w:rPr>
              <w:t>3</w:t>
            </w:r>
            <w:r w:rsidRPr="00E71630">
              <w:rPr>
                <w:rFonts w:ascii="Garamond" w:eastAsia="Times New Roman" w:hAnsi="Garamond" w:cs="Calibri"/>
                <w:color w:val="000000"/>
                <w:sz w:val="16"/>
                <w:szCs w:val="16"/>
                <w:lang w:eastAsia="en-GB"/>
              </w:rPr>
              <w:t>) concentrations.</w:t>
            </w:r>
          </w:p>
          <w:p w14:paraId="6CEB9118" w14:textId="7BCB17CE"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Estimated dry deposition at four sites spanning a transect in major land use types across southern Ontario (intensive agricultural, urban - agricultural transition, urban, and rural background).</w:t>
            </w:r>
          </w:p>
        </w:tc>
        <w:tc>
          <w:tcPr>
            <w:tcW w:w="1147" w:type="dxa"/>
            <w:tcBorders>
              <w:top w:val="nil"/>
              <w:left w:val="nil"/>
              <w:bottom w:val="dotted" w:sz="4" w:space="0" w:color="auto"/>
              <w:right w:val="nil"/>
            </w:tcBorders>
            <w:shd w:val="clear" w:color="auto" w:fill="auto"/>
            <w:vAlign w:val="center"/>
            <w:hideMark/>
          </w:tcPr>
          <w:p w14:paraId="242A24CE"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NH</w:t>
            </w:r>
            <w:r w:rsidRPr="00E71630">
              <w:rPr>
                <w:rFonts w:ascii="Garamond" w:eastAsia="Times New Roman" w:hAnsi="Garamond" w:cs="Calibri"/>
                <w:color w:val="000000"/>
                <w:sz w:val="16"/>
                <w:szCs w:val="16"/>
                <w:vertAlign w:val="subscript"/>
                <w:lang w:eastAsia="en-GB"/>
              </w:rPr>
              <w:t>3</w:t>
            </w:r>
            <w:r w:rsidRPr="00E71630">
              <w:rPr>
                <w:rFonts w:ascii="Garamond" w:eastAsia="Times New Roman" w:hAnsi="Garamond" w:cs="Calibri"/>
                <w:color w:val="000000"/>
                <w:sz w:val="16"/>
                <w:szCs w:val="16"/>
                <w:lang w:eastAsia="en-GB"/>
              </w:rPr>
              <w:t>; NO</w:t>
            </w:r>
            <w:r w:rsidRPr="00E71630">
              <w:rPr>
                <w:rFonts w:ascii="Garamond" w:eastAsia="Times New Roman" w:hAnsi="Garamond" w:cs="Calibri"/>
                <w:color w:val="000000"/>
                <w:sz w:val="16"/>
                <w:szCs w:val="16"/>
                <w:vertAlign w:val="subscript"/>
                <w:lang w:eastAsia="en-GB"/>
              </w:rPr>
              <w:t>2</w:t>
            </w:r>
            <w:r w:rsidRPr="00E71630">
              <w:rPr>
                <w:rFonts w:ascii="Garamond" w:eastAsia="Times New Roman" w:hAnsi="Garamond" w:cs="Calibri"/>
                <w:color w:val="000000"/>
                <w:sz w:val="16"/>
                <w:szCs w:val="16"/>
                <w:lang w:eastAsia="en-GB"/>
              </w:rPr>
              <w:t>; HNO</w:t>
            </w:r>
            <w:r w:rsidRPr="00E71630">
              <w:rPr>
                <w:rFonts w:ascii="Garamond" w:eastAsia="Times New Roman" w:hAnsi="Garamond" w:cs="Calibri"/>
                <w:color w:val="000000"/>
                <w:sz w:val="16"/>
                <w:szCs w:val="16"/>
                <w:vertAlign w:val="subscript"/>
                <w:lang w:eastAsia="en-GB"/>
              </w:rPr>
              <w:t>3</w:t>
            </w:r>
          </w:p>
        </w:tc>
        <w:tc>
          <w:tcPr>
            <w:tcW w:w="1180" w:type="dxa"/>
            <w:tcBorders>
              <w:top w:val="nil"/>
              <w:left w:val="nil"/>
              <w:bottom w:val="dotted" w:sz="4" w:space="0" w:color="auto"/>
              <w:right w:val="nil"/>
            </w:tcBorders>
            <w:shd w:val="clear" w:color="auto" w:fill="auto"/>
            <w:vAlign w:val="center"/>
            <w:hideMark/>
          </w:tcPr>
          <w:p w14:paraId="7FD2B9A4"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2010-2011</w:t>
            </w:r>
          </w:p>
        </w:tc>
        <w:tc>
          <w:tcPr>
            <w:tcW w:w="1579" w:type="dxa"/>
            <w:tcBorders>
              <w:top w:val="nil"/>
              <w:left w:val="nil"/>
              <w:bottom w:val="dotted" w:sz="4" w:space="0" w:color="auto"/>
              <w:right w:val="nil"/>
            </w:tcBorders>
            <w:shd w:val="clear" w:color="auto" w:fill="auto"/>
            <w:vAlign w:val="center"/>
            <w:hideMark/>
          </w:tcPr>
          <w:p w14:paraId="5228BB5E"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 SP; SU; F</w:t>
            </w:r>
          </w:p>
        </w:tc>
        <w:tc>
          <w:tcPr>
            <w:tcW w:w="924" w:type="dxa"/>
            <w:tcBorders>
              <w:top w:val="nil"/>
              <w:left w:val="nil"/>
              <w:bottom w:val="dotted" w:sz="4" w:space="0" w:color="auto"/>
              <w:right w:val="nil"/>
            </w:tcBorders>
            <w:shd w:val="clear" w:color="auto" w:fill="auto"/>
            <w:vAlign w:val="center"/>
            <w:hideMark/>
          </w:tcPr>
          <w:p w14:paraId="7FA8E979"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Belgium; Canada</w:t>
            </w:r>
          </w:p>
        </w:tc>
        <w:tc>
          <w:tcPr>
            <w:tcW w:w="3531" w:type="dxa"/>
            <w:tcBorders>
              <w:top w:val="nil"/>
              <w:left w:val="nil"/>
              <w:bottom w:val="dotted" w:sz="4" w:space="0" w:color="auto"/>
              <w:right w:val="nil"/>
            </w:tcBorders>
            <w:shd w:val="clear" w:color="auto" w:fill="auto"/>
            <w:vAlign w:val="center"/>
            <w:hideMark/>
          </w:tcPr>
          <w:p w14:paraId="0E11CF7B" w14:textId="266AF7F1"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(i) The intensive agricultural site was located at the road side beside a farm field where cattle occasionally grazed; (ii) he high-density urban site (TOR) was located +/- 250m south of Highway 401 at the Environmental Monitoring and Reporting Branch of the MOE in Etobicoke, part of the Greater Toronto Area; the sample site was located in a large asphalt parking lot surrounded by office buildings, directly adjacent to Highway 401 (to the north) which has an annual average daily traffic volume of 416,400 vehicles </w:t>
            </w:r>
            <w:r w:rsidRPr="00E71630">
              <w:rPr>
                <w:rFonts w:ascii="Garamond" w:eastAsia="Times New Roman" w:hAnsi="Garamond" w:cs="Calibri"/>
                <w:color w:val="000000"/>
                <w:sz w:val="16"/>
                <w:szCs w:val="16"/>
                <w:lang w:eastAsia="en-GB"/>
              </w:rPr>
              <w:lastRenderedPageBreak/>
              <w:t>day -1; a parkland and a golf course were located to the south; (iii) the urban - agricultural transition site (EGB) was located in Egbert (+/- 80 km north of Toronto) at Environment Canada’s (EC) ‘Centre for Atmospheric Research Experiments’. The sampler site was located on the roof-top deck of the clean air building facility, surrounded by unenclosed grass</w:t>
            </w:r>
            <w:r w:rsidR="00A27D09">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fields in an agricultural and forested area.</w:t>
            </w:r>
            <w:r w:rsidRPr="00E71630">
              <w:rPr>
                <w:rFonts w:ascii="Garamond" w:eastAsia="Times New Roman" w:hAnsi="Garamond" w:cs="Calibri"/>
                <w:color w:val="000000"/>
                <w:sz w:val="16"/>
                <w:szCs w:val="16"/>
                <w:lang w:eastAsia="en-GB"/>
              </w:rPr>
              <w:br/>
            </w:r>
            <w:r w:rsidRPr="00E71630">
              <w:rPr>
                <w:rFonts w:ascii="Garamond" w:eastAsia="Times New Roman" w:hAnsi="Garamond" w:cs="Calibri"/>
                <w:color w:val="000000"/>
                <w:sz w:val="16"/>
                <w:szCs w:val="16"/>
                <w:lang w:eastAsia="en-GB"/>
              </w:rPr>
              <w:br/>
              <w:t>The rural background site (DOR) was located at the Dorset Environmental Science Centre. The sampler site was located within a large gated sampling area in an open field surrounded by dense woodland.</w:t>
            </w:r>
          </w:p>
        </w:tc>
      </w:tr>
      <w:tr w:rsidR="006E426F" w:rsidRPr="00E71630" w14:paraId="69E3B043" w14:textId="77777777" w:rsidTr="00260FFE">
        <w:trPr>
          <w:divId w:val="1401752343"/>
          <w:trHeight w:val="303"/>
        </w:trPr>
        <w:tc>
          <w:tcPr>
            <w:tcW w:w="1180" w:type="dxa"/>
            <w:tcBorders>
              <w:top w:val="nil"/>
              <w:left w:val="nil"/>
              <w:bottom w:val="single" w:sz="8" w:space="0" w:color="auto"/>
              <w:right w:val="nil"/>
            </w:tcBorders>
            <w:shd w:val="clear" w:color="auto" w:fill="auto"/>
            <w:vAlign w:val="center"/>
            <w:hideMark/>
          </w:tcPr>
          <w:p w14:paraId="36F7DAAC"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lastRenderedPageBreak/>
              <w:t>(Zhuo et al. 2018)</w:t>
            </w:r>
          </w:p>
        </w:tc>
        <w:tc>
          <w:tcPr>
            <w:tcW w:w="4299" w:type="dxa"/>
            <w:tcBorders>
              <w:top w:val="nil"/>
              <w:left w:val="nil"/>
              <w:bottom w:val="single" w:sz="8" w:space="0" w:color="auto"/>
              <w:right w:val="nil"/>
            </w:tcBorders>
            <w:shd w:val="clear" w:color="auto" w:fill="auto"/>
            <w:vAlign w:val="center"/>
            <w:hideMark/>
          </w:tcPr>
          <w:p w14:paraId="350131D4" w14:textId="09E173E0"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Develop a large number of agricultural nonpoint source emission scenarios of various sources based on fixed position experiments or surveys to characterize the diversity of agricultural and environmental conditions of China’s arable. systems.</w:t>
            </w:r>
          </w:p>
          <w:p w14:paraId="28B5EE50" w14:textId="77777777"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Analyze the status and spatial variation of agricultural nonpoint source pollution loads of nutrient, pesticide, plastic film residue, and crop straw in situ burning.</w:t>
            </w:r>
          </w:p>
          <w:p w14:paraId="5D8CC1B0" w14:textId="72EDD29E" w:rsidR="006E426F" w:rsidRPr="00E71630" w:rsidRDefault="006E426F" w:rsidP="00E71630">
            <w:pPr>
              <w:pStyle w:val="Paragrafoelenco"/>
              <w:numPr>
                <w:ilvl w:val="0"/>
                <w:numId w:val="5"/>
              </w:numPr>
              <w:spacing w:line="240" w:lineRule="auto"/>
              <w:ind w:left="128" w:hanging="128"/>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Analyze the spatial correlation between different agricultural nonpoint source pollution loads using data of land units.</w:t>
            </w:r>
          </w:p>
        </w:tc>
        <w:tc>
          <w:tcPr>
            <w:tcW w:w="1147" w:type="dxa"/>
            <w:tcBorders>
              <w:top w:val="nil"/>
              <w:left w:val="nil"/>
              <w:bottom w:val="single" w:sz="8" w:space="0" w:color="auto"/>
              <w:right w:val="nil"/>
            </w:tcBorders>
            <w:shd w:val="clear" w:color="auto" w:fill="auto"/>
            <w:vAlign w:val="center"/>
            <w:hideMark/>
          </w:tcPr>
          <w:p w14:paraId="7BEF6888"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Nutrient loss to water; Pesticide; Agricultural film residual; Straw in situ burning</w:t>
            </w:r>
          </w:p>
        </w:tc>
        <w:tc>
          <w:tcPr>
            <w:tcW w:w="1180" w:type="dxa"/>
            <w:tcBorders>
              <w:top w:val="nil"/>
              <w:left w:val="nil"/>
              <w:bottom w:val="single" w:sz="8" w:space="0" w:color="auto"/>
              <w:right w:val="nil"/>
            </w:tcBorders>
            <w:shd w:val="clear" w:color="auto" w:fill="auto"/>
            <w:vAlign w:val="center"/>
            <w:hideMark/>
          </w:tcPr>
          <w:p w14:paraId="2A8A2351"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2007-2008</w:t>
            </w:r>
          </w:p>
        </w:tc>
        <w:tc>
          <w:tcPr>
            <w:tcW w:w="1579" w:type="dxa"/>
            <w:tcBorders>
              <w:top w:val="nil"/>
              <w:left w:val="nil"/>
              <w:bottom w:val="single" w:sz="8" w:space="0" w:color="auto"/>
              <w:right w:val="nil"/>
            </w:tcBorders>
            <w:shd w:val="clear" w:color="auto" w:fill="auto"/>
            <w:vAlign w:val="center"/>
            <w:hideMark/>
          </w:tcPr>
          <w:p w14:paraId="1079A249"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w:t>
            </w:r>
          </w:p>
        </w:tc>
        <w:tc>
          <w:tcPr>
            <w:tcW w:w="924" w:type="dxa"/>
            <w:tcBorders>
              <w:top w:val="nil"/>
              <w:left w:val="nil"/>
              <w:bottom w:val="single" w:sz="8" w:space="0" w:color="auto"/>
              <w:right w:val="nil"/>
            </w:tcBorders>
            <w:shd w:val="clear" w:color="auto" w:fill="auto"/>
            <w:vAlign w:val="center"/>
            <w:hideMark/>
          </w:tcPr>
          <w:p w14:paraId="2553856A"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China</w:t>
            </w:r>
          </w:p>
        </w:tc>
        <w:tc>
          <w:tcPr>
            <w:tcW w:w="3531" w:type="dxa"/>
            <w:tcBorders>
              <w:top w:val="nil"/>
              <w:left w:val="nil"/>
              <w:bottom w:val="single" w:sz="8" w:space="0" w:color="auto"/>
              <w:right w:val="nil"/>
            </w:tcBorders>
            <w:shd w:val="clear" w:color="auto" w:fill="auto"/>
            <w:vAlign w:val="center"/>
            <w:hideMark/>
          </w:tcPr>
          <w:p w14:paraId="10320482" w14:textId="77777777" w:rsidR="006E426F" w:rsidRPr="00E71630" w:rsidRDefault="006E426F"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n.a.</w:t>
            </w:r>
          </w:p>
        </w:tc>
      </w:tr>
    </w:tbl>
    <w:p w14:paraId="1629806B" w14:textId="1FCC797A" w:rsidR="00E65D0F" w:rsidRDefault="00E65D0F" w:rsidP="00AD253E">
      <w:pPr>
        <w:spacing w:line="240" w:lineRule="auto"/>
        <w:jc w:val="both"/>
        <w:rPr>
          <w:rFonts w:ascii="Garamond" w:hAnsi="Garamond"/>
        </w:rPr>
      </w:pPr>
      <w:r>
        <w:rPr>
          <w:rFonts w:ascii="Garamond" w:hAnsi="Garamond"/>
        </w:rPr>
        <w:fldChar w:fldCharType="end"/>
      </w:r>
    </w:p>
    <w:p w14:paraId="4190BF20" w14:textId="69011127" w:rsidR="00E65D0F" w:rsidRDefault="00E65D0F" w:rsidP="00E65D0F">
      <w:pPr>
        <w:spacing w:line="360" w:lineRule="auto"/>
        <w:jc w:val="both"/>
        <w:rPr>
          <w:rFonts w:ascii="Garamond" w:hAnsi="Garamond"/>
        </w:rPr>
      </w:pPr>
    </w:p>
    <w:p w14:paraId="68FBFFE6" w14:textId="269508A0" w:rsidR="00E65D0F" w:rsidRDefault="00E65D0F" w:rsidP="000F7A7A">
      <w:pPr>
        <w:spacing w:line="360" w:lineRule="auto"/>
        <w:jc w:val="both"/>
        <w:rPr>
          <w:rFonts w:ascii="Garamond" w:hAnsi="Garamond"/>
        </w:rPr>
      </w:pPr>
    </w:p>
    <w:p w14:paraId="62FB3DA6" w14:textId="77777777" w:rsidR="00AD253E" w:rsidRDefault="00AD253E" w:rsidP="00032348">
      <w:pPr>
        <w:spacing w:line="360" w:lineRule="auto"/>
        <w:jc w:val="both"/>
        <w:rPr>
          <w:rFonts w:ascii="Garamond" w:hAnsi="Garamond"/>
          <w:highlight w:val="cyan"/>
        </w:rPr>
      </w:pPr>
    </w:p>
    <w:p w14:paraId="4AB41153" w14:textId="77777777" w:rsidR="00AD253E" w:rsidRDefault="00AD253E" w:rsidP="00032348">
      <w:pPr>
        <w:spacing w:line="360" w:lineRule="auto"/>
        <w:jc w:val="both"/>
        <w:rPr>
          <w:rFonts w:ascii="Garamond" w:hAnsi="Garamond"/>
          <w:highlight w:val="cyan"/>
        </w:rPr>
      </w:pPr>
    </w:p>
    <w:p w14:paraId="7BADD9DD" w14:textId="77777777" w:rsidR="00AD253E" w:rsidRDefault="00AD253E" w:rsidP="00032348">
      <w:pPr>
        <w:spacing w:line="360" w:lineRule="auto"/>
        <w:jc w:val="both"/>
        <w:rPr>
          <w:rFonts w:ascii="Garamond" w:hAnsi="Garamond"/>
          <w:highlight w:val="cyan"/>
        </w:rPr>
      </w:pPr>
    </w:p>
    <w:p w14:paraId="2EB2980A" w14:textId="77777777" w:rsidR="00AD253E" w:rsidRDefault="00AD253E" w:rsidP="00032348">
      <w:pPr>
        <w:spacing w:line="360" w:lineRule="auto"/>
        <w:jc w:val="both"/>
        <w:rPr>
          <w:rFonts w:ascii="Garamond" w:hAnsi="Garamond"/>
          <w:highlight w:val="cyan"/>
        </w:rPr>
      </w:pPr>
    </w:p>
    <w:p w14:paraId="797EA8D9" w14:textId="77777777" w:rsidR="00AD253E" w:rsidRDefault="00AD253E" w:rsidP="00032348">
      <w:pPr>
        <w:spacing w:line="360" w:lineRule="auto"/>
        <w:jc w:val="both"/>
        <w:rPr>
          <w:rFonts w:ascii="Garamond" w:hAnsi="Garamond"/>
          <w:highlight w:val="cyan"/>
        </w:rPr>
      </w:pPr>
    </w:p>
    <w:p w14:paraId="77572C0D" w14:textId="77777777" w:rsidR="00AD253E" w:rsidRDefault="00AD253E" w:rsidP="00032348">
      <w:pPr>
        <w:spacing w:line="360" w:lineRule="auto"/>
        <w:jc w:val="both"/>
        <w:rPr>
          <w:rFonts w:ascii="Garamond" w:hAnsi="Garamond"/>
          <w:highlight w:val="cyan"/>
        </w:rPr>
      </w:pPr>
    </w:p>
    <w:p w14:paraId="5F74AC0D" w14:textId="48C2EF61" w:rsidR="004941CD" w:rsidRPr="00E71630" w:rsidRDefault="0006060B" w:rsidP="00E71630">
      <w:pPr>
        <w:spacing w:line="240" w:lineRule="auto"/>
        <w:jc w:val="both"/>
        <w:rPr>
          <w:rFonts w:ascii="Garamond" w:eastAsia="Times New Roman" w:hAnsi="Garamond" w:cs="Calibri"/>
          <w:color w:val="000000"/>
          <w:lang w:eastAsia="en-GB"/>
        </w:rPr>
      </w:pPr>
      <w:r w:rsidRPr="00E71630">
        <w:rPr>
          <w:rFonts w:ascii="Garamond" w:hAnsi="Garamond"/>
          <w:b/>
          <w:bCs/>
        </w:rPr>
        <w:lastRenderedPageBreak/>
        <w:t>Table SM</w:t>
      </w:r>
      <w:r w:rsidR="00060AC2" w:rsidRPr="00E71630">
        <w:rPr>
          <w:rFonts w:ascii="Garamond" w:hAnsi="Garamond"/>
          <w:b/>
          <w:bCs/>
        </w:rPr>
        <w:t>2</w:t>
      </w:r>
      <w:r w:rsidRPr="00E71630">
        <w:rPr>
          <w:rFonts w:ascii="Garamond" w:hAnsi="Garamond"/>
          <w:b/>
          <w:bCs/>
        </w:rPr>
        <w:t>.</w:t>
      </w:r>
      <w:r w:rsidRPr="00E71630">
        <w:rPr>
          <w:rFonts w:ascii="Garamond" w:hAnsi="Garamond"/>
        </w:rPr>
        <w:t xml:space="preserve"> Summary of the instruments and analyses adopted in the different studies considered in this review. S/M: Sampling/Monitoring</w:t>
      </w:r>
      <w:r w:rsidR="004941CD" w:rsidRPr="00E71630">
        <w:rPr>
          <w:rFonts w:ascii="Garamond" w:hAnsi="Garamond"/>
        </w:rPr>
        <w:t xml:space="preserve">; </w:t>
      </w:r>
      <w:r w:rsidR="00FF57B2" w:rsidRPr="00E71630">
        <w:rPr>
          <w:rFonts w:ascii="Garamond" w:hAnsi="Garamond"/>
        </w:rPr>
        <w:t>E: Environmental; P: Personal; M: Models</w:t>
      </w:r>
      <w:r w:rsidR="00EF1094" w:rsidRPr="00E71630">
        <w:rPr>
          <w:rFonts w:ascii="Garamond" w:hAnsi="Garamond"/>
        </w:rPr>
        <w:t xml:space="preserve">. </w:t>
      </w:r>
      <w:r w:rsidR="004941CD" w:rsidRPr="00E71630">
        <w:rPr>
          <w:rFonts w:ascii="Garamond" w:eastAsia="Times New Roman" w:hAnsi="Garamond" w:cs="Calibri"/>
          <w:color w:val="000000"/>
          <w:lang w:eastAsia="en-GB"/>
        </w:rPr>
        <w:t>AES: Atomic Emission Spectrometry; FESEM-EDX: Field Emission Scanning Electron Microscopy with Energy Dispersive X-Ray Spectroscopy</w:t>
      </w:r>
      <w:r w:rsidR="00EF1094" w:rsidRPr="00E71630">
        <w:rPr>
          <w:rFonts w:ascii="Garamond" w:eastAsia="Times New Roman" w:hAnsi="Garamond" w:cs="Calibri"/>
          <w:color w:val="000000"/>
          <w:lang w:eastAsia="en-GB"/>
        </w:rPr>
        <w:t xml:space="preserve">; </w:t>
      </w:r>
      <w:r w:rsidR="004941CD" w:rsidRPr="00E71630">
        <w:rPr>
          <w:rFonts w:ascii="Garamond" w:eastAsia="Times New Roman" w:hAnsi="Garamond" w:cs="Calibri"/>
          <w:color w:val="000000"/>
          <w:lang w:eastAsia="en-GB"/>
        </w:rPr>
        <w:t>HPLC</w:t>
      </w:r>
      <w:r w:rsidR="00EF1094" w:rsidRPr="00E71630">
        <w:rPr>
          <w:rFonts w:ascii="Garamond" w:eastAsia="Times New Roman" w:hAnsi="Garamond" w:cs="Calibri"/>
          <w:color w:val="000000"/>
          <w:lang w:eastAsia="en-GB"/>
        </w:rPr>
        <w:t xml:space="preserve">: </w:t>
      </w:r>
      <w:r w:rsidR="004941CD" w:rsidRPr="00E71630">
        <w:rPr>
          <w:rFonts w:ascii="Garamond" w:eastAsia="Times New Roman" w:hAnsi="Garamond" w:cs="Calibri"/>
          <w:color w:val="000000"/>
          <w:lang w:eastAsia="en-GB"/>
        </w:rPr>
        <w:t>High Performance Liquid Chromatography</w:t>
      </w:r>
      <w:r w:rsidR="00EF1094" w:rsidRPr="00E71630">
        <w:rPr>
          <w:rFonts w:ascii="Garamond" w:eastAsia="Times New Roman" w:hAnsi="Garamond" w:cs="Calibri"/>
          <w:color w:val="000000"/>
          <w:lang w:eastAsia="en-GB"/>
        </w:rPr>
        <w:t xml:space="preserve">; </w:t>
      </w:r>
      <w:r w:rsidRPr="00E71630">
        <w:rPr>
          <w:rFonts w:ascii="Garamond" w:eastAsia="Times New Roman" w:hAnsi="Garamond" w:cs="Calibri"/>
          <w:color w:val="000000"/>
          <w:lang w:eastAsia="en-GB"/>
        </w:rPr>
        <w:t>ICP</w:t>
      </w:r>
      <w:r w:rsidR="00EF1094" w:rsidRPr="00E71630">
        <w:rPr>
          <w:rFonts w:ascii="Garamond" w:eastAsia="Times New Roman" w:hAnsi="Garamond" w:cs="Calibri"/>
          <w:color w:val="000000"/>
          <w:lang w:eastAsia="en-GB"/>
        </w:rPr>
        <w:t xml:space="preserve">: </w:t>
      </w:r>
      <w:r w:rsidRPr="00E71630">
        <w:rPr>
          <w:rFonts w:ascii="Garamond" w:eastAsia="Times New Roman" w:hAnsi="Garamond" w:cs="Calibri"/>
          <w:color w:val="000000"/>
          <w:lang w:eastAsia="en-GB"/>
        </w:rPr>
        <w:t>Inductively Coupled Plasma</w:t>
      </w:r>
      <w:r w:rsidR="00EF1094" w:rsidRPr="00E71630">
        <w:rPr>
          <w:rFonts w:ascii="Garamond" w:eastAsia="Times New Roman" w:hAnsi="Garamond" w:cs="Calibri"/>
          <w:color w:val="000000"/>
          <w:lang w:eastAsia="en-GB"/>
        </w:rPr>
        <w:t xml:space="preserve">; </w:t>
      </w:r>
      <w:r w:rsidRPr="00E71630">
        <w:rPr>
          <w:rFonts w:ascii="Garamond" w:eastAsia="Times New Roman" w:hAnsi="Garamond" w:cs="Calibri"/>
          <w:color w:val="000000"/>
          <w:lang w:eastAsia="en-GB"/>
        </w:rPr>
        <w:t>ICP-MS</w:t>
      </w:r>
      <w:r w:rsidR="00EF1094" w:rsidRPr="00E71630">
        <w:rPr>
          <w:rFonts w:ascii="Garamond" w:eastAsia="Times New Roman" w:hAnsi="Garamond" w:cs="Calibri"/>
          <w:color w:val="000000"/>
          <w:lang w:eastAsia="en-GB"/>
        </w:rPr>
        <w:t xml:space="preserve">: </w:t>
      </w:r>
      <w:r w:rsidRPr="00E71630">
        <w:rPr>
          <w:rFonts w:ascii="Garamond" w:eastAsia="Times New Roman" w:hAnsi="Garamond" w:cs="Calibri"/>
          <w:color w:val="000000"/>
          <w:lang w:eastAsia="en-GB"/>
        </w:rPr>
        <w:t>Mass Spectrometry</w:t>
      </w:r>
      <w:r w:rsidR="00EF1094" w:rsidRPr="00E71630">
        <w:rPr>
          <w:rFonts w:ascii="Garamond" w:eastAsia="Times New Roman" w:hAnsi="Garamond" w:cs="Calibri"/>
          <w:color w:val="000000"/>
          <w:lang w:eastAsia="en-GB"/>
        </w:rPr>
        <w:t xml:space="preserve">; </w:t>
      </w:r>
      <w:r w:rsidRPr="00E71630">
        <w:rPr>
          <w:rFonts w:ascii="Garamond" w:eastAsia="Times New Roman" w:hAnsi="Garamond" w:cs="Calibri"/>
          <w:color w:val="000000"/>
          <w:lang w:eastAsia="en-GB"/>
        </w:rPr>
        <w:t>ICP-OES</w:t>
      </w:r>
      <w:r w:rsidR="00EF1094" w:rsidRPr="00E71630">
        <w:rPr>
          <w:rFonts w:ascii="Garamond" w:eastAsia="Times New Roman" w:hAnsi="Garamond" w:cs="Calibri"/>
          <w:color w:val="000000"/>
          <w:lang w:eastAsia="en-GB"/>
        </w:rPr>
        <w:t>:</w:t>
      </w:r>
      <w:r w:rsidRPr="00E71630">
        <w:rPr>
          <w:rFonts w:ascii="Garamond" w:eastAsia="Times New Roman" w:hAnsi="Garamond" w:cs="Calibri"/>
          <w:color w:val="000000"/>
          <w:lang w:eastAsia="en-GB"/>
        </w:rPr>
        <w:t xml:space="preserve"> </w:t>
      </w:r>
      <w:r w:rsidR="00EF1094" w:rsidRPr="00E71630">
        <w:rPr>
          <w:rFonts w:ascii="Garamond" w:eastAsia="Times New Roman" w:hAnsi="Garamond" w:cs="Calibri"/>
          <w:color w:val="000000"/>
          <w:lang w:eastAsia="en-GB"/>
        </w:rPr>
        <w:t>P</w:t>
      </w:r>
      <w:r w:rsidRPr="00E71630">
        <w:rPr>
          <w:rFonts w:ascii="Garamond" w:eastAsia="Times New Roman" w:hAnsi="Garamond" w:cs="Calibri"/>
          <w:color w:val="000000"/>
          <w:lang w:eastAsia="en-GB"/>
        </w:rPr>
        <w:t xml:space="preserve">lasma </w:t>
      </w:r>
      <w:r w:rsidR="00EF1094" w:rsidRPr="00E71630">
        <w:rPr>
          <w:rFonts w:ascii="Garamond" w:eastAsia="Times New Roman" w:hAnsi="Garamond" w:cs="Calibri"/>
          <w:color w:val="000000"/>
          <w:lang w:eastAsia="en-GB"/>
        </w:rPr>
        <w:t>E</w:t>
      </w:r>
      <w:r w:rsidRPr="00E71630">
        <w:rPr>
          <w:rFonts w:ascii="Garamond" w:eastAsia="Times New Roman" w:hAnsi="Garamond" w:cs="Calibri"/>
          <w:color w:val="000000"/>
          <w:lang w:eastAsia="en-GB"/>
        </w:rPr>
        <w:t xml:space="preserve">mission </w:t>
      </w:r>
      <w:r w:rsidR="00EF1094" w:rsidRPr="00E71630">
        <w:rPr>
          <w:rFonts w:ascii="Garamond" w:eastAsia="Times New Roman" w:hAnsi="Garamond" w:cs="Calibri"/>
          <w:color w:val="000000"/>
          <w:lang w:eastAsia="en-GB"/>
        </w:rPr>
        <w:t>S</w:t>
      </w:r>
      <w:r w:rsidRPr="00E71630">
        <w:rPr>
          <w:rFonts w:ascii="Garamond" w:eastAsia="Times New Roman" w:hAnsi="Garamond" w:cs="Calibri"/>
          <w:color w:val="000000"/>
          <w:lang w:eastAsia="en-GB"/>
        </w:rPr>
        <w:t>pectroscopy</w:t>
      </w:r>
      <w:r w:rsidR="00EF1094" w:rsidRPr="00E71630">
        <w:rPr>
          <w:rFonts w:ascii="Garamond" w:eastAsia="Times New Roman" w:hAnsi="Garamond" w:cs="Calibri"/>
          <w:color w:val="000000"/>
          <w:lang w:eastAsia="en-GB"/>
        </w:rPr>
        <w:t xml:space="preserve">; </w:t>
      </w:r>
      <w:r w:rsidRPr="00E71630">
        <w:rPr>
          <w:rFonts w:ascii="Garamond" w:eastAsia="Times New Roman" w:hAnsi="Garamond" w:cs="Calibri"/>
          <w:color w:val="000000"/>
          <w:lang w:eastAsia="en-GB"/>
        </w:rPr>
        <w:t>SEM-EDS</w:t>
      </w:r>
      <w:r w:rsidR="00EF1094" w:rsidRPr="00E71630">
        <w:rPr>
          <w:rFonts w:ascii="Garamond" w:eastAsia="Times New Roman" w:hAnsi="Garamond" w:cs="Calibri"/>
          <w:color w:val="000000"/>
          <w:lang w:eastAsia="en-GB"/>
        </w:rPr>
        <w:t xml:space="preserve">: </w:t>
      </w:r>
      <w:r w:rsidRPr="00E71630">
        <w:rPr>
          <w:rFonts w:ascii="Garamond" w:eastAsia="Times New Roman" w:hAnsi="Garamond" w:cs="Calibri"/>
          <w:color w:val="000000"/>
          <w:lang w:eastAsia="en-GB"/>
        </w:rPr>
        <w:t>Scanning Electron Microscopy</w:t>
      </w:r>
      <w:r w:rsidR="00EF1094" w:rsidRPr="00E71630">
        <w:rPr>
          <w:rFonts w:ascii="Garamond" w:eastAsia="Times New Roman" w:hAnsi="Garamond" w:cs="Calibri"/>
          <w:color w:val="000000"/>
          <w:lang w:eastAsia="en-GB"/>
        </w:rPr>
        <w:t xml:space="preserve">; </w:t>
      </w:r>
      <w:r w:rsidRPr="00E71630">
        <w:rPr>
          <w:rFonts w:ascii="Garamond" w:eastAsia="Times New Roman" w:hAnsi="Garamond" w:cs="Calibri"/>
          <w:color w:val="000000"/>
          <w:lang w:eastAsia="en-GB"/>
        </w:rPr>
        <w:t>XRD</w:t>
      </w:r>
      <w:r w:rsidR="00EF1094" w:rsidRPr="00E71630">
        <w:rPr>
          <w:rFonts w:ascii="Garamond" w:eastAsia="Times New Roman" w:hAnsi="Garamond" w:cs="Calibri"/>
          <w:color w:val="000000"/>
          <w:lang w:eastAsia="en-GB"/>
        </w:rPr>
        <w:t xml:space="preserve">: </w:t>
      </w:r>
      <w:r w:rsidRPr="00E71630">
        <w:rPr>
          <w:rFonts w:ascii="Garamond" w:eastAsia="Times New Roman" w:hAnsi="Garamond" w:cs="Calibri"/>
          <w:color w:val="000000"/>
          <w:lang w:eastAsia="en-GB"/>
        </w:rPr>
        <w:t>X-Ray Diffraction</w:t>
      </w:r>
      <w:r w:rsidR="00EF1094" w:rsidRPr="00E71630">
        <w:rPr>
          <w:rFonts w:ascii="Garamond" w:eastAsia="Times New Roman" w:hAnsi="Garamond" w:cs="Calibri"/>
          <w:color w:val="000000"/>
          <w:lang w:eastAsia="en-GB"/>
        </w:rPr>
        <w:t>.</w:t>
      </w:r>
      <w:r w:rsidRPr="00E71630">
        <w:rPr>
          <w:rFonts w:ascii="Garamond" w:eastAsia="Times New Roman" w:hAnsi="Garamond" w:cs="Calibri"/>
          <w:color w:val="000000"/>
          <w:lang w:eastAsia="en-GB"/>
        </w:rPr>
        <w:t xml:space="preserve"> </w:t>
      </w:r>
    </w:p>
    <w:tbl>
      <w:tblPr>
        <w:tblW w:w="14648" w:type="dxa"/>
        <w:tblLook w:val="04A0" w:firstRow="1" w:lastRow="0" w:firstColumn="1" w:lastColumn="0" w:noHBand="0" w:noVBand="1"/>
      </w:tblPr>
      <w:tblGrid>
        <w:gridCol w:w="1876"/>
        <w:gridCol w:w="1952"/>
        <w:gridCol w:w="1496"/>
        <w:gridCol w:w="1339"/>
        <w:gridCol w:w="2524"/>
        <w:gridCol w:w="1701"/>
        <w:gridCol w:w="1817"/>
        <w:gridCol w:w="1943"/>
      </w:tblGrid>
      <w:tr w:rsidR="008D2218" w:rsidRPr="00E71630" w14:paraId="1B877764" w14:textId="77777777" w:rsidTr="008D2218">
        <w:trPr>
          <w:trHeight w:val="216"/>
        </w:trPr>
        <w:tc>
          <w:tcPr>
            <w:tcW w:w="1876" w:type="dxa"/>
            <w:tcBorders>
              <w:top w:val="single" w:sz="8" w:space="0" w:color="auto"/>
              <w:left w:val="nil"/>
              <w:bottom w:val="single" w:sz="8" w:space="0" w:color="auto"/>
              <w:right w:val="nil"/>
            </w:tcBorders>
            <w:shd w:val="clear" w:color="auto" w:fill="auto"/>
            <w:vAlign w:val="center"/>
            <w:hideMark/>
          </w:tcPr>
          <w:p w14:paraId="14473AA3" w14:textId="77777777" w:rsidR="008D2218" w:rsidRPr="00E71630" w:rsidRDefault="008D221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Reference</w:t>
            </w:r>
          </w:p>
        </w:tc>
        <w:tc>
          <w:tcPr>
            <w:tcW w:w="1952" w:type="dxa"/>
            <w:tcBorders>
              <w:top w:val="single" w:sz="8" w:space="0" w:color="auto"/>
              <w:left w:val="nil"/>
              <w:bottom w:val="single" w:sz="8" w:space="0" w:color="auto"/>
              <w:right w:val="nil"/>
            </w:tcBorders>
            <w:shd w:val="clear" w:color="auto" w:fill="auto"/>
            <w:vAlign w:val="center"/>
            <w:hideMark/>
          </w:tcPr>
          <w:p w14:paraId="0BA13431" w14:textId="77777777" w:rsidR="008D2218" w:rsidRPr="00E71630" w:rsidRDefault="008D221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N</w:t>
            </w:r>
          </w:p>
        </w:tc>
        <w:tc>
          <w:tcPr>
            <w:tcW w:w="1496" w:type="dxa"/>
            <w:tcBorders>
              <w:top w:val="single" w:sz="8" w:space="0" w:color="auto"/>
              <w:left w:val="nil"/>
              <w:bottom w:val="single" w:sz="8" w:space="0" w:color="auto"/>
              <w:right w:val="nil"/>
            </w:tcBorders>
            <w:shd w:val="clear" w:color="auto" w:fill="auto"/>
            <w:vAlign w:val="center"/>
            <w:hideMark/>
          </w:tcPr>
          <w:p w14:paraId="425BFF63" w14:textId="77777777" w:rsidR="008D2218" w:rsidRPr="00E71630" w:rsidRDefault="008D221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Pollutant</w:t>
            </w:r>
          </w:p>
        </w:tc>
        <w:tc>
          <w:tcPr>
            <w:tcW w:w="1339" w:type="dxa"/>
            <w:tcBorders>
              <w:top w:val="single" w:sz="8" w:space="0" w:color="auto"/>
              <w:left w:val="nil"/>
              <w:bottom w:val="single" w:sz="8" w:space="0" w:color="auto"/>
              <w:right w:val="nil"/>
            </w:tcBorders>
            <w:shd w:val="clear" w:color="auto" w:fill="auto"/>
            <w:vAlign w:val="center"/>
            <w:hideMark/>
          </w:tcPr>
          <w:p w14:paraId="5E614CA9" w14:textId="77777777" w:rsidR="008D2218" w:rsidRPr="00E71630" w:rsidRDefault="008D221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Type of S/M</w:t>
            </w:r>
          </w:p>
        </w:tc>
        <w:tc>
          <w:tcPr>
            <w:tcW w:w="2524" w:type="dxa"/>
            <w:tcBorders>
              <w:top w:val="single" w:sz="8" w:space="0" w:color="auto"/>
              <w:left w:val="nil"/>
              <w:bottom w:val="single" w:sz="8" w:space="0" w:color="auto"/>
              <w:right w:val="nil"/>
            </w:tcBorders>
            <w:shd w:val="clear" w:color="auto" w:fill="auto"/>
            <w:vAlign w:val="center"/>
            <w:hideMark/>
          </w:tcPr>
          <w:p w14:paraId="55C6C51D" w14:textId="77777777" w:rsidR="008D2218" w:rsidRPr="00E71630" w:rsidRDefault="008D221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Instruments</w:t>
            </w:r>
          </w:p>
        </w:tc>
        <w:tc>
          <w:tcPr>
            <w:tcW w:w="1701" w:type="dxa"/>
            <w:tcBorders>
              <w:top w:val="single" w:sz="8" w:space="0" w:color="auto"/>
              <w:left w:val="nil"/>
              <w:bottom w:val="single" w:sz="8" w:space="0" w:color="auto"/>
              <w:right w:val="nil"/>
            </w:tcBorders>
            <w:shd w:val="clear" w:color="auto" w:fill="auto"/>
            <w:vAlign w:val="center"/>
            <w:hideMark/>
          </w:tcPr>
          <w:p w14:paraId="4584BB95" w14:textId="77777777" w:rsidR="008D2218" w:rsidRPr="00E71630" w:rsidRDefault="008D221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Sampling substrate</w:t>
            </w:r>
          </w:p>
        </w:tc>
        <w:tc>
          <w:tcPr>
            <w:tcW w:w="1817" w:type="dxa"/>
            <w:tcBorders>
              <w:top w:val="single" w:sz="8" w:space="0" w:color="auto"/>
              <w:left w:val="nil"/>
              <w:bottom w:val="single" w:sz="8" w:space="0" w:color="auto"/>
              <w:right w:val="nil"/>
            </w:tcBorders>
            <w:shd w:val="clear" w:color="auto" w:fill="auto"/>
            <w:vAlign w:val="center"/>
            <w:hideMark/>
          </w:tcPr>
          <w:p w14:paraId="101D1900" w14:textId="77777777" w:rsidR="008D2218" w:rsidRPr="00E71630" w:rsidRDefault="008D221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Collection time</w:t>
            </w:r>
          </w:p>
        </w:tc>
        <w:tc>
          <w:tcPr>
            <w:tcW w:w="1943" w:type="dxa"/>
            <w:tcBorders>
              <w:top w:val="single" w:sz="8" w:space="0" w:color="auto"/>
              <w:left w:val="nil"/>
              <w:bottom w:val="single" w:sz="8" w:space="0" w:color="auto"/>
              <w:right w:val="nil"/>
            </w:tcBorders>
            <w:shd w:val="clear" w:color="auto" w:fill="auto"/>
            <w:vAlign w:val="center"/>
            <w:hideMark/>
          </w:tcPr>
          <w:p w14:paraId="4754CE9F" w14:textId="77777777" w:rsidR="008D2218" w:rsidRPr="00E71630" w:rsidRDefault="008D2218" w:rsidP="00E71630">
            <w:pPr>
              <w:spacing w:after="0" w:line="240" w:lineRule="auto"/>
              <w:jc w:val="both"/>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Analyses</w:t>
            </w:r>
          </w:p>
        </w:tc>
      </w:tr>
      <w:tr w:rsidR="008D2218" w:rsidRPr="00E71630" w14:paraId="2DFE1849"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36FBF1B3" w14:textId="4898E62E" w:rsidR="008D2218" w:rsidRPr="00E71630" w:rsidRDefault="001F1FA6" w:rsidP="00E71630">
            <w:pPr>
              <w:spacing w:after="0" w:line="240" w:lineRule="auto"/>
              <w:jc w:val="both"/>
              <w:rPr>
                <w:rFonts w:ascii="Garamond" w:eastAsia="Times New Roman" w:hAnsi="Garamond" w:cs="Calibri"/>
                <w:color w:val="000000"/>
                <w:sz w:val="16"/>
                <w:szCs w:val="16"/>
                <w:lang w:eastAsia="en-GB"/>
              </w:rPr>
            </w:pPr>
            <w:r>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{"citationItems":[{"id":"ITEM-1","itemData":{"author":[{"dropping-particle":"","family":"Maesano","given":"Cara Nichole","non-dropping-particle":"","parse-names":false,"suffix":""},{"dropping-particle":"","family":"Caillaud","given":"Denis","non-dropping-particle":"","parse-names":false,"suffix":""},{"dropping-particle":"","family":"Youssouf","given":"Hassani","non-dropping-particle":"","parse-names":false,"suffix":""},{"dropping-particle":"","family":"Banerjee","given":"Soutrik","non-dropping-particle":"","parse-names":false,"suffix":""},{"dropping-particle":"","family":"Homme","given":"Julie Prud","non-dropping-particle":"","parse-names":false,"suffix":""},{"dropping-particle":"","family":"Audi","given":"Christelle","non-dropping-particle":"","parse-names":false,"suffix":""},{"dropping-particle":"","family":"Horo","given":"Kigninlman","non-dropping-particle":"","parse-names":false,"suffix":""},{"dropping-particle":"","family":"Toloba","given":"Yacouba","non-dropping-particle":"","parse-names":false,"suffix":""},{"dropping-particle":"","family":"Ramousse","given":"Ollivier","non-dropping-particle":"","parse-names":false,"suffix":""},{"dropping-particle":"","family":"Annesi-maesano","given":"Isabella","non-dropping-particle":"","parse-names":false,"suffix":""}],"id":"ITEM-1","issued":{"date-parts":[["2019"]]},"page":"1-12","publisher":"Multidisciplinary Respiratory Medicine","title":"Indoor exposure to particulate matter and volatile organic compounds in dwellings and workplaces and respiratory health in French farmers","type":"article-journal","volume":"3"},"uris":["http://www.mendeley.com/documents/?uuid=3302d214-8260-4393-8e8c-11f89ab06164"]}],"mendeley":{"formattedCitation":"(Maesano et al. 2019)","plainTextFormattedCitation":"(Maesano et al. 2019)","previouslyFormattedCitation":"(Maesano et al. 2019)"},"properties":{"noteIndex":0},"schema":"https://github.com/citation-style-language/schema/raw/master/csl-citation.json"}</w:instrText>
            </w:r>
            <w:r>
              <w:rPr>
                <w:rFonts w:ascii="Garamond" w:eastAsia="Times New Roman" w:hAnsi="Garamond" w:cs="Calibri"/>
                <w:color w:val="000000"/>
                <w:sz w:val="16"/>
                <w:szCs w:val="16"/>
                <w:lang w:eastAsia="en-GB"/>
              </w:rPr>
              <w:fldChar w:fldCharType="separate"/>
            </w:r>
            <w:r w:rsidRPr="001F1FA6">
              <w:rPr>
                <w:rFonts w:ascii="Garamond" w:eastAsia="Times New Roman" w:hAnsi="Garamond" w:cs="Calibri"/>
                <w:noProof/>
                <w:color w:val="000000"/>
                <w:sz w:val="16"/>
                <w:szCs w:val="16"/>
                <w:lang w:eastAsia="en-GB"/>
              </w:rPr>
              <w:t>(Maesano et al. 2019)</w:t>
            </w:r>
            <w:r>
              <w:rPr>
                <w:rFonts w:ascii="Garamond" w:eastAsia="Times New Roman" w:hAnsi="Garamond" w:cs="Calibri"/>
                <w:color w:val="000000"/>
                <w:sz w:val="16"/>
                <w:szCs w:val="16"/>
                <w:lang w:eastAsia="en-GB"/>
              </w:rPr>
              <w:fldChar w:fldCharType="end"/>
            </w:r>
          </w:p>
        </w:tc>
        <w:tc>
          <w:tcPr>
            <w:tcW w:w="1952" w:type="dxa"/>
            <w:tcBorders>
              <w:top w:val="nil"/>
              <w:left w:val="nil"/>
              <w:bottom w:val="dotted" w:sz="4" w:space="0" w:color="auto"/>
              <w:right w:val="nil"/>
            </w:tcBorders>
            <w:shd w:val="clear" w:color="000000" w:fill="F2F2F2"/>
            <w:vAlign w:val="center"/>
            <w:hideMark/>
          </w:tcPr>
          <w:p w14:paraId="7A74269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109 French farmers.</w:t>
            </w:r>
          </w:p>
        </w:tc>
        <w:tc>
          <w:tcPr>
            <w:tcW w:w="1496" w:type="dxa"/>
            <w:tcBorders>
              <w:top w:val="nil"/>
              <w:left w:val="nil"/>
              <w:bottom w:val="dotted" w:sz="4" w:space="0" w:color="auto"/>
              <w:right w:val="nil"/>
            </w:tcBorders>
            <w:shd w:val="clear" w:color="000000" w:fill="F2F2F2"/>
            <w:vAlign w:val="center"/>
            <w:hideMark/>
          </w:tcPr>
          <w:p w14:paraId="54FA0C8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UFP</w:t>
            </w:r>
          </w:p>
        </w:tc>
        <w:tc>
          <w:tcPr>
            <w:tcW w:w="1339" w:type="dxa"/>
            <w:tcBorders>
              <w:top w:val="nil"/>
              <w:left w:val="nil"/>
              <w:bottom w:val="dotted" w:sz="4" w:space="0" w:color="auto"/>
              <w:right w:val="nil"/>
            </w:tcBorders>
            <w:shd w:val="clear" w:color="000000" w:fill="F2F2F2"/>
            <w:vAlign w:val="center"/>
            <w:hideMark/>
          </w:tcPr>
          <w:p w14:paraId="17C0945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000000" w:fill="F2F2F2"/>
            <w:vAlign w:val="center"/>
            <w:hideMark/>
          </w:tcPr>
          <w:p w14:paraId="520828B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TSI P-track sensor</w:t>
            </w:r>
          </w:p>
        </w:tc>
        <w:tc>
          <w:tcPr>
            <w:tcW w:w="1701" w:type="dxa"/>
            <w:tcBorders>
              <w:top w:val="nil"/>
              <w:left w:val="nil"/>
              <w:bottom w:val="dotted" w:sz="4" w:space="0" w:color="auto"/>
              <w:right w:val="nil"/>
            </w:tcBorders>
            <w:shd w:val="clear" w:color="000000" w:fill="F2F2F2"/>
            <w:vAlign w:val="center"/>
            <w:hideMark/>
          </w:tcPr>
          <w:p w14:paraId="1E0E130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000000" w:fill="F2F2F2"/>
            <w:vAlign w:val="center"/>
            <w:hideMark/>
          </w:tcPr>
          <w:p w14:paraId="1CFBB4C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 min</w:t>
            </w:r>
          </w:p>
        </w:tc>
        <w:tc>
          <w:tcPr>
            <w:tcW w:w="1943" w:type="dxa"/>
            <w:tcBorders>
              <w:top w:val="nil"/>
              <w:left w:val="nil"/>
              <w:bottom w:val="dotted" w:sz="4" w:space="0" w:color="auto"/>
              <w:right w:val="nil"/>
            </w:tcBorders>
            <w:shd w:val="clear" w:color="000000" w:fill="F2F2F2"/>
            <w:vAlign w:val="center"/>
            <w:hideMark/>
          </w:tcPr>
          <w:p w14:paraId="7F52FE9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7B45D357"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07F68728" w14:textId="24F67267" w:rsidR="008D2218" w:rsidRPr="00E71630" w:rsidRDefault="008D3F7B" w:rsidP="00E71630">
            <w:pPr>
              <w:spacing w:after="0" w:line="240" w:lineRule="auto"/>
              <w:jc w:val="both"/>
              <w:rPr>
                <w:rFonts w:ascii="Garamond" w:eastAsia="Times New Roman" w:hAnsi="Garamond" w:cs="Calibri"/>
                <w:color w:val="000000"/>
                <w:sz w:val="16"/>
                <w:szCs w:val="16"/>
                <w:lang w:eastAsia="en-GB"/>
              </w:rPr>
            </w:pPr>
            <w:r>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{"citationItems":[{"id":"ITEM-1","itemData":{"author":[{"dropping-particle":"","family":"Maesano","given":"Cara Nichole","non-dropping-particle":"","parse-names":false,"suffix":""},{"dropping-particle":"","family":"Caillaud","given":"Denis","non-dropping-particle":"","parse-names":false,"suffix":""},{"dropping-particle":"","family":"Youssouf","given":"Hassani","non-dropping-particle":"","parse-names":false,"suffix":""},{"dropping-particle":"","family":"Banerjee","given":"Soutrik","non-dropping-particle":"","parse-names":false,"suffix":""},{"dropping-particle":"","family":"Homme","given":"Julie Prud","non-dropping-particle":"","parse-names":false,"suffix":""},{"dropping-particle":"","family":"Audi","given":"Christelle","non-dropping-particle":"","parse-names":false,"suffix":""},{"dropping-particle":"","family":"Horo","given":"Kigninlman","non-dropping-particle":"","parse-names":false,"suffix":""},{"dropping-particle":"","family":"Toloba","given":"Yacouba","non-dropping-particle":"","parse-names":false,"suffix":""},{"dropping-particle":"","family":"Ramousse","given":"Ollivier","non-dropping-particle":"","parse-names":false,"suffix":""},{"dropping-particle":"","family":"Annesi-maesano","given":"Isabella","non-dropping-particle":"","parse-names":false,"suffix":""}],"id":"ITEM-1","issued":{"date-parts":[["2019"]]},"page":"1-12","publisher":"Multidisciplinary Respiratory Medicine","title":"Indoor exposure to particulate matter and volatile organic compounds in dwellings and workplaces and respiratory health in French farmers","type":"article-journal","volume":"3"},"uris":["http://www.mendeley.com/documents/?uuid=3302d214-8260-4393-8e8c-11f89ab06164"]}],"mendeley":{"formattedCitation":"(Maesano et al. 2019)","plainTextFormattedCitation":"(Maesano et al. 2019)","previouslyFormattedCitation":"(Maesano et al. 2019)"},"properties":{"noteIndex":0},"schema":"https://github.com/citation-style-language/schema/raw/master/csl-citation.json"}</w:instrText>
            </w:r>
            <w:r>
              <w:rPr>
                <w:rFonts w:ascii="Garamond" w:eastAsia="Times New Roman" w:hAnsi="Garamond" w:cs="Calibri"/>
                <w:color w:val="000000"/>
                <w:sz w:val="16"/>
                <w:szCs w:val="16"/>
                <w:lang w:eastAsia="en-GB"/>
              </w:rPr>
              <w:fldChar w:fldCharType="separate"/>
            </w:r>
            <w:r w:rsidRPr="008D3F7B">
              <w:rPr>
                <w:rFonts w:ascii="Garamond" w:eastAsia="Times New Roman" w:hAnsi="Garamond" w:cs="Calibri"/>
                <w:noProof/>
                <w:color w:val="000000"/>
                <w:sz w:val="16"/>
                <w:szCs w:val="16"/>
                <w:lang w:eastAsia="en-GB"/>
              </w:rPr>
              <w:t>(Maesano et al. 2019)</w:t>
            </w:r>
            <w:r>
              <w:rPr>
                <w:rFonts w:ascii="Garamond" w:eastAsia="Times New Roman" w:hAnsi="Garamond" w:cs="Calibri"/>
                <w:color w:val="000000"/>
                <w:sz w:val="16"/>
                <w:szCs w:val="16"/>
                <w:lang w:eastAsia="en-GB"/>
              </w:rPr>
              <w:fldChar w:fldCharType="end"/>
            </w:r>
          </w:p>
        </w:tc>
        <w:tc>
          <w:tcPr>
            <w:tcW w:w="1952" w:type="dxa"/>
            <w:tcBorders>
              <w:top w:val="nil"/>
              <w:left w:val="nil"/>
              <w:bottom w:val="dotted" w:sz="4" w:space="0" w:color="auto"/>
              <w:right w:val="nil"/>
            </w:tcBorders>
            <w:shd w:val="clear" w:color="auto" w:fill="auto"/>
            <w:vAlign w:val="center"/>
            <w:hideMark/>
          </w:tcPr>
          <w:p w14:paraId="17ABCCD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109 French farmers.</w:t>
            </w:r>
          </w:p>
        </w:tc>
        <w:tc>
          <w:tcPr>
            <w:tcW w:w="1496" w:type="dxa"/>
            <w:tcBorders>
              <w:top w:val="nil"/>
              <w:left w:val="nil"/>
              <w:bottom w:val="dotted" w:sz="4" w:space="0" w:color="auto"/>
              <w:right w:val="nil"/>
            </w:tcBorders>
            <w:shd w:val="clear" w:color="auto" w:fill="auto"/>
            <w:vAlign w:val="center"/>
            <w:hideMark/>
          </w:tcPr>
          <w:p w14:paraId="34DD4C1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1</w:t>
            </w:r>
          </w:p>
        </w:tc>
        <w:tc>
          <w:tcPr>
            <w:tcW w:w="1339" w:type="dxa"/>
            <w:tcBorders>
              <w:top w:val="nil"/>
              <w:left w:val="nil"/>
              <w:bottom w:val="dotted" w:sz="4" w:space="0" w:color="auto"/>
              <w:right w:val="nil"/>
            </w:tcBorders>
            <w:shd w:val="clear" w:color="auto" w:fill="auto"/>
            <w:vAlign w:val="center"/>
            <w:hideMark/>
          </w:tcPr>
          <w:p w14:paraId="28BDB46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10BD976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AEROCET 531S</w:t>
            </w:r>
          </w:p>
        </w:tc>
        <w:tc>
          <w:tcPr>
            <w:tcW w:w="1701" w:type="dxa"/>
            <w:tcBorders>
              <w:top w:val="nil"/>
              <w:left w:val="nil"/>
              <w:bottom w:val="dotted" w:sz="4" w:space="0" w:color="auto"/>
              <w:right w:val="nil"/>
            </w:tcBorders>
            <w:shd w:val="clear" w:color="auto" w:fill="auto"/>
            <w:vAlign w:val="center"/>
            <w:hideMark/>
          </w:tcPr>
          <w:p w14:paraId="5466EE3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auto" w:fill="auto"/>
            <w:vAlign w:val="center"/>
            <w:hideMark/>
          </w:tcPr>
          <w:p w14:paraId="0BCC8D1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 min</w:t>
            </w:r>
          </w:p>
        </w:tc>
        <w:tc>
          <w:tcPr>
            <w:tcW w:w="1943" w:type="dxa"/>
            <w:tcBorders>
              <w:top w:val="nil"/>
              <w:left w:val="nil"/>
              <w:bottom w:val="dotted" w:sz="4" w:space="0" w:color="auto"/>
              <w:right w:val="nil"/>
            </w:tcBorders>
            <w:shd w:val="clear" w:color="auto" w:fill="auto"/>
            <w:vAlign w:val="center"/>
            <w:hideMark/>
          </w:tcPr>
          <w:p w14:paraId="414E7E0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2DCA6197"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40C9BA0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(Swanepoel et al. 2011)</w:t>
            </w:r>
          </w:p>
        </w:tc>
        <w:tc>
          <w:tcPr>
            <w:tcW w:w="1952" w:type="dxa"/>
            <w:tcBorders>
              <w:top w:val="nil"/>
              <w:left w:val="nil"/>
              <w:bottom w:val="dotted" w:sz="4" w:space="0" w:color="auto"/>
              <w:right w:val="nil"/>
            </w:tcBorders>
            <w:shd w:val="clear" w:color="000000" w:fill="F2F2F2"/>
            <w:vAlign w:val="center"/>
            <w:hideMark/>
          </w:tcPr>
          <w:p w14:paraId="15F2571E" w14:textId="4481F00D"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298 respirable dust and respirable quartz measurements.</w:t>
            </w:r>
          </w:p>
        </w:tc>
        <w:tc>
          <w:tcPr>
            <w:tcW w:w="1496" w:type="dxa"/>
            <w:tcBorders>
              <w:top w:val="nil"/>
              <w:left w:val="nil"/>
              <w:bottom w:val="dotted" w:sz="4" w:space="0" w:color="auto"/>
              <w:right w:val="nil"/>
            </w:tcBorders>
            <w:shd w:val="clear" w:color="000000" w:fill="F2F2F2"/>
            <w:vAlign w:val="center"/>
            <w:hideMark/>
          </w:tcPr>
          <w:p w14:paraId="0D04D2B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Respirable dust </w:t>
            </w:r>
          </w:p>
        </w:tc>
        <w:tc>
          <w:tcPr>
            <w:tcW w:w="1339" w:type="dxa"/>
            <w:tcBorders>
              <w:top w:val="nil"/>
              <w:left w:val="nil"/>
              <w:bottom w:val="dotted" w:sz="4" w:space="0" w:color="auto"/>
              <w:right w:val="nil"/>
            </w:tcBorders>
            <w:shd w:val="clear" w:color="000000" w:fill="F2F2F2"/>
            <w:vAlign w:val="center"/>
            <w:hideMark/>
          </w:tcPr>
          <w:p w14:paraId="0D13C45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w:t>
            </w:r>
          </w:p>
        </w:tc>
        <w:tc>
          <w:tcPr>
            <w:tcW w:w="2524" w:type="dxa"/>
            <w:tcBorders>
              <w:top w:val="nil"/>
              <w:left w:val="nil"/>
              <w:bottom w:val="dotted" w:sz="4" w:space="0" w:color="auto"/>
              <w:right w:val="nil"/>
            </w:tcBorders>
            <w:shd w:val="clear" w:color="000000" w:fill="F2F2F2"/>
            <w:vAlign w:val="center"/>
            <w:hideMark/>
          </w:tcPr>
          <w:p w14:paraId="4A610B7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Higgins–Dewell cyclone</w:t>
            </w:r>
          </w:p>
        </w:tc>
        <w:tc>
          <w:tcPr>
            <w:tcW w:w="1701" w:type="dxa"/>
            <w:tcBorders>
              <w:top w:val="nil"/>
              <w:left w:val="nil"/>
              <w:bottom w:val="dotted" w:sz="4" w:space="0" w:color="auto"/>
              <w:right w:val="nil"/>
            </w:tcBorders>
            <w:shd w:val="clear" w:color="000000" w:fill="F2F2F2"/>
            <w:vAlign w:val="center"/>
            <w:hideMark/>
          </w:tcPr>
          <w:p w14:paraId="08027CE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25 mm polyvinyl chloride filters</w:t>
            </w:r>
          </w:p>
        </w:tc>
        <w:tc>
          <w:tcPr>
            <w:tcW w:w="1817" w:type="dxa"/>
            <w:tcBorders>
              <w:top w:val="nil"/>
              <w:left w:val="nil"/>
              <w:bottom w:val="dotted" w:sz="4" w:space="0" w:color="auto"/>
              <w:right w:val="nil"/>
            </w:tcBorders>
            <w:shd w:val="clear" w:color="000000" w:fill="F2F2F2"/>
            <w:vAlign w:val="center"/>
            <w:hideMark/>
          </w:tcPr>
          <w:p w14:paraId="627D554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8 h</w:t>
            </w:r>
          </w:p>
        </w:tc>
        <w:tc>
          <w:tcPr>
            <w:tcW w:w="1943" w:type="dxa"/>
            <w:tcBorders>
              <w:top w:val="nil"/>
              <w:left w:val="nil"/>
              <w:bottom w:val="dotted" w:sz="4" w:space="0" w:color="auto"/>
              <w:right w:val="nil"/>
            </w:tcBorders>
            <w:shd w:val="clear" w:color="000000" w:fill="F2F2F2"/>
            <w:vAlign w:val="center"/>
            <w:hideMark/>
          </w:tcPr>
          <w:p w14:paraId="7D3D253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Gravimetric analyses.</w:t>
            </w:r>
          </w:p>
        </w:tc>
      </w:tr>
      <w:tr w:rsidR="008D2218" w:rsidRPr="00E71630" w14:paraId="7694D17B"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480E9BD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(Ali-Sak et al. 2021)</w:t>
            </w:r>
          </w:p>
        </w:tc>
        <w:tc>
          <w:tcPr>
            <w:tcW w:w="1952" w:type="dxa"/>
            <w:tcBorders>
              <w:top w:val="nil"/>
              <w:left w:val="nil"/>
              <w:bottom w:val="dotted" w:sz="4" w:space="0" w:color="auto"/>
              <w:right w:val="nil"/>
            </w:tcBorders>
            <w:shd w:val="clear" w:color="auto" w:fill="auto"/>
            <w:vAlign w:val="center"/>
            <w:hideMark/>
          </w:tcPr>
          <w:p w14:paraId="737CA97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266 volunteers recruited from 4 different villages; the measurements were repeated for 72 of 266 children after pesticide application.</w:t>
            </w:r>
          </w:p>
        </w:tc>
        <w:tc>
          <w:tcPr>
            <w:tcW w:w="1496" w:type="dxa"/>
            <w:vMerge w:val="restart"/>
            <w:tcBorders>
              <w:top w:val="nil"/>
              <w:left w:val="nil"/>
              <w:bottom w:val="dotted" w:sz="4" w:space="0" w:color="000000"/>
              <w:right w:val="nil"/>
            </w:tcBorders>
            <w:shd w:val="clear" w:color="auto" w:fill="auto"/>
            <w:vAlign w:val="center"/>
            <w:hideMark/>
          </w:tcPr>
          <w:p w14:paraId="107D524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PM</w:t>
            </w:r>
            <w:r w:rsidRPr="00E71630">
              <w:rPr>
                <w:rFonts w:ascii="Garamond" w:eastAsia="Times New Roman" w:hAnsi="Garamond" w:cs="Calibri"/>
                <w:color w:val="000000"/>
                <w:sz w:val="16"/>
                <w:szCs w:val="16"/>
                <w:vertAlign w:val="subscript"/>
                <w:lang w:val="it-IT" w:eastAsia="en-GB"/>
              </w:rPr>
              <w:t>2.5</w:t>
            </w:r>
          </w:p>
        </w:tc>
        <w:tc>
          <w:tcPr>
            <w:tcW w:w="1339" w:type="dxa"/>
            <w:tcBorders>
              <w:top w:val="nil"/>
              <w:left w:val="nil"/>
              <w:bottom w:val="dotted" w:sz="4" w:space="0" w:color="auto"/>
              <w:right w:val="nil"/>
            </w:tcBorders>
            <w:shd w:val="clear" w:color="auto" w:fill="auto"/>
            <w:vAlign w:val="center"/>
            <w:hideMark/>
          </w:tcPr>
          <w:p w14:paraId="32CB56B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E</w:t>
            </w:r>
          </w:p>
        </w:tc>
        <w:tc>
          <w:tcPr>
            <w:tcW w:w="2524" w:type="dxa"/>
            <w:tcBorders>
              <w:top w:val="nil"/>
              <w:left w:val="nil"/>
              <w:bottom w:val="dotted" w:sz="4" w:space="0" w:color="auto"/>
              <w:right w:val="nil"/>
            </w:tcBorders>
            <w:shd w:val="clear" w:color="auto" w:fill="auto"/>
            <w:vAlign w:val="center"/>
            <w:hideMark/>
          </w:tcPr>
          <w:p w14:paraId="3DCACF9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pDR-1500 cyclones (Personal DataRAM Pdr, Thermo Scientific, USA)</w:t>
            </w:r>
          </w:p>
        </w:tc>
        <w:tc>
          <w:tcPr>
            <w:tcW w:w="1701" w:type="dxa"/>
            <w:tcBorders>
              <w:top w:val="nil"/>
              <w:left w:val="nil"/>
              <w:bottom w:val="dotted" w:sz="4" w:space="0" w:color="auto"/>
              <w:right w:val="nil"/>
            </w:tcBorders>
            <w:shd w:val="clear" w:color="auto" w:fill="auto"/>
            <w:vAlign w:val="center"/>
            <w:hideMark/>
          </w:tcPr>
          <w:p w14:paraId="288BED7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w:t>
            </w:r>
          </w:p>
        </w:tc>
        <w:tc>
          <w:tcPr>
            <w:tcW w:w="1817" w:type="dxa"/>
            <w:tcBorders>
              <w:top w:val="nil"/>
              <w:left w:val="nil"/>
              <w:bottom w:val="dotted" w:sz="4" w:space="0" w:color="auto"/>
              <w:right w:val="nil"/>
            </w:tcBorders>
            <w:shd w:val="clear" w:color="auto" w:fill="auto"/>
            <w:vAlign w:val="center"/>
            <w:hideMark/>
          </w:tcPr>
          <w:p w14:paraId="1B22AF6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dotted" w:sz="4" w:space="0" w:color="auto"/>
              <w:right w:val="nil"/>
            </w:tcBorders>
            <w:shd w:val="clear" w:color="auto" w:fill="auto"/>
            <w:vAlign w:val="center"/>
            <w:hideMark/>
          </w:tcPr>
          <w:p w14:paraId="1CAEBCF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w:t>
            </w:r>
          </w:p>
        </w:tc>
      </w:tr>
      <w:tr w:rsidR="008D2218" w:rsidRPr="00E71630" w14:paraId="3813F349" w14:textId="77777777" w:rsidTr="008D2218">
        <w:trPr>
          <w:trHeight w:val="216"/>
        </w:trPr>
        <w:tc>
          <w:tcPr>
            <w:tcW w:w="1876" w:type="dxa"/>
            <w:vMerge w:val="restart"/>
            <w:tcBorders>
              <w:top w:val="nil"/>
              <w:left w:val="nil"/>
              <w:bottom w:val="dotted" w:sz="4" w:space="0" w:color="000000"/>
              <w:right w:val="nil"/>
            </w:tcBorders>
            <w:shd w:val="clear" w:color="auto" w:fill="auto"/>
            <w:vAlign w:val="center"/>
            <w:hideMark/>
          </w:tcPr>
          <w:p w14:paraId="463555E4"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(Jimenez et al. 2006)</w:t>
            </w:r>
          </w:p>
        </w:tc>
        <w:tc>
          <w:tcPr>
            <w:tcW w:w="1952" w:type="dxa"/>
            <w:vMerge w:val="restart"/>
            <w:tcBorders>
              <w:top w:val="nil"/>
              <w:left w:val="nil"/>
              <w:bottom w:val="dotted" w:sz="4" w:space="0" w:color="000000"/>
              <w:right w:val="nil"/>
            </w:tcBorders>
            <w:shd w:val="clear" w:color="auto" w:fill="auto"/>
            <w:vAlign w:val="center"/>
            <w:hideMark/>
          </w:tcPr>
          <w:p w14:paraId="072CEF90" w14:textId="72D7490D"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1872 observations (TEOM-PM</w:t>
            </w:r>
            <w:r w:rsidRPr="00E71630">
              <w:rPr>
                <w:rFonts w:ascii="Garamond" w:eastAsia="Times New Roman" w:hAnsi="Garamond" w:cs="Calibri"/>
                <w:color w:val="000000"/>
                <w:sz w:val="16"/>
                <w:szCs w:val="16"/>
                <w:vertAlign w:val="subscript"/>
                <w:lang w:eastAsia="en-GB"/>
              </w:rPr>
              <w:t>2.5</w:t>
            </w:r>
            <w:r w:rsidRPr="00E71630">
              <w:rPr>
                <w:rFonts w:ascii="Garamond" w:eastAsia="Times New Roman" w:hAnsi="Garamond" w:cs="Calibri"/>
                <w:color w:val="000000"/>
                <w:sz w:val="16"/>
                <w:szCs w:val="16"/>
                <w:lang w:eastAsia="en-GB"/>
              </w:rPr>
              <w:t>); 2788 observations (Neph-PM</w:t>
            </w:r>
            <w:r w:rsidRPr="00E71630">
              <w:rPr>
                <w:rFonts w:ascii="Garamond" w:eastAsia="Times New Roman" w:hAnsi="Garamond" w:cs="Calibri"/>
                <w:color w:val="000000"/>
                <w:sz w:val="16"/>
                <w:szCs w:val="16"/>
                <w:vertAlign w:val="subscript"/>
                <w:lang w:eastAsia="en-GB"/>
              </w:rPr>
              <w:t>2.5</w:t>
            </w:r>
            <w:r w:rsidRPr="00E71630">
              <w:rPr>
                <w:rFonts w:ascii="Garamond" w:eastAsia="Times New Roman" w:hAnsi="Garamond" w:cs="Calibri"/>
                <w:color w:val="000000"/>
                <w:sz w:val="16"/>
                <w:szCs w:val="16"/>
                <w:lang w:eastAsia="en-GB"/>
              </w:rPr>
              <w:t>)</w:t>
            </w:r>
          </w:p>
        </w:tc>
        <w:tc>
          <w:tcPr>
            <w:tcW w:w="1496" w:type="dxa"/>
            <w:vMerge/>
            <w:tcBorders>
              <w:top w:val="nil"/>
              <w:left w:val="nil"/>
              <w:bottom w:val="dotted" w:sz="4" w:space="0" w:color="000000"/>
              <w:right w:val="nil"/>
            </w:tcBorders>
            <w:vAlign w:val="center"/>
            <w:hideMark/>
          </w:tcPr>
          <w:p w14:paraId="61EF11B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val="restart"/>
            <w:tcBorders>
              <w:top w:val="nil"/>
              <w:left w:val="nil"/>
              <w:bottom w:val="dotted" w:sz="4" w:space="0" w:color="000000"/>
              <w:right w:val="nil"/>
            </w:tcBorders>
            <w:shd w:val="clear" w:color="auto" w:fill="auto"/>
            <w:vAlign w:val="center"/>
            <w:hideMark/>
          </w:tcPr>
          <w:p w14:paraId="2B87B8B4"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nil"/>
              <w:right w:val="nil"/>
            </w:tcBorders>
            <w:shd w:val="clear" w:color="auto" w:fill="auto"/>
            <w:vAlign w:val="center"/>
            <w:hideMark/>
          </w:tcPr>
          <w:p w14:paraId="10C5AAB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TEOM monitors (Series 1400a, Thermo Electron Co)</w:t>
            </w:r>
          </w:p>
        </w:tc>
        <w:tc>
          <w:tcPr>
            <w:tcW w:w="1701" w:type="dxa"/>
            <w:tcBorders>
              <w:top w:val="nil"/>
              <w:left w:val="nil"/>
              <w:bottom w:val="nil"/>
              <w:right w:val="nil"/>
            </w:tcBorders>
            <w:shd w:val="clear" w:color="auto" w:fill="auto"/>
            <w:vAlign w:val="center"/>
            <w:hideMark/>
          </w:tcPr>
          <w:p w14:paraId="0A32A904"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37-mm Teflon filters (Harvard Impactor)</w:t>
            </w:r>
          </w:p>
        </w:tc>
        <w:tc>
          <w:tcPr>
            <w:tcW w:w="1817" w:type="dxa"/>
            <w:vMerge w:val="restart"/>
            <w:tcBorders>
              <w:top w:val="nil"/>
              <w:left w:val="nil"/>
              <w:bottom w:val="dotted" w:sz="4" w:space="0" w:color="000000"/>
              <w:right w:val="nil"/>
            </w:tcBorders>
            <w:shd w:val="clear" w:color="auto" w:fill="auto"/>
            <w:vAlign w:val="center"/>
            <w:hideMark/>
          </w:tcPr>
          <w:p w14:paraId="548AA7F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30 min; 10 min; 12 h</w:t>
            </w:r>
          </w:p>
        </w:tc>
        <w:tc>
          <w:tcPr>
            <w:tcW w:w="1943" w:type="dxa"/>
            <w:vMerge w:val="restart"/>
            <w:tcBorders>
              <w:top w:val="nil"/>
              <w:left w:val="nil"/>
              <w:bottom w:val="dotted" w:sz="4" w:space="0" w:color="000000"/>
              <w:right w:val="nil"/>
            </w:tcBorders>
            <w:shd w:val="clear" w:color="auto" w:fill="auto"/>
            <w:vAlign w:val="center"/>
            <w:hideMark/>
          </w:tcPr>
          <w:p w14:paraId="665A7A5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The PM collected on the Teflon media was analyzed gravimetrically (Mettler-Toledo UMT2 microbalance)</w:t>
            </w:r>
          </w:p>
        </w:tc>
      </w:tr>
      <w:tr w:rsidR="008D2218" w:rsidRPr="00E71630" w14:paraId="1A2555DD" w14:textId="77777777" w:rsidTr="008D2218">
        <w:trPr>
          <w:trHeight w:val="216"/>
        </w:trPr>
        <w:tc>
          <w:tcPr>
            <w:tcW w:w="1876" w:type="dxa"/>
            <w:vMerge/>
            <w:tcBorders>
              <w:top w:val="nil"/>
              <w:left w:val="nil"/>
              <w:bottom w:val="dotted" w:sz="4" w:space="0" w:color="000000"/>
              <w:right w:val="nil"/>
            </w:tcBorders>
            <w:vAlign w:val="center"/>
            <w:hideMark/>
          </w:tcPr>
          <w:p w14:paraId="7068FA4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06566FE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3D10B3EF"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44D3B3B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tcBorders>
              <w:top w:val="nil"/>
              <w:left w:val="nil"/>
              <w:bottom w:val="nil"/>
              <w:right w:val="nil"/>
            </w:tcBorders>
            <w:shd w:val="clear" w:color="auto" w:fill="auto"/>
            <w:vAlign w:val="center"/>
            <w:hideMark/>
          </w:tcPr>
          <w:p w14:paraId="08A134F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p>
        </w:tc>
        <w:tc>
          <w:tcPr>
            <w:tcW w:w="1701" w:type="dxa"/>
            <w:tcBorders>
              <w:top w:val="nil"/>
              <w:left w:val="nil"/>
              <w:bottom w:val="nil"/>
              <w:right w:val="nil"/>
            </w:tcBorders>
            <w:shd w:val="clear" w:color="auto" w:fill="auto"/>
            <w:vAlign w:val="center"/>
            <w:hideMark/>
          </w:tcPr>
          <w:p w14:paraId="2B78B866" w14:textId="77777777" w:rsidR="008D2218" w:rsidRPr="00E71630" w:rsidRDefault="008D2218" w:rsidP="00E71630">
            <w:pPr>
              <w:spacing w:after="0" w:line="240" w:lineRule="auto"/>
              <w:jc w:val="both"/>
              <w:rPr>
                <w:rFonts w:ascii="Times New Roman" w:eastAsia="Times New Roman" w:hAnsi="Times New Roman" w:cs="Times New Roman"/>
                <w:sz w:val="16"/>
                <w:szCs w:val="16"/>
                <w:lang w:eastAsia="en-GB"/>
              </w:rPr>
            </w:pPr>
          </w:p>
        </w:tc>
        <w:tc>
          <w:tcPr>
            <w:tcW w:w="1817" w:type="dxa"/>
            <w:vMerge/>
            <w:tcBorders>
              <w:top w:val="nil"/>
              <w:left w:val="nil"/>
              <w:bottom w:val="dotted" w:sz="4" w:space="0" w:color="000000"/>
              <w:right w:val="nil"/>
            </w:tcBorders>
            <w:vAlign w:val="center"/>
            <w:hideMark/>
          </w:tcPr>
          <w:p w14:paraId="5146F965"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vMerge/>
            <w:tcBorders>
              <w:top w:val="nil"/>
              <w:left w:val="nil"/>
              <w:bottom w:val="dotted" w:sz="4" w:space="0" w:color="000000"/>
              <w:right w:val="nil"/>
            </w:tcBorders>
            <w:vAlign w:val="center"/>
            <w:hideMark/>
          </w:tcPr>
          <w:p w14:paraId="2ADA777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r>
      <w:tr w:rsidR="008D2218" w:rsidRPr="00E71630" w14:paraId="039E2AD9" w14:textId="77777777" w:rsidTr="008D2218">
        <w:trPr>
          <w:trHeight w:val="216"/>
        </w:trPr>
        <w:tc>
          <w:tcPr>
            <w:tcW w:w="1876" w:type="dxa"/>
            <w:vMerge/>
            <w:tcBorders>
              <w:top w:val="nil"/>
              <w:left w:val="nil"/>
              <w:bottom w:val="dotted" w:sz="4" w:space="0" w:color="000000"/>
              <w:right w:val="nil"/>
            </w:tcBorders>
            <w:vAlign w:val="center"/>
            <w:hideMark/>
          </w:tcPr>
          <w:p w14:paraId="255BC605"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4CC8734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40FB2CE1"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7EF5958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tcBorders>
              <w:top w:val="nil"/>
              <w:left w:val="nil"/>
              <w:bottom w:val="nil"/>
              <w:right w:val="nil"/>
            </w:tcBorders>
            <w:shd w:val="clear" w:color="auto" w:fill="auto"/>
            <w:vAlign w:val="center"/>
            <w:hideMark/>
          </w:tcPr>
          <w:p w14:paraId="2E75EAB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Light scattering nephelometer (M903, Radiance Research, Seattle, WA)</w:t>
            </w:r>
          </w:p>
        </w:tc>
        <w:tc>
          <w:tcPr>
            <w:tcW w:w="1701" w:type="dxa"/>
            <w:tcBorders>
              <w:top w:val="nil"/>
              <w:left w:val="nil"/>
              <w:bottom w:val="nil"/>
              <w:right w:val="nil"/>
            </w:tcBorders>
            <w:shd w:val="clear" w:color="auto" w:fill="auto"/>
            <w:vAlign w:val="center"/>
            <w:hideMark/>
          </w:tcPr>
          <w:p w14:paraId="7CBAD27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Quartz filter (Harvard Impactor)</w:t>
            </w:r>
          </w:p>
        </w:tc>
        <w:tc>
          <w:tcPr>
            <w:tcW w:w="1817" w:type="dxa"/>
            <w:vMerge/>
            <w:tcBorders>
              <w:top w:val="nil"/>
              <w:left w:val="nil"/>
              <w:bottom w:val="dotted" w:sz="4" w:space="0" w:color="000000"/>
              <w:right w:val="nil"/>
            </w:tcBorders>
            <w:vAlign w:val="center"/>
            <w:hideMark/>
          </w:tcPr>
          <w:p w14:paraId="2629D4F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vMerge/>
            <w:tcBorders>
              <w:top w:val="nil"/>
              <w:left w:val="nil"/>
              <w:bottom w:val="dotted" w:sz="4" w:space="0" w:color="000000"/>
              <w:right w:val="nil"/>
            </w:tcBorders>
            <w:vAlign w:val="center"/>
            <w:hideMark/>
          </w:tcPr>
          <w:p w14:paraId="2DDC9DC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r>
      <w:tr w:rsidR="008D2218" w:rsidRPr="00E71630" w14:paraId="5779C54C" w14:textId="77777777" w:rsidTr="008D2218">
        <w:trPr>
          <w:trHeight w:val="216"/>
        </w:trPr>
        <w:tc>
          <w:tcPr>
            <w:tcW w:w="1876" w:type="dxa"/>
            <w:vMerge/>
            <w:tcBorders>
              <w:top w:val="nil"/>
              <w:left w:val="nil"/>
              <w:bottom w:val="dotted" w:sz="4" w:space="0" w:color="000000"/>
              <w:right w:val="nil"/>
            </w:tcBorders>
            <w:vAlign w:val="center"/>
            <w:hideMark/>
          </w:tcPr>
          <w:p w14:paraId="65DE7FD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23DBB0C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3E1A83D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1A3F862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tcBorders>
              <w:top w:val="nil"/>
              <w:left w:val="nil"/>
              <w:bottom w:val="nil"/>
              <w:right w:val="nil"/>
            </w:tcBorders>
            <w:shd w:val="clear" w:color="auto" w:fill="auto"/>
            <w:vAlign w:val="center"/>
            <w:hideMark/>
          </w:tcPr>
          <w:p w14:paraId="120A338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p>
        </w:tc>
        <w:tc>
          <w:tcPr>
            <w:tcW w:w="1701" w:type="dxa"/>
            <w:tcBorders>
              <w:top w:val="nil"/>
              <w:left w:val="nil"/>
              <w:bottom w:val="nil"/>
              <w:right w:val="nil"/>
            </w:tcBorders>
            <w:shd w:val="clear" w:color="auto" w:fill="auto"/>
            <w:vAlign w:val="center"/>
            <w:hideMark/>
          </w:tcPr>
          <w:p w14:paraId="2C668B38" w14:textId="77777777" w:rsidR="008D2218" w:rsidRPr="00E71630" w:rsidRDefault="008D2218" w:rsidP="00E71630">
            <w:pPr>
              <w:spacing w:after="0" w:line="240" w:lineRule="auto"/>
              <w:jc w:val="both"/>
              <w:rPr>
                <w:rFonts w:ascii="Times New Roman" w:eastAsia="Times New Roman" w:hAnsi="Times New Roman" w:cs="Times New Roman"/>
                <w:sz w:val="16"/>
                <w:szCs w:val="16"/>
                <w:lang w:eastAsia="en-GB"/>
              </w:rPr>
            </w:pPr>
          </w:p>
        </w:tc>
        <w:tc>
          <w:tcPr>
            <w:tcW w:w="1817" w:type="dxa"/>
            <w:vMerge/>
            <w:tcBorders>
              <w:top w:val="nil"/>
              <w:left w:val="nil"/>
              <w:bottom w:val="dotted" w:sz="4" w:space="0" w:color="000000"/>
              <w:right w:val="nil"/>
            </w:tcBorders>
            <w:vAlign w:val="center"/>
            <w:hideMark/>
          </w:tcPr>
          <w:p w14:paraId="74F7B56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vMerge/>
            <w:tcBorders>
              <w:top w:val="nil"/>
              <w:left w:val="nil"/>
              <w:bottom w:val="dotted" w:sz="4" w:space="0" w:color="000000"/>
              <w:right w:val="nil"/>
            </w:tcBorders>
            <w:vAlign w:val="center"/>
            <w:hideMark/>
          </w:tcPr>
          <w:p w14:paraId="5DF6933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r>
      <w:tr w:rsidR="008D2218" w:rsidRPr="00E71630" w14:paraId="1BF80841" w14:textId="77777777" w:rsidTr="008D2218">
        <w:trPr>
          <w:trHeight w:val="216"/>
        </w:trPr>
        <w:tc>
          <w:tcPr>
            <w:tcW w:w="1876" w:type="dxa"/>
            <w:vMerge/>
            <w:tcBorders>
              <w:top w:val="nil"/>
              <w:left w:val="nil"/>
              <w:bottom w:val="dotted" w:sz="4" w:space="0" w:color="000000"/>
              <w:right w:val="nil"/>
            </w:tcBorders>
            <w:vAlign w:val="center"/>
            <w:hideMark/>
          </w:tcPr>
          <w:p w14:paraId="7592D02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1C49007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37A40FB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2BFC306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tcBorders>
              <w:top w:val="nil"/>
              <w:left w:val="nil"/>
              <w:bottom w:val="nil"/>
              <w:right w:val="nil"/>
            </w:tcBorders>
            <w:shd w:val="clear" w:color="auto" w:fill="auto"/>
            <w:vAlign w:val="center"/>
            <w:hideMark/>
          </w:tcPr>
          <w:p w14:paraId="04D8E2F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Harvard Impactors (Air Diagnostics Inc., Naples, ME)</w:t>
            </w:r>
          </w:p>
        </w:tc>
        <w:tc>
          <w:tcPr>
            <w:tcW w:w="1701" w:type="dxa"/>
            <w:tcBorders>
              <w:top w:val="nil"/>
              <w:left w:val="nil"/>
              <w:bottom w:val="nil"/>
              <w:right w:val="nil"/>
            </w:tcBorders>
            <w:shd w:val="clear" w:color="auto" w:fill="auto"/>
            <w:vAlign w:val="center"/>
            <w:hideMark/>
          </w:tcPr>
          <w:p w14:paraId="0F87DC8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6A23BC65"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vMerge/>
            <w:tcBorders>
              <w:top w:val="nil"/>
              <w:left w:val="nil"/>
              <w:bottom w:val="dotted" w:sz="4" w:space="0" w:color="000000"/>
              <w:right w:val="nil"/>
            </w:tcBorders>
            <w:vAlign w:val="center"/>
            <w:hideMark/>
          </w:tcPr>
          <w:p w14:paraId="77FF65F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r>
      <w:tr w:rsidR="008D2218" w:rsidRPr="00E71630" w14:paraId="7521ABD4" w14:textId="77777777" w:rsidTr="008D2218">
        <w:trPr>
          <w:trHeight w:val="216"/>
        </w:trPr>
        <w:tc>
          <w:tcPr>
            <w:tcW w:w="1876" w:type="dxa"/>
            <w:vMerge/>
            <w:tcBorders>
              <w:top w:val="nil"/>
              <w:left w:val="nil"/>
              <w:bottom w:val="dotted" w:sz="4" w:space="0" w:color="000000"/>
              <w:right w:val="nil"/>
            </w:tcBorders>
            <w:vAlign w:val="center"/>
            <w:hideMark/>
          </w:tcPr>
          <w:p w14:paraId="156176C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5715E5D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7E1E47A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6AAF015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tcBorders>
              <w:top w:val="nil"/>
              <w:left w:val="nil"/>
              <w:bottom w:val="nil"/>
              <w:right w:val="nil"/>
            </w:tcBorders>
            <w:shd w:val="clear" w:color="auto" w:fill="auto"/>
            <w:vAlign w:val="center"/>
            <w:hideMark/>
          </w:tcPr>
          <w:p w14:paraId="56D37199" w14:textId="77777777" w:rsidR="008D2218" w:rsidRPr="00E71630" w:rsidRDefault="008D2218" w:rsidP="00E71630">
            <w:pPr>
              <w:spacing w:after="0" w:line="240" w:lineRule="auto"/>
              <w:rPr>
                <w:rFonts w:ascii="Times New Roman" w:eastAsia="Times New Roman" w:hAnsi="Times New Roman" w:cs="Times New Roman"/>
                <w:sz w:val="16"/>
                <w:szCs w:val="16"/>
                <w:lang w:eastAsia="en-GB"/>
              </w:rPr>
            </w:pPr>
          </w:p>
        </w:tc>
        <w:tc>
          <w:tcPr>
            <w:tcW w:w="1701" w:type="dxa"/>
            <w:tcBorders>
              <w:top w:val="nil"/>
              <w:left w:val="nil"/>
              <w:bottom w:val="nil"/>
              <w:right w:val="nil"/>
            </w:tcBorders>
            <w:shd w:val="clear" w:color="auto" w:fill="auto"/>
            <w:vAlign w:val="center"/>
            <w:hideMark/>
          </w:tcPr>
          <w:p w14:paraId="08B9D240" w14:textId="77777777" w:rsidR="008D2218" w:rsidRPr="00E71630" w:rsidRDefault="008D2218" w:rsidP="00E71630">
            <w:pPr>
              <w:spacing w:after="0" w:line="240" w:lineRule="auto"/>
              <w:jc w:val="both"/>
              <w:rPr>
                <w:rFonts w:ascii="Times New Roman" w:eastAsia="Times New Roman" w:hAnsi="Times New Roman" w:cs="Times New Roman"/>
                <w:sz w:val="16"/>
                <w:szCs w:val="16"/>
                <w:lang w:eastAsia="en-GB"/>
              </w:rPr>
            </w:pPr>
          </w:p>
        </w:tc>
        <w:tc>
          <w:tcPr>
            <w:tcW w:w="1817" w:type="dxa"/>
            <w:vMerge/>
            <w:tcBorders>
              <w:top w:val="nil"/>
              <w:left w:val="nil"/>
              <w:bottom w:val="dotted" w:sz="4" w:space="0" w:color="000000"/>
              <w:right w:val="nil"/>
            </w:tcBorders>
            <w:vAlign w:val="center"/>
            <w:hideMark/>
          </w:tcPr>
          <w:p w14:paraId="5BC3A8A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vMerge/>
            <w:tcBorders>
              <w:top w:val="nil"/>
              <w:left w:val="nil"/>
              <w:bottom w:val="dotted" w:sz="4" w:space="0" w:color="000000"/>
              <w:right w:val="nil"/>
            </w:tcBorders>
            <w:vAlign w:val="center"/>
            <w:hideMark/>
          </w:tcPr>
          <w:p w14:paraId="7C2A12D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r>
      <w:tr w:rsidR="008D2218" w:rsidRPr="00A84515" w14:paraId="43E62B69" w14:textId="77777777" w:rsidTr="008D2218">
        <w:trPr>
          <w:trHeight w:val="216"/>
        </w:trPr>
        <w:tc>
          <w:tcPr>
            <w:tcW w:w="1876" w:type="dxa"/>
            <w:vMerge/>
            <w:tcBorders>
              <w:top w:val="nil"/>
              <w:left w:val="nil"/>
              <w:bottom w:val="dotted" w:sz="4" w:space="0" w:color="000000"/>
              <w:right w:val="nil"/>
            </w:tcBorders>
            <w:vAlign w:val="center"/>
            <w:hideMark/>
          </w:tcPr>
          <w:p w14:paraId="27C9C93F"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033A38A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6B9C0C1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5C88119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tcBorders>
              <w:top w:val="nil"/>
              <w:left w:val="nil"/>
              <w:bottom w:val="dotted" w:sz="4" w:space="0" w:color="auto"/>
              <w:right w:val="nil"/>
            </w:tcBorders>
            <w:shd w:val="clear" w:color="auto" w:fill="auto"/>
            <w:vAlign w:val="center"/>
            <w:hideMark/>
          </w:tcPr>
          <w:p w14:paraId="6B17B2C8" w14:textId="77777777" w:rsidR="008D2218" w:rsidRPr="00E71630" w:rsidRDefault="008D2218" w:rsidP="00E71630">
            <w:pPr>
              <w:spacing w:after="0" w:line="240" w:lineRule="auto"/>
              <w:jc w:val="both"/>
              <w:rPr>
                <w:rFonts w:ascii="Garamond" w:eastAsia="Times New Roman" w:hAnsi="Garamond" w:cs="Calibri"/>
                <w:color w:val="000000"/>
                <w:sz w:val="16"/>
                <w:szCs w:val="16"/>
                <w:lang w:val="it-IT" w:eastAsia="en-GB"/>
              </w:rPr>
            </w:pPr>
            <w:r w:rsidRPr="00E71630">
              <w:rPr>
                <w:rFonts w:ascii="Garamond" w:eastAsia="Times New Roman" w:hAnsi="Garamond" w:cs="Calibri"/>
                <w:color w:val="000000"/>
                <w:sz w:val="16"/>
                <w:szCs w:val="16"/>
                <w:lang w:val="it-IT" w:eastAsia="en-GB"/>
              </w:rPr>
              <w:t>DataRAM (Thermo- Andersen, Smyrna, GA)</w:t>
            </w:r>
          </w:p>
        </w:tc>
        <w:tc>
          <w:tcPr>
            <w:tcW w:w="1701" w:type="dxa"/>
            <w:tcBorders>
              <w:top w:val="nil"/>
              <w:left w:val="nil"/>
              <w:bottom w:val="dotted" w:sz="4" w:space="0" w:color="auto"/>
              <w:right w:val="nil"/>
            </w:tcBorders>
            <w:shd w:val="clear" w:color="auto" w:fill="auto"/>
            <w:vAlign w:val="center"/>
            <w:hideMark/>
          </w:tcPr>
          <w:p w14:paraId="07329633" w14:textId="77777777" w:rsidR="008D2218" w:rsidRPr="00E71630" w:rsidRDefault="008D2218" w:rsidP="00E71630">
            <w:pPr>
              <w:spacing w:after="0" w:line="240" w:lineRule="auto"/>
              <w:rPr>
                <w:rFonts w:ascii="Calibri" w:eastAsia="Times New Roman" w:hAnsi="Calibri" w:cs="Calibri"/>
                <w:color w:val="000000"/>
                <w:sz w:val="16"/>
                <w:szCs w:val="16"/>
                <w:lang w:val="it-IT" w:eastAsia="en-GB"/>
              </w:rPr>
            </w:pPr>
            <w:r w:rsidRPr="00E71630">
              <w:rPr>
                <w:rFonts w:ascii="Calibri" w:eastAsia="Times New Roman" w:hAnsi="Calibri" w:cs="Calibri"/>
                <w:color w:val="000000"/>
                <w:sz w:val="16"/>
                <w:szCs w:val="16"/>
                <w:lang w:val="it-IT" w:eastAsia="en-GB"/>
              </w:rPr>
              <w:t> </w:t>
            </w:r>
          </w:p>
        </w:tc>
        <w:tc>
          <w:tcPr>
            <w:tcW w:w="1817" w:type="dxa"/>
            <w:vMerge/>
            <w:tcBorders>
              <w:top w:val="nil"/>
              <w:left w:val="nil"/>
              <w:bottom w:val="dotted" w:sz="4" w:space="0" w:color="000000"/>
              <w:right w:val="nil"/>
            </w:tcBorders>
            <w:vAlign w:val="center"/>
            <w:hideMark/>
          </w:tcPr>
          <w:p w14:paraId="3AB8D99A" w14:textId="77777777" w:rsidR="008D2218" w:rsidRPr="00E71630" w:rsidRDefault="008D2218" w:rsidP="00E71630">
            <w:pPr>
              <w:spacing w:after="0" w:line="240" w:lineRule="auto"/>
              <w:rPr>
                <w:rFonts w:ascii="Garamond" w:eastAsia="Times New Roman" w:hAnsi="Garamond" w:cs="Calibri"/>
                <w:color w:val="000000"/>
                <w:sz w:val="16"/>
                <w:szCs w:val="16"/>
                <w:lang w:val="it-IT" w:eastAsia="en-GB"/>
              </w:rPr>
            </w:pPr>
          </w:p>
        </w:tc>
        <w:tc>
          <w:tcPr>
            <w:tcW w:w="1943" w:type="dxa"/>
            <w:vMerge/>
            <w:tcBorders>
              <w:top w:val="nil"/>
              <w:left w:val="nil"/>
              <w:bottom w:val="dotted" w:sz="4" w:space="0" w:color="000000"/>
              <w:right w:val="nil"/>
            </w:tcBorders>
            <w:vAlign w:val="center"/>
            <w:hideMark/>
          </w:tcPr>
          <w:p w14:paraId="6080AFD3" w14:textId="77777777" w:rsidR="008D2218" w:rsidRPr="00E71630" w:rsidRDefault="008D2218" w:rsidP="00E71630">
            <w:pPr>
              <w:spacing w:after="0" w:line="240" w:lineRule="auto"/>
              <w:rPr>
                <w:rFonts w:ascii="Garamond" w:eastAsia="Times New Roman" w:hAnsi="Garamond" w:cs="Calibri"/>
                <w:color w:val="000000"/>
                <w:sz w:val="16"/>
                <w:szCs w:val="16"/>
                <w:lang w:val="it-IT" w:eastAsia="en-GB"/>
              </w:rPr>
            </w:pPr>
          </w:p>
        </w:tc>
      </w:tr>
      <w:tr w:rsidR="008D2218" w:rsidRPr="00E71630" w14:paraId="3E08A3C0"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701C3B5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(Loftus et al. 2016)</w:t>
            </w:r>
          </w:p>
        </w:tc>
        <w:tc>
          <w:tcPr>
            <w:tcW w:w="1952" w:type="dxa"/>
            <w:tcBorders>
              <w:top w:val="nil"/>
              <w:left w:val="nil"/>
              <w:bottom w:val="dotted" w:sz="4" w:space="0" w:color="auto"/>
              <w:right w:val="nil"/>
            </w:tcBorders>
            <w:shd w:val="clear" w:color="auto" w:fill="auto"/>
            <w:vAlign w:val="center"/>
            <w:hideMark/>
          </w:tcPr>
          <w:p w14:paraId="061DCE3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vMerge/>
            <w:tcBorders>
              <w:top w:val="nil"/>
              <w:left w:val="nil"/>
              <w:bottom w:val="dotted" w:sz="4" w:space="0" w:color="000000"/>
              <w:right w:val="nil"/>
            </w:tcBorders>
            <w:vAlign w:val="center"/>
            <w:hideMark/>
          </w:tcPr>
          <w:p w14:paraId="407D5B8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dotted" w:sz="4" w:space="0" w:color="auto"/>
              <w:right w:val="nil"/>
            </w:tcBorders>
            <w:shd w:val="clear" w:color="auto" w:fill="auto"/>
            <w:vAlign w:val="center"/>
            <w:hideMark/>
          </w:tcPr>
          <w:p w14:paraId="242CA5A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5FDAE0B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Nephelometer</w:t>
            </w:r>
          </w:p>
        </w:tc>
        <w:tc>
          <w:tcPr>
            <w:tcW w:w="1701" w:type="dxa"/>
            <w:tcBorders>
              <w:top w:val="nil"/>
              <w:left w:val="nil"/>
              <w:bottom w:val="dotted" w:sz="4" w:space="0" w:color="auto"/>
              <w:right w:val="nil"/>
            </w:tcBorders>
            <w:shd w:val="clear" w:color="auto" w:fill="auto"/>
            <w:vAlign w:val="center"/>
            <w:hideMark/>
          </w:tcPr>
          <w:p w14:paraId="6AEA998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auto" w:fill="auto"/>
            <w:vAlign w:val="center"/>
            <w:hideMark/>
          </w:tcPr>
          <w:p w14:paraId="4511995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24 h</w:t>
            </w:r>
          </w:p>
        </w:tc>
        <w:tc>
          <w:tcPr>
            <w:tcW w:w="1943" w:type="dxa"/>
            <w:tcBorders>
              <w:top w:val="nil"/>
              <w:left w:val="nil"/>
              <w:bottom w:val="dotted" w:sz="4" w:space="0" w:color="auto"/>
              <w:right w:val="nil"/>
            </w:tcBorders>
            <w:shd w:val="clear" w:color="auto" w:fill="auto"/>
            <w:vAlign w:val="center"/>
            <w:hideMark/>
          </w:tcPr>
          <w:p w14:paraId="4F34F78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5D5A9202"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6C7ECEF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(Maesano et al. 2019)</w:t>
            </w:r>
          </w:p>
        </w:tc>
        <w:tc>
          <w:tcPr>
            <w:tcW w:w="1952" w:type="dxa"/>
            <w:tcBorders>
              <w:top w:val="nil"/>
              <w:left w:val="nil"/>
              <w:bottom w:val="dotted" w:sz="4" w:space="0" w:color="auto"/>
              <w:right w:val="nil"/>
            </w:tcBorders>
            <w:shd w:val="clear" w:color="auto" w:fill="auto"/>
            <w:vAlign w:val="center"/>
            <w:hideMark/>
          </w:tcPr>
          <w:p w14:paraId="57D5FDB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109 French farmers.</w:t>
            </w:r>
          </w:p>
        </w:tc>
        <w:tc>
          <w:tcPr>
            <w:tcW w:w="1496" w:type="dxa"/>
            <w:vMerge/>
            <w:tcBorders>
              <w:top w:val="nil"/>
              <w:left w:val="nil"/>
              <w:bottom w:val="dotted" w:sz="4" w:space="0" w:color="000000"/>
              <w:right w:val="nil"/>
            </w:tcBorders>
            <w:vAlign w:val="center"/>
            <w:hideMark/>
          </w:tcPr>
          <w:p w14:paraId="4773539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dotted" w:sz="4" w:space="0" w:color="auto"/>
              <w:right w:val="nil"/>
            </w:tcBorders>
            <w:shd w:val="clear" w:color="auto" w:fill="auto"/>
            <w:vAlign w:val="center"/>
            <w:hideMark/>
          </w:tcPr>
          <w:p w14:paraId="2E5A6FD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5E82715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AEROCET 531S</w:t>
            </w:r>
          </w:p>
        </w:tc>
        <w:tc>
          <w:tcPr>
            <w:tcW w:w="1701" w:type="dxa"/>
            <w:tcBorders>
              <w:top w:val="nil"/>
              <w:left w:val="nil"/>
              <w:bottom w:val="dotted" w:sz="4" w:space="0" w:color="auto"/>
              <w:right w:val="nil"/>
            </w:tcBorders>
            <w:shd w:val="clear" w:color="auto" w:fill="auto"/>
            <w:vAlign w:val="center"/>
            <w:hideMark/>
          </w:tcPr>
          <w:p w14:paraId="4D42DA5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auto" w:fill="auto"/>
            <w:vAlign w:val="center"/>
            <w:hideMark/>
          </w:tcPr>
          <w:p w14:paraId="18BF1D3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 min</w:t>
            </w:r>
          </w:p>
        </w:tc>
        <w:tc>
          <w:tcPr>
            <w:tcW w:w="1943" w:type="dxa"/>
            <w:tcBorders>
              <w:top w:val="nil"/>
              <w:left w:val="nil"/>
              <w:bottom w:val="dotted" w:sz="4" w:space="0" w:color="auto"/>
              <w:right w:val="nil"/>
            </w:tcBorders>
            <w:shd w:val="clear" w:color="auto" w:fill="auto"/>
            <w:vAlign w:val="center"/>
            <w:hideMark/>
          </w:tcPr>
          <w:p w14:paraId="76D17AA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47044BE5"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76A04BF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(Pavilonis et al. 2013)</w:t>
            </w:r>
          </w:p>
        </w:tc>
        <w:tc>
          <w:tcPr>
            <w:tcW w:w="1952" w:type="dxa"/>
            <w:tcBorders>
              <w:top w:val="nil"/>
              <w:left w:val="nil"/>
              <w:bottom w:val="dotted" w:sz="4" w:space="0" w:color="auto"/>
              <w:right w:val="nil"/>
            </w:tcBorders>
            <w:shd w:val="clear" w:color="auto" w:fill="auto"/>
            <w:vAlign w:val="center"/>
            <w:hideMark/>
          </w:tcPr>
          <w:p w14:paraId="7E900D0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197 rural households.</w:t>
            </w:r>
          </w:p>
        </w:tc>
        <w:tc>
          <w:tcPr>
            <w:tcW w:w="1496" w:type="dxa"/>
            <w:vMerge/>
            <w:tcBorders>
              <w:top w:val="nil"/>
              <w:left w:val="nil"/>
              <w:bottom w:val="dotted" w:sz="4" w:space="0" w:color="000000"/>
              <w:right w:val="nil"/>
            </w:tcBorders>
            <w:vAlign w:val="center"/>
            <w:hideMark/>
          </w:tcPr>
          <w:p w14:paraId="77501FB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dotted" w:sz="4" w:space="0" w:color="auto"/>
              <w:right w:val="nil"/>
            </w:tcBorders>
            <w:shd w:val="clear" w:color="auto" w:fill="auto"/>
            <w:vAlign w:val="center"/>
            <w:hideMark/>
          </w:tcPr>
          <w:p w14:paraId="57DD20B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593D151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Personal Environmental Monitors (SKC, Eighty Four, PA)</w:t>
            </w:r>
          </w:p>
        </w:tc>
        <w:tc>
          <w:tcPr>
            <w:tcW w:w="1701" w:type="dxa"/>
            <w:tcBorders>
              <w:top w:val="nil"/>
              <w:left w:val="nil"/>
              <w:bottom w:val="dotted" w:sz="4" w:space="0" w:color="auto"/>
              <w:right w:val="nil"/>
            </w:tcBorders>
            <w:shd w:val="clear" w:color="auto" w:fill="auto"/>
            <w:vAlign w:val="center"/>
            <w:hideMark/>
          </w:tcPr>
          <w:p w14:paraId="175E58C4"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37 mm polytetrafluoroethylene filters with a 0.8-mm pore size (Pall Corporation, Ann Arbor, MI)</w:t>
            </w:r>
          </w:p>
        </w:tc>
        <w:tc>
          <w:tcPr>
            <w:tcW w:w="1817" w:type="dxa"/>
            <w:tcBorders>
              <w:top w:val="nil"/>
              <w:left w:val="nil"/>
              <w:bottom w:val="dotted" w:sz="4" w:space="0" w:color="auto"/>
              <w:right w:val="nil"/>
            </w:tcBorders>
            <w:shd w:val="clear" w:color="auto" w:fill="auto"/>
            <w:vAlign w:val="center"/>
            <w:hideMark/>
          </w:tcPr>
          <w:p w14:paraId="1980090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30 min</w:t>
            </w:r>
          </w:p>
        </w:tc>
        <w:tc>
          <w:tcPr>
            <w:tcW w:w="1943" w:type="dxa"/>
            <w:tcBorders>
              <w:top w:val="nil"/>
              <w:left w:val="nil"/>
              <w:bottom w:val="dotted" w:sz="4" w:space="0" w:color="auto"/>
              <w:right w:val="nil"/>
            </w:tcBorders>
            <w:shd w:val="clear" w:color="auto" w:fill="auto"/>
            <w:vAlign w:val="center"/>
            <w:hideMark/>
          </w:tcPr>
          <w:p w14:paraId="5FE749B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750DEB84" w14:textId="77777777" w:rsidTr="008D2218">
        <w:trPr>
          <w:trHeight w:val="216"/>
        </w:trPr>
        <w:tc>
          <w:tcPr>
            <w:tcW w:w="1876" w:type="dxa"/>
            <w:vMerge w:val="restart"/>
            <w:tcBorders>
              <w:top w:val="nil"/>
              <w:left w:val="nil"/>
              <w:bottom w:val="dotted" w:sz="4" w:space="0" w:color="000000"/>
              <w:right w:val="nil"/>
            </w:tcBorders>
            <w:shd w:val="clear" w:color="auto" w:fill="auto"/>
            <w:vAlign w:val="center"/>
            <w:hideMark/>
          </w:tcPr>
          <w:p w14:paraId="0AE07C8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(Ryu et al. 2007)</w:t>
            </w:r>
          </w:p>
        </w:tc>
        <w:tc>
          <w:tcPr>
            <w:tcW w:w="1952" w:type="dxa"/>
            <w:vMerge w:val="restart"/>
            <w:tcBorders>
              <w:top w:val="nil"/>
              <w:left w:val="nil"/>
              <w:bottom w:val="dotted" w:sz="4" w:space="0" w:color="000000"/>
              <w:right w:val="nil"/>
            </w:tcBorders>
            <w:shd w:val="clear" w:color="auto" w:fill="auto"/>
            <w:vAlign w:val="center"/>
            <w:hideMark/>
          </w:tcPr>
          <w:p w14:paraId="611686A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26 samples.</w:t>
            </w:r>
          </w:p>
        </w:tc>
        <w:tc>
          <w:tcPr>
            <w:tcW w:w="1496" w:type="dxa"/>
            <w:vMerge/>
            <w:tcBorders>
              <w:top w:val="nil"/>
              <w:left w:val="nil"/>
              <w:bottom w:val="dotted" w:sz="4" w:space="0" w:color="000000"/>
              <w:right w:val="nil"/>
            </w:tcBorders>
            <w:vAlign w:val="center"/>
            <w:hideMark/>
          </w:tcPr>
          <w:p w14:paraId="3837E02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val="restart"/>
            <w:tcBorders>
              <w:top w:val="nil"/>
              <w:left w:val="nil"/>
              <w:bottom w:val="dotted" w:sz="4" w:space="0" w:color="000000"/>
              <w:right w:val="nil"/>
            </w:tcBorders>
            <w:shd w:val="clear" w:color="auto" w:fill="auto"/>
            <w:vAlign w:val="center"/>
            <w:hideMark/>
          </w:tcPr>
          <w:p w14:paraId="529EEFD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vMerge w:val="restart"/>
            <w:tcBorders>
              <w:top w:val="nil"/>
              <w:left w:val="nil"/>
              <w:bottom w:val="dotted" w:sz="4" w:space="0" w:color="000000"/>
              <w:right w:val="nil"/>
            </w:tcBorders>
            <w:shd w:val="clear" w:color="auto" w:fill="auto"/>
            <w:vAlign w:val="center"/>
            <w:hideMark/>
          </w:tcPr>
          <w:p w14:paraId="3663E35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URG Versatile Air Pollutant Sampler (VAPS, URG-3000K) with a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xml:space="preserve"> cyclone inlet and a Dichotomous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xml:space="preserve"> sampler (ASI/GMW series 241)</w:t>
            </w:r>
          </w:p>
        </w:tc>
        <w:tc>
          <w:tcPr>
            <w:tcW w:w="1701" w:type="dxa"/>
            <w:tcBorders>
              <w:top w:val="nil"/>
              <w:left w:val="nil"/>
              <w:bottom w:val="nil"/>
              <w:right w:val="nil"/>
            </w:tcBorders>
            <w:shd w:val="clear" w:color="auto" w:fill="auto"/>
            <w:vAlign w:val="center"/>
            <w:hideMark/>
          </w:tcPr>
          <w:p w14:paraId="31168C4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Pre-baked quartz fiber filters (for carbonaceous species) </w:t>
            </w:r>
          </w:p>
        </w:tc>
        <w:tc>
          <w:tcPr>
            <w:tcW w:w="1817" w:type="dxa"/>
            <w:vMerge w:val="restart"/>
            <w:tcBorders>
              <w:top w:val="nil"/>
              <w:left w:val="nil"/>
              <w:bottom w:val="dotted" w:sz="4" w:space="0" w:color="000000"/>
              <w:right w:val="nil"/>
            </w:tcBorders>
            <w:shd w:val="clear" w:color="auto" w:fill="auto"/>
            <w:vAlign w:val="center"/>
            <w:hideMark/>
          </w:tcPr>
          <w:p w14:paraId="4911492D" w14:textId="2CC742CD"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12 h</w:t>
            </w:r>
          </w:p>
        </w:tc>
        <w:tc>
          <w:tcPr>
            <w:tcW w:w="1943" w:type="dxa"/>
            <w:tcBorders>
              <w:top w:val="nil"/>
              <w:left w:val="nil"/>
              <w:bottom w:val="nil"/>
              <w:right w:val="nil"/>
            </w:tcBorders>
            <w:shd w:val="clear" w:color="auto" w:fill="auto"/>
            <w:vAlign w:val="center"/>
            <w:hideMark/>
          </w:tcPr>
          <w:p w14:paraId="3731301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Gravimetric method using an electronic microbalance</w:t>
            </w:r>
          </w:p>
        </w:tc>
      </w:tr>
      <w:tr w:rsidR="008D2218" w:rsidRPr="00E71630" w14:paraId="24981DFF" w14:textId="77777777" w:rsidTr="008D2218">
        <w:trPr>
          <w:trHeight w:val="216"/>
        </w:trPr>
        <w:tc>
          <w:tcPr>
            <w:tcW w:w="1876" w:type="dxa"/>
            <w:vMerge/>
            <w:tcBorders>
              <w:top w:val="nil"/>
              <w:left w:val="nil"/>
              <w:bottom w:val="dotted" w:sz="4" w:space="0" w:color="000000"/>
              <w:right w:val="nil"/>
            </w:tcBorders>
            <w:vAlign w:val="center"/>
            <w:hideMark/>
          </w:tcPr>
          <w:p w14:paraId="3211240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569F40B5"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368253B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40D380C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nil"/>
              <w:left w:val="nil"/>
              <w:bottom w:val="dotted" w:sz="4" w:space="0" w:color="000000"/>
              <w:right w:val="nil"/>
            </w:tcBorders>
            <w:vAlign w:val="center"/>
            <w:hideMark/>
          </w:tcPr>
          <w:p w14:paraId="0CFF591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tcBorders>
              <w:top w:val="nil"/>
              <w:left w:val="nil"/>
              <w:bottom w:val="nil"/>
              <w:right w:val="nil"/>
            </w:tcBorders>
            <w:shd w:val="clear" w:color="auto" w:fill="auto"/>
            <w:vAlign w:val="center"/>
            <w:hideMark/>
          </w:tcPr>
          <w:p w14:paraId="3B08725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4E17179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auto" w:fill="auto"/>
            <w:vAlign w:val="center"/>
            <w:hideMark/>
          </w:tcPr>
          <w:p w14:paraId="66F01D12" w14:textId="77777777" w:rsidR="008D2218" w:rsidRPr="00E71630" w:rsidRDefault="008D2218" w:rsidP="00E71630">
            <w:pPr>
              <w:spacing w:after="0" w:line="240" w:lineRule="auto"/>
              <w:jc w:val="both"/>
              <w:rPr>
                <w:rFonts w:ascii="Times New Roman" w:eastAsia="Times New Roman" w:hAnsi="Times New Roman" w:cs="Times New Roman"/>
                <w:sz w:val="16"/>
                <w:szCs w:val="16"/>
                <w:lang w:eastAsia="en-GB"/>
              </w:rPr>
            </w:pPr>
          </w:p>
        </w:tc>
      </w:tr>
      <w:tr w:rsidR="008D2218" w:rsidRPr="00E71630" w14:paraId="01BA4EB8" w14:textId="77777777" w:rsidTr="008D2218">
        <w:trPr>
          <w:trHeight w:val="216"/>
        </w:trPr>
        <w:tc>
          <w:tcPr>
            <w:tcW w:w="1876" w:type="dxa"/>
            <w:vMerge/>
            <w:tcBorders>
              <w:top w:val="nil"/>
              <w:left w:val="nil"/>
              <w:bottom w:val="dotted" w:sz="4" w:space="0" w:color="000000"/>
              <w:right w:val="nil"/>
            </w:tcBorders>
            <w:vAlign w:val="center"/>
            <w:hideMark/>
          </w:tcPr>
          <w:p w14:paraId="7AC38D0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3B06847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041475D1"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1FF8895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nil"/>
              <w:left w:val="nil"/>
              <w:bottom w:val="dotted" w:sz="4" w:space="0" w:color="000000"/>
              <w:right w:val="nil"/>
            </w:tcBorders>
            <w:vAlign w:val="center"/>
            <w:hideMark/>
          </w:tcPr>
          <w:p w14:paraId="1CB90A0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tcBorders>
              <w:top w:val="nil"/>
              <w:left w:val="nil"/>
              <w:bottom w:val="nil"/>
              <w:right w:val="nil"/>
            </w:tcBorders>
            <w:shd w:val="clear" w:color="auto" w:fill="auto"/>
            <w:vAlign w:val="center"/>
            <w:hideMark/>
          </w:tcPr>
          <w:p w14:paraId="01C3407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Teflon filters (for mass, ionic and elemental species analyses)</w:t>
            </w:r>
          </w:p>
        </w:tc>
        <w:tc>
          <w:tcPr>
            <w:tcW w:w="1817" w:type="dxa"/>
            <w:vMerge/>
            <w:tcBorders>
              <w:top w:val="nil"/>
              <w:left w:val="nil"/>
              <w:bottom w:val="dotted" w:sz="4" w:space="0" w:color="000000"/>
              <w:right w:val="nil"/>
            </w:tcBorders>
            <w:vAlign w:val="center"/>
            <w:hideMark/>
          </w:tcPr>
          <w:p w14:paraId="3A8D8B85"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auto" w:fill="auto"/>
            <w:vAlign w:val="center"/>
            <w:hideMark/>
          </w:tcPr>
          <w:p w14:paraId="632E492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HPLC and IC</w:t>
            </w:r>
          </w:p>
        </w:tc>
      </w:tr>
      <w:tr w:rsidR="008D2218" w:rsidRPr="00E71630" w14:paraId="0CCC7ADB" w14:textId="77777777" w:rsidTr="008D2218">
        <w:trPr>
          <w:trHeight w:val="216"/>
        </w:trPr>
        <w:tc>
          <w:tcPr>
            <w:tcW w:w="1876" w:type="dxa"/>
            <w:vMerge/>
            <w:tcBorders>
              <w:top w:val="nil"/>
              <w:left w:val="nil"/>
              <w:bottom w:val="dotted" w:sz="4" w:space="0" w:color="000000"/>
              <w:right w:val="nil"/>
            </w:tcBorders>
            <w:vAlign w:val="center"/>
            <w:hideMark/>
          </w:tcPr>
          <w:p w14:paraId="636A96A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0B21514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18387A9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49C3021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nil"/>
              <w:left w:val="nil"/>
              <w:bottom w:val="dotted" w:sz="4" w:space="0" w:color="000000"/>
              <w:right w:val="nil"/>
            </w:tcBorders>
            <w:vAlign w:val="center"/>
            <w:hideMark/>
          </w:tcPr>
          <w:p w14:paraId="5933F80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tcBorders>
              <w:top w:val="nil"/>
              <w:left w:val="nil"/>
              <w:bottom w:val="nil"/>
              <w:right w:val="nil"/>
            </w:tcBorders>
            <w:shd w:val="clear" w:color="auto" w:fill="auto"/>
            <w:vAlign w:val="center"/>
            <w:hideMark/>
          </w:tcPr>
          <w:p w14:paraId="39BF364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779226C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auto" w:fill="auto"/>
            <w:vAlign w:val="center"/>
            <w:hideMark/>
          </w:tcPr>
          <w:p w14:paraId="3CE73441" w14:textId="77777777" w:rsidR="008D2218" w:rsidRPr="00E71630" w:rsidRDefault="008D2218" w:rsidP="00E71630">
            <w:pPr>
              <w:spacing w:after="0" w:line="240" w:lineRule="auto"/>
              <w:rPr>
                <w:rFonts w:ascii="Times New Roman" w:eastAsia="Times New Roman" w:hAnsi="Times New Roman" w:cs="Times New Roman"/>
                <w:sz w:val="16"/>
                <w:szCs w:val="16"/>
                <w:lang w:eastAsia="en-GB"/>
              </w:rPr>
            </w:pPr>
          </w:p>
        </w:tc>
      </w:tr>
      <w:tr w:rsidR="008D2218" w:rsidRPr="00E71630" w14:paraId="548EC3AA" w14:textId="77777777" w:rsidTr="008D2218">
        <w:trPr>
          <w:trHeight w:val="216"/>
        </w:trPr>
        <w:tc>
          <w:tcPr>
            <w:tcW w:w="1876" w:type="dxa"/>
            <w:vMerge/>
            <w:tcBorders>
              <w:top w:val="nil"/>
              <w:left w:val="nil"/>
              <w:bottom w:val="dotted" w:sz="4" w:space="0" w:color="000000"/>
              <w:right w:val="nil"/>
            </w:tcBorders>
            <w:vAlign w:val="center"/>
            <w:hideMark/>
          </w:tcPr>
          <w:p w14:paraId="1B91E3D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46DECFD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6CD7C33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2C6A097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nil"/>
              <w:left w:val="nil"/>
              <w:bottom w:val="dotted" w:sz="4" w:space="0" w:color="000000"/>
              <w:right w:val="nil"/>
            </w:tcBorders>
            <w:vAlign w:val="center"/>
            <w:hideMark/>
          </w:tcPr>
          <w:p w14:paraId="7AF9583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tcBorders>
              <w:top w:val="nil"/>
              <w:left w:val="nil"/>
              <w:bottom w:val="nil"/>
              <w:right w:val="nil"/>
            </w:tcBorders>
            <w:shd w:val="clear" w:color="auto" w:fill="auto"/>
            <w:vAlign w:val="center"/>
            <w:hideMark/>
          </w:tcPr>
          <w:p w14:paraId="4ABA3535" w14:textId="77777777" w:rsidR="008D2218" w:rsidRPr="00E71630" w:rsidRDefault="008D2218" w:rsidP="00E71630">
            <w:pPr>
              <w:spacing w:after="0" w:line="240" w:lineRule="auto"/>
              <w:jc w:val="both"/>
              <w:rPr>
                <w:rFonts w:ascii="Times New Roman" w:eastAsia="Times New Roman" w:hAnsi="Times New Roman" w:cs="Times New Roman"/>
                <w:sz w:val="16"/>
                <w:szCs w:val="16"/>
                <w:lang w:eastAsia="en-GB"/>
              </w:rPr>
            </w:pPr>
          </w:p>
        </w:tc>
        <w:tc>
          <w:tcPr>
            <w:tcW w:w="1817" w:type="dxa"/>
            <w:vMerge/>
            <w:tcBorders>
              <w:top w:val="nil"/>
              <w:left w:val="nil"/>
              <w:bottom w:val="dotted" w:sz="4" w:space="0" w:color="000000"/>
              <w:right w:val="nil"/>
            </w:tcBorders>
            <w:vAlign w:val="center"/>
            <w:hideMark/>
          </w:tcPr>
          <w:p w14:paraId="64981C9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auto" w:fill="auto"/>
            <w:vAlign w:val="center"/>
            <w:hideMark/>
          </w:tcPr>
          <w:p w14:paraId="3A8D29F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ICP – AES</w:t>
            </w:r>
          </w:p>
        </w:tc>
      </w:tr>
      <w:tr w:rsidR="008D2218" w:rsidRPr="00E71630" w14:paraId="17C4AC53" w14:textId="77777777" w:rsidTr="008D2218">
        <w:trPr>
          <w:trHeight w:val="216"/>
        </w:trPr>
        <w:tc>
          <w:tcPr>
            <w:tcW w:w="1876" w:type="dxa"/>
            <w:vMerge/>
            <w:tcBorders>
              <w:top w:val="nil"/>
              <w:left w:val="nil"/>
              <w:bottom w:val="dotted" w:sz="4" w:space="0" w:color="000000"/>
              <w:right w:val="nil"/>
            </w:tcBorders>
            <w:vAlign w:val="center"/>
            <w:hideMark/>
          </w:tcPr>
          <w:p w14:paraId="03F524A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6E8CEB7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2F3246A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36CCD8B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nil"/>
              <w:left w:val="nil"/>
              <w:bottom w:val="dotted" w:sz="4" w:space="0" w:color="000000"/>
              <w:right w:val="nil"/>
            </w:tcBorders>
            <w:vAlign w:val="center"/>
            <w:hideMark/>
          </w:tcPr>
          <w:p w14:paraId="6BA2EE3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tcBorders>
              <w:top w:val="nil"/>
              <w:left w:val="nil"/>
              <w:bottom w:val="dotted" w:sz="4" w:space="0" w:color="auto"/>
              <w:right w:val="nil"/>
            </w:tcBorders>
            <w:shd w:val="clear" w:color="auto" w:fill="auto"/>
            <w:vAlign w:val="center"/>
            <w:hideMark/>
          </w:tcPr>
          <w:p w14:paraId="6498EED2" w14:textId="77777777" w:rsidR="008D2218" w:rsidRPr="00E71630" w:rsidRDefault="008D2218" w:rsidP="00E71630">
            <w:pPr>
              <w:spacing w:after="0" w:line="240" w:lineRule="auto"/>
              <w:rPr>
                <w:rFonts w:ascii="Calibri" w:eastAsia="Times New Roman" w:hAnsi="Calibri" w:cs="Calibri"/>
                <w:color w:val="000000"/>
                <w:sz w:val="16"/>
                <w:szCs w:val="16"/>
                <w:lang w:eastAsia="en-GB"/>
              </w:rPr>
            </w:pPr>
            <w:r w:rsidRPr="00E71630">
              <w:rPr>
                <w:rFonts w:ascii="Calibri" w:eastAsia="Times New Roman" w:hAnsi="Calibri" w:cs="Calibri"/>
                <w:color w:val="000000"/>
                <w:sz w:val="16"/>
                <w:szCs w:val="16"/>
                <w:lang w:eastAsia="en-GB"/>
              </w:rPr>
              <w:t> </w:t>
            </w:r>
          </w:p>
        </w:tc>
        <w:tc>
          <w:tcPr>
            <w:tcW w:w="1817" w:type="dxa"/>
            <w:vMerge/>
            <w:tcBorders>
              <w:top w:val="nil"/>
              <w:left w:val="nil"/>
              <w:bottom w:val="dotted" w:sz="4" w:space="0" w:color="000000"/>
              <w:right w:val="nil"/>
            </w:tcBorders>
            <w:vAlign w:val="center"/>
            <w:hideMark/>
          </w:tcPr>
          <w:p w14:paraId="5A0ED57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dotted" w:sz="4" w:space="0" w:color="auto"/>
              <w:right w:val="nil"/>
            </w:tcBorders>
            <w:shd w:val="clear" w:color="auto" w:fill="auto"/>
            <w:vAlign w:val="center"/>
            <w:hideMark/>
          </w:tcPr>
          <w:p w14:paraId="062014A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 ICP-MS</w:t>
            </w:r>
          </w:p>
        </w:tc>
      </w:tr>
      <w:tr w:rsidR="008D2218" w:rsidRPr="00E71630" w14:paraId="0A0BEDC1" w14:textId="77777777" w:rsidTr="008D2218">
        <w:trPr>
          <w:trHeight w:val="216"/>
        </w:trPr>
        <w:tc>
          <w:tcPr>
            <w:tcW w:w="1876" w:type="dxa"/>
            <w:vMerge w:val="restart"/>
            <w:tcBorders>
              <w:top w:val="nil"/>
              <w:left w:val="nil"/>
              <w:bottom w:val="dotted" w:sz="4" w:space="0" w:color="000000"/>
              <w:right w:val="nil"/>
            </w:tcBorders>
            <w:shd w:val="clear" w:color="auto" w:fill="auto"/>
            <w:vAlign w:val="center"/>
            <w:hideMark/>
          </w:tcPr>
          <w:p w14:paraId="6F13B05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(Ramli et al. 2021)</w:t>
            </w:r>
          </w:p>
        </w:tc>
        <w:tc>
          <w:tcPr>
            <w:tcW w:w="1952" w:type="dxa"/>
            <w:vMerge w:val="restart"/>
            <w:tcBorders>
              <w:top w:val="nil"/>
              <w:left w:val="nil"/>
              <w:bottom w:val="dotted" w:sz="4" w:space="0" w:color="000000"/>
              <w:right w:val="nil"/>
            </w:tcBorders>
            <w:shd w:val="clear" w:color="auto" w:fill="auto"/>
            <w:vAlign w:val="center"/>
            <w:hideMark/>
          </w:tcPr>
          <w:p w14:paraId="6160B85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 sites.</w:t>
            </w:r>
          </w:p>
        </w:tc>
        <w:tc>
          <w:tcPr>
            <w:tcW w:w="1496" w:type="dxa"/>
            <w:vMerge/>
            <w:tcBorders>
              <w:top w:val="nil"/>
              <w:left w:val="nil"/>
              <w:bottom w:val="dotted" w:sz="4" w:space="0" w:color="000000"/>
              <w:right w:val="nil"/>
            </w:tcBorders>
            <w:vAlign w:val="center"/>
            <w:hideMark/>
          </w:tcPr>
          <w:p w14:paraId="568BFCF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val="restart"/>
            <w:tcBorders>
              <w:top w:val="nil"/>
              <w:left w:val="nil"/>
              <w:bottom w:val="dotted" w:sz="4" w:space="0" w:color="000000"/>
              <w:right w:val="nil"/>
            </w:tcBorders>
            <w:shd w:val="clear" w:color="auto" w:fill="auto"/>
            <w:vAlign w:val="center"/>
            <w:hideMark/>
          </w:tcPr>
          <w:p w14:paraId="5374DED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vMerge w:val="restart"/>
            <w:tcBorders>
              <w:top w:val="nil"/>
              <w:left w:val="nil"/>
              <w:bottom w:val="dotted" w:sz="4" w:space="0" w:color="000000"/>
              <w:right w:val="nil"/>
            </w:tcBorders>
            <w:shd w:val="clear" w:color="auto" w:fill="auto"/>
            <w:vAlign w:val="center"/>
            <w:hideMark/>
          </w:tcPr>
          <w:p w14:paraId="45956D5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E-BAM (Met One Instrument Inc., Grants Pass, OR, USA)</w:t>
            </w:r>
          </w:p>
        </w:tc>
        <w:tc>
          <w:tcPr>
            <w:tcW w:w="1701" w:type="dxa"/>
            <w:vMerge w:val="restart"/>
            <w:tcBorders>
              <w:top w:val="nil"/>
              <w:left w:val="nil"/>
              <w:bottom w:val="dotted" w:sz="4" w:space="0" w:color="000000"/>
              <w:right w:val="nil"/>
            </w:tcBorders>
            <w:shd w:val="clear" w:color="auto" w:fill="auto"/>
            <w:noWrap/>
            <w:vAlign w:val="center"/>
            <w:hideMark/>
          </w:tcPr>
          <w:p w14:paraId="108F916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Glass-fiber filter tape with a pore size of 2 µm</w:t>
            </w:r>
          </w:p>
        </w:tc>
        <w:tc>
          <w:tcPr>
            <w:tcW w:w="1817" w:type="dxa"/>
            <w:vMerge w:val="restart"/>
            <w:tcBorders>
              <w:top w:val="nil"/>
              <w:left w:val="nil"/>
              <w:bottom w:val="dotted" w:sz="4" w:space="0" w:color="000000"/>
              <w:right w:val="nil"/>
            </w:tcBorders>
            <w:shd w:val="clear" w:color="auto" w:fill="auto"/>
            <w:vAlign w:val="center"/>
            <w:hideMark/>
          </w:tcPr>
          <w:p w14:paraId="6EC9A8C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12 h </w:t>
            </w:r>
          </w:p>
        </w:tc>
        <w:tc>
          <w:tcPr>
            <w:tcW w:w="1943" w:type="dxa"/>
            <w:tcBorders>
              <w:top w:val="nil"/>
              <w:left w:val="nil"/>
              <w:bottom w:val="nil"/>
              <w:right w:val="nil"/>
            </w:tcBorders>
            <w:shd w:val="clear" w:color="auto" w:fill="auto"/>
            <w:vAlign w:val="center"/>
            <w:hideMark/>
          </w:tcPr>
          <w:p w14:paraId="495CD95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Analysis of: morphology, size of particles, and elemental compositions of individual particles using high-resolution field emission scanning electron microscopy coupled with FESEM-EDX (Quanta FEG 650, Oxford Instrument, Abingdon, UK)</w:t>
            </w:r>
          </w:p>
        </w:tc>
      </w:tr>
      <w:tr w:rsidR="008D2218" w:rsidRPr="00E71630" w14:paraId="59726668" w14:textId="77777777" w:rsidTr="008D2218">
        <w:trPr>
          <w:trHeight w:val="216"/>
        </w:trPr>
        <w:tc>
          <w:tcPr>
            <w:tcW w:w="1876" w:type="dxa"/>
            <w:vMerge/>
            <w:tcBorders>
              <w:top w:val="nil"/>
              <w:left w:val="nil"/>
              <w:bottom w:val="dotted" w:sz="4" w:space="0" w:color="000000"/>
              <w:right w:val="nil"/>
            </w:tcBorders>
            <w:vAlign w:val="center"/>
            <w:hideMark/>
          </w:tcPr>
          <w:p w14:paraId="06ACA93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28E5050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74FF2AD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7C1B94F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nil"/>
              <w:left w:val="nil"/>
              <w:bottom w:val="dotted" w:sz="4" w:space="0" w:color="000000"/>
              <w:right w:val="nil"/>
            </w:tcBorders>
            <w:vAlign w:val="center"/>
            <w:hideMark/>
          </w:tcPr>
          <w:p w14:paraId="492F4C6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nil"/>
              <w:left w:val="nil"/>
              <w:bottom w:val="dotted" w:sz="4" w:space="0" w:color="000000"/>
              <w:right w:val="nil"/>
            </w:tcBorders>
            <w:vAlign w:val="center"/>
            <w:hideMark/>
          </w:tcPr>
          <w:p w14:paraId="369308E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41CA291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auto" w:fill="auto"/>
            <w:vAlign w:val="center"/>
            <w:hideMark/>
          </w:tcPr>
          <w:p w14:paraId="03972BA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p>
        </w:tc>
      </w:tr>
      <w:tr w:rsidR="008D2218" w:rsidRPr="00E71630" w14:paraId="409776CC" w14:textId="77777777" w:rsidTr="008D2218">
        <w:trPr>
          <w:trHeight w:val="216"/>
        </w:trPr>
        <w:tc>
          <w:tcPr>
            <w:tcW w:w="1876" w:type="dxa"/>
            <w:vMerge/>
            <w:tcBorders>
              <w:top w:val="nil"/>
              <w:left w:val="nil"/>
              <w:bottom w:val="dotted" w:sz="4" w:space="0" w:color="000000"/>
              <w:right w:val="nil"/>
            </w:tcBorders>
            <w:vAlign w:val="center"/>
            <w:hideMark/>
          </w:tcPr>
          <w:p w14:paraId="14CF7B3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76B7129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6850553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6CE1E14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nil"/>
              <w:left w:val="nil"/>
              <w:bottom w:val="dotted" w:sz="4" w:space="0" w:color="000000"/>
              <w:right w:val="nil"/>
            </w:tcBorders>
            <w:vAlign w:val="center"/>
            <w:hideMark/>
          </w:tcPr>
          <w:p w14:paraId="308CCA9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nil"/>
              <w:left w:val="nil"/>
              <w:bottom w:val="dotted" w:sz="4" w:space="0" w:color="000000"/>
              <w:right w:val="nil"/>
            </w:tcBorders>
            <w:vAlign w:val="center"/>
            <w:hideMark/>
          </w:tcPr>
          <w:p w14:paraId="2444121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6276C80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auto" w:fill="auto"/>
            <w:vAlign w:val="center"/>
            <w:hideMark/>
          </w:tcPr>
          <w:p w14:paraId="01E4C64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ICP-OES identifies the concentration of trace elements in the fine particle samples</w:t>
            </w:r>
          </w:p>
        </w:tc>
      </w:tr>
      <w:tr w:rsidR="008D2218" w:rsidRPr="00E71630" w14:paraId="6E267501" w14:textId="77777777" w:rsidTr="008D2218">
        <w:trPr>
          <w:trHeight w:val="216"/>
        </w:trPr>
        <w:tc>
          <w:tcPr>
            <w:tcW w:w="1876" w:type="dxa"/>
            <w:vMerge w:val="restart"/>
            <w:tcBorders>
              <w:top w:val="nil"/>
              <w:left w:val="nil"/>
              <w:bottom w:val="dotted" w:sz="4" w:space="0" w:color="000000"/>
              <w:right w:val="nil"/>
            </w:tcBorders>
            <w:shd w:val="clear" w:color="auto" w:fill="auto"/>
            <w:vAlign w:val="center"/>
            <w:hideMark/>
          </w:tcPr>
          <w:p w14:paraId="0DB5444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(Wei et al. 2019)</w:t>
            </w:r>
          </w:p>
        </w:tc>
        <w:tc>
          <w:tcPr>
            <w:tcW w:w="1952" w:type="dxa"/>
            <w:vMerge w:val="restart"/>
            <w:tcBorders>
              <w:top w:val="nil"/>
              <w:left w:val="nil"/>
              <w:bottom w:val="dotted" w:sz="4" w:space="0" w:color="000000"/>
              <w:right w:val="nil"/>
            </w:tcBorders>
            <w:shd w:val="clear" w:color="auto" w:fill="auto"/>
            <w:vAlign w:val="center"/>
            <w:hideMark/>
          </w:tcPr>
          <w:p w14:paraId="7E0861C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vMerge/>
            <w:tcBorders>
              <w:top w:val="nil"/>
              <w:left w:val="nil"/>
              <w:bottom w:val="dotted" w:sz="4" w:space="0" w:color="000000"/>
              <w:right w:val="nil"/>
            </w:tcBorders>
            <w:vAlign w:val="center"/>
            <w:hideMark/>
          </w:tcPr>
          <w:p w14:paraId="229C0C4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val="restart"/>
            <w:tcBorders>
              <w:top w:val="nil"/>
              <w:left w:val="nil"/>
              <w:bottom w:val="dotted" w:sz="4" w:space="0" w:color="000000"/>
              <w:right w:val="nil"/>
            </w:tcBorders>
            <w:shd w:val="clear" w:color="auto" w:fill="auto"/>
            <w:vAlign w:val="center"/>
            <w:hideMark/>
          </w:tcPr>
          <w:p w14:paraId="578FB25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nil"/>
              <w:right w:val="nil"/>
            </w:tcBorders>
            <w:shd w:val="clear" w:color="auto" w:fill="auto"/>
            <w:vAlign w:val="center"/>
            <w:hideMark/>
          </w:tcPr>
          <w:p w14:paraId="3EBAB14A" w14:textId="7374DED1"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Aerosol sampler (TH-150C-III,</w:t>
            </w:r>
            <w:r w:rsidR="000E7C60" w:rsidRPr="00E71630">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Wuhan Tianhong Instrument Co., Ltd., China)</w:t>
            </w:r>
          </w:p>
        </w:tc>
        <w:tc>
          <w:tcPr>
            <w:tcW w:w="1701" w:type="dxa"/>
            <w:vMerge w:val="restart"/>
            <w:tcBorders>
              <w:top w:val="nil"/>
              <w:left w:val="nil"/>
              <w:bottom w:val="dotted" w:sz="4" w:space="0" w:color="000000"/>
              <w:right w:val="nil"/>
            </w:tcBorders>
            <w:shd w:val="clear" w:color="auto" w:fill="auto"/>
            <w:vAlign w:val="center"/>
            <w:hideMark/>
          </w:tcPr>
          <w:p w14:paraId="1B30485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0.45 μm pore size Teflon filters (PALL Life Sciences)</w:t>
            </w:r>
          </w:p>
        </w:tc>
        <w:tc>
          <w:tcPr>
            <w:tcW w:w="1817" w:type="dxa"/>
            <w:vMerge w:val="restart"/>
            <w:tcBorders>
              <w:top w:val="nil"/>
              <w:left w:val="nil"/>
              <w:bottom w:val="dotted" w:sz="4" w:space="0" w:color="000000"/>
              <w:right w:val="nil"/>
            </w:tcBorders>
            <w:shd w:val="clear" w:color="auto" w:fill="auto"/>
            <w:vAlign w:val="center"/>
            <w:hideMark/>
          </w:tcPr>
          <w:p w14:paraId="2654E184"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23 h </w:t>
            </w:r>
          </w:p>
        </w:tc>
        <w:tc>
          <w:tcPr>
            <w:tcW w:w="1943" w:type="dxa"/>
            <w:vMerge w:val="restart"/>
            <w:tcBorders>
              <w:top w:val="dotted" w:sz="4" w:space="0" w:color="auto"/>
              <w:left w:val="nil"/>
              <w:bottom w:val="dotted" w:sz="4" w:space="0" w:color="000000"/>
              <w:right w:val="nil"/>
            </w:tcBorders>
            <w:shd w:val="clear" w:color="auto" w:fill="auto"/>
            <w:vAlign w:val="center"/>
            <w:hideMark/>
          </w:tcPr>
          <w:p w14:paraId="215C549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16D14130" w14:textId="77777777" w:rsidTr="008D2218">
        <w:trPr>
          <w:trHeight w:val="216"/>
        </w:trPr>
        <w:tc>
          <w:tcPr>
            <w:tcW w:w="1876" w:type="dxa"/>
            <w:vMerge/>
            <w:tcBorders>
              <w:top w:val="nil"/>
              <w:left w:val="nil"/>
              <w:bottom w:val="dotted" w:sz="4" w:space="0" w:color="000000"/>
              <w:right w:val="nil"/>
            </w:tcBorders>
            <w:vAlign w:val="center"/>
            <w:hideMark/>
          </w:tcPr>
          <w:p w14:paraId="54639821"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0BD01211"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4851D51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0669A98F"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tcBorders>
              <w:top w:val="nil"/>
              <w:left w:val="nil"/>
              <w:bottom w:val="nil"/>
              <w:right w:val="nil"/>
            </w:tcBorders>
            <w:shd w:val="clear" w:color="auto" w:fill="auto"/>
            <w:vAlign w:val="center"/>
            <w:hideMark/>
          </w:tcPr>
          <w:p w14:paraId="1E9A754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p>
        </w:tc>
        <w:tc>
          <w:tcPr>
            <w:tcW w:w="1701" w:type="dxa"/>
            <w:vMerge/>
            <w:tcBorders>
              <w:top w:val="nil"/>
              <w:left w:val="nil"/>
              <w:bottom w:val="dotted" w:sz="4" w:space="0" w:color="000000"/>
              <w:right w:val="nil"/>
            </w:tcBorders>
            <w:vAlign w:val="center"/>
            <w:hideMark/>
          </w:tcPr>
          <w:p w14:paraId="269192E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39BCD87F"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vMerge/>
            <w:tcBorders>
              <w:top w:val="dotted" w:sz="4" w:space="0" w:color="auto"/>
              <w:left w:val="nil"/>
              <w:bottom w:val="dotted" w:sz="4" w:space="0" w:color="000000"/>
              <w:right w:val="nil"/>
            </w:tcBorders>
            <w:vAlign w:val="center"/>
            <w:hideMark/>
          </w:tcPr>
          <w:p w14:paraId="1CCA454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r>
      <w:tr w:rsidR="008D2218" w:rsidRPr="00E71630" w14:paraId="1E1E8AAF" w14:textId="77777777" w:rsidTr="008D2218">
        <w:trPr>
          <w:trHeight w:val="216"/>
        </w:trPr>
        <w:tc>
          <w:tcPr>
            <w:tcW w:w="1876" w:type="dxa"/>
            <w:vMerge/>
            <w:tcBorders>
              <w:top w:val="nil"/>
              <w:left w:val="nil"/>
              <w:bottom w:val="dotted" w:sz="4" w:space="0" w:color="000000"/>
              <w:right w:val="nil"/>
            </w:tcBorders>
            <w:vAlign w:val="center"/>
            <w:hideMark/>
          </w:tcPr>
          <w:p w14:paraId="74BE9A5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4F33D585"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129327F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3270B74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tcBorders>
              <w:top w:val="nil"/>
              <w:left w:val="nil"/>
              <w:bottom w:val="dotted" w:sz="4" w:space="0" w:color="auto"/>
              <w:right w:val="nil"/>
            </w:tcBorders>
            <w:shd w:val="clear" w:color="auto" w:fill="auto"/>
            <w:vAlign w:val="center"/>
            <w:hideMark/>
          </w:tcPr>
          <w:p w14:paraId="2933C70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2.5</w:t>
            </w:r>
            <w:r w:rsidRPr="00E71630">
              <w:rPr>
                <w:rFonts w:ascii="Garamond" w:eastAsia="Times New Roman" w:hAnsi="Garamond" w:cs="Calibri"/>
                <w:color w:val="000000"/>
                <w:sz w:val="16"/>
                <w:szCs w:val="16"/>
                <w:lang w:eastAsia="en-GB"/>
              </w:rPr>
              <w:t xml:space="preserve"> monitor (SHARP 5030, Thermo Fisher Scientific, Massachusetts, USA)</w:t>
            </w:r>
          </w:p>
        </w:tc>
        <w:tc>
          <w:tcPr>
            <w:tcW w:w="1701" w:type="dxa"/>
            <w:vMerge/>
            <w:tcBorders>
              <w:top w:val="nil"/>
              <w:left w:val="nil"/>
              <w:bottom w:val="dotted" w:sz="4" w:space="0" w:color="000000"/>
              <w:right w:val="nil"/>
            </w:tcBorders>
            <w:vAlign w:val="center"/>
            <w:hideMark/>
          </w:tcPr>
          <w:p w14:paraId="4267462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0EFA8A7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vMerge/>
            <w:tcBorders>
              <w:top w:val="dotted" w:sz="4" w:space="0" w:color="auto"/>
              <w:left w:val="nil"/>
              <w:bottom w:val="dotted" w:sz="4" w:space="0" w:color="000000"/>
              <w:right w:val="nil"/>
            </w:tcBorders>
            <w:vAlign w:val="center"/>
            <w:hideMark/>
          </w:tcPr>
          <w:p w14:paraId="3C9E408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r>
      <w:tr w:rsidR="008D2218" w:rsidRPr="00E71630" w14:paraId="1FA24BBE"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14BB16E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(Xing et al. 2020)</w:t>
            </w:r>
          </w:p>
        </w:tc>
        <w:tc>
          <w:tcPr>
            <w:tcW w:w="1952" w:type="dxa"/>
            <w:tcBorders>
              <w:top w:val="nil"/>
              <w:left w:val="nil"/>
              <w:bottom w:val="dotted" w:sz="4" w:space="0" w:color="auto"/>
              <w:right w:val="nil"/>
            </w:tcBorders>
            <w:shd w:val="clear" w:color="auto" w:fill="auto"/>
            <w:vAlign w:val="center"/>
            <w:hideMark/>
          </w:tcPr>
          <w:p w14:paraId="686B09D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11, 13, and 14 samples were collected from the 3 sites.</w:t>
            </w:r>
          </w:p>
        </w:tc>
        <w:tc>
          <w:tcPr>
            <w:tcW w:w="1496" w:type="dxa"/>
            <w:vMerge/>
            <w:tcBorders>
              <w:top w:val="nil"/>
              <w:left w:val="nil"/>
              <w:bottom w:val="dotted" w:sz="4" w:space="0" w:color="000000"/>
              <w:right w:val="nil"/>
            </w:tcBorders>
            <w:vAlign w:val="center"/>
            <w:hideMark/>
          </w:tcPr>
          <w:p w14:paraId="6D64659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dotted" w:sz="4" w:space="0" w:color="auto"/>
              <w:right w:val="nil"/>
            </w:tcBorders>
            <w:shd w:val="clear" w:color="auto" w:fill="auto"/>
            <w:vAlign w:val="center"/>
            <w:hideMark/>
          </w:tcPr>
          <w:p w14:paraId="3F9A942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2832292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TH-150C intelligent medium flow air total suspended particle sampler (Tianhong Co. Ltd, China)</w:t>
            </w:r>
          </w:p>
        </w:tc>
        <w:tc>
          <w:tcPr>
            <w:tcW w:w="1701" w:type="dxa"/>
            <w:tcBorders>
              <w:top w:val="nil"/>
              <w:left w:val="nil"/>
              <w:bottom w:val="dotted" w:sz="4" w:space="0" w:color="auto"/>
              <w:right w:val="nil"/>
            </w:tcBorders>
            <w:shd w:val="clear" w:color="auto" w:fill="auto"/>
            <w:vAlign w:val="center"/>
            <w:hideMark/>
          </w:tcPr>
          <w:p w14:paraId="2760C11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Quartz fiber filter membrane</w:t>
            </w:r>
          </w:p>
        </w:tc>
        <w:tc>
          <w:tcPr>
            <w:tcW w:w="1817" w:type="dxa"/>
            <w:tcBorders>
              <w:top w:val="nil"/>
              <w:left w:val="nil"/>
              <w:bottom w:val="dotted" w:sz="4" w:space="0" w:color="auto"/>
              <w:right w:val="nil"/>
            </w:tcBorders>
            <w:shd w:val="clear" w:color="auto" w:fill="auto"/>
            <w:vAlign w:val="center"/>
            <w:hideMark/>
          </w:tcPr>
          <w:p w14:paraId="45DC4AA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23 h </w:t>
            </w:r>
          </w:p>
        </w:tc>
        <w:tc>
          <w:tcPr>
            <w:tcW w:w="1943" w:type="dxa"/>
            <w:tcBorders>
              <w:top w:val="nil"/>
              <w:left w:val="nil"/>
              <w:bottom w:val="dotted" w:sz="4" w:space="0" w:color="auto"/>
              <w:right w:val="nil"/>
            </w:tcBorders>
            <w:shd w:val="clear" w:color="auto" w:fill="auto"/>
            <w:vAlign w:val="center"/>
            <w:hideMark/>
          </w:tcPr>
          <w:p w14:paraId="2F27A99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Samples were weighed by a microbalance</w:t>
            </w:r>
          </w:p>
        </w:tc>
      </w:tr>
      <w:tr w:rsidR="008D2218" w:rsidRPr="00E71630" w14:paraId="3D360422"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304086D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(Sevimoglu and Rogge 2016)</w:t>
            </w:r>
          </w:p>
        </w:tc>
        <w:tc>
          <w:tcPr>
            <w:tcW w:w="1952" w:type="dxa"/>
            <w:tcBorders>
              <w:top w:val="nil"/>
              <w:left w:val="nil"/>
              <w:bottom w:val="dotted" w:sz="4" w:space="0" w:color="auto"/>
              <w:right w:val="nil"/>
            </w:tcBorders>
            <w:shd w:val="clear" w:color="000000" w:fill="F2F2F2"/>
            <w:vAlign w:val="center"/>
            <w:hideMark/>
          </w:tcPr>
          <w:p w14:paraId="36820FF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55 samples from Belle Gladeand; 61 samples from Delray Beach.</w:t>
            </w:r>
          </w:p>
        </w:tc>
        <w:tc>
          <w:tcPr>
            <w:tcW w:w="1496" w:type="dxa"/>
            <w:tcBorders>
              <w:top w:val="nil"/>
              <w:left w:val="nil"/>
              <w:bottom w:val="dotted" w:sz="4" w:space="0" w:color="auto"/>
              <w:right w:val="nil"/>
            </w:tcBorders>
            <w:shd w:val="clear" w:color="000000" w:fill="F2F2F2"/>
            <w:vAlign w:val="center"/>
            <w:hideMark/>
          </w:tcPr>
          <w:p w14:paraId="36AB6E7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3</w:t>
            </w:r>
          </w:p>
        </w:tc>
        <w:tc>
          <w:tcPr>
            <w:tcW w:w="1339" w:type="dxa"/>
            <w:tcBorders>
              <w:top w:val="nil"/>
              <w:left w:val="nil"/>
              <w:bottom w:val="dotted" w:sz="4" w:space="0" w:color="auto"/>
              <w:right w:val="nil"/>
            </w:tcBorders>
            <w:shd w:val="clear" w:color="000000" w:fill="F2F2F2"/>
            <w:vAlign w:val="center"/>
            <w:hideMark/>
          </w:tcPr>
          <w:p w14:paraId="69B9AF1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000000" w:fill="F2F2F2"/>
            <w:vAlign w:val="center"/>
            <w:hideMark/>
          </w:tcPr>
          <w:p w14:paraId="137FA3E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Samples were collected using a Graseby high volume sampler (Graseby Andersen, Atlanta, USA) with a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xml:space="preserve"> selective inlet (G1200). The high volume cascade impactor (Graseby/GWM, series 235 with five impactor stages plus a backup stage) was added to the sampler</w:t>
            </w:r>
          </w:p>
        </w:tc>
        <w:tc>
          <w:tcPr>
            <w:tcW w:w="1701" w:type="dxa"/>
            <w:tcBorders>
              <w:top w:val="nil"/>
              <w:left w:val="nil"/>
              <w:bottom w:val="dotted" w:sz="4" w:space="0" w:color="auto"/>
              <w:right w:val="nil"/>
            </w:tcBorders>
            <w:shd w:val="clear" w:color="000000" w:fill="F2F2F2"/>
            <w:vAlign w:val="center"/>
            <w:hideMark/>
          </w:tcPr>
          <w:p w14:paraId="22BEDF5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Slotted quartz fiber filters (SAC230QF) and backup quartz fiber filter (2500QAO-UP) were used for size-segregated particle sampling for the analysis of the organic compounds, including PAHs</w:t>
            </w:r>
          </w:p>
        </w:tc>
        <w:tc>
          <w:tcPr>
            <w:tcW w:w="1817" w:type="dxa"/>
            <w:tcBorders>
              <w:top w:val="nil"/>
              <w:left w:val="nil"/>
              <w:bottom w:val="dotted" w:sz="4" w:space="0" w:color="auto"/>
              <w:right w:val="nil"/>
            </w:tcBorders>
            <w:shd w:val="clear" w:color="000000" w:fill="F2F2F2"/>
            <w:vAlign w:val="center"/>
            <w:hideMark/>
          </w:tcPr>
          <w:p w14:paraId="0F8B802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23 h </w:t>
            </w:r>
          </w:p>
        </w:tc>
        <w:tc>
          <w:tcPr>
            <w:tcW w:w="1943" w:type="dxa"/>
            <w:tcBorders>
              <w:top w:val="nil"/>
              <w:left w:val="nil"/>
              <w:bottom w:val="dotted" w:sz="4" w:space="0" w:color="auto"/>
              <w:right w:val="nil"/>
            </w:tcBorders>
            <w:shd w:val="clear" w:color="000000" w:fill="F2F2F2"/>
            <w:vAlign w:val="center"/>
            <w:hideMark/>
          </w:tcPr>
          <w:p w14:paraId="75BF0BD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09A8CC8D"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5C495BB3" w14:textId="57489D07" w:rsidR="008D2218" w:rsidRPr="00E71630" w:rsidRDefault="00657CE0" w:rsidP="00E71630">
            <w:pPr>
              <w:spacing w:after="0" w:line="240" w:lineRule="auto"/>
              <w:jc w:val="both"/>
              <w:rPr>
                <w:rFonts w:ascii="Garamond" w:eastAsia="Times New Roman" w:hAnsi="Garamond" w:cs="Calibri"/>
                <w:color w:val="000000"/>
                <w:sz w:val="16"/>
                <w:szCs w:val="16"/>
                <w:lang w:eastAsia="en-GB"/>
              </w:rPr>
            </w:pPr>
            <w:r>
              <w:rPr>
                <w:rFonts w:ascii="Garamond" w:eastAsia="Times New Roman" w:hAnsi="Garamond" w:cs="Calibri"/>
                <w:noProof/>
                <w:color w:val="000000"/>
                <w:sz w:val="16"/>
                <w:szCs w:val="16"/>
                <w:lang w:eastAsia="en-GB"/>
              </w:rPr>
              <w:fldChar w:fldCharType="begin" w:fldLock="1"/>
            </w:r>
            <w:r w:rsidR="00A84515">
              <w:rPr>
                <w:rFonts w:ascii="Garamond" w:eastAsia="Times New Roman" w:hAnsi="Garamond" w:cs="Calibri"/>
                <w:noProof/>
                <w:color w:val="000000"/>
                <w:sz w:val="16"/>
                <w:szCs w:val="16"/>
                <w:lang w:eastAsia="en-GB"/>
              </w:rPr>
              <w:instrText>ADDIN CSL_CITATION {"citationItems":[{"id":"ITEM-1","itemData":{"DOI":"10.1080/10473289.2001.10464280","author":[{"dropping-particle":"","family":"Reinhardt","given":"Timothy E","non-dropping-particle":"","parse-names":false,"suffix":""},{"dropping-particle":"","family":"Ottmar","given":"Roger D","non-dropping-particle":"","parse-names":false,"suffix":""},{"dropping-particle":"","family":"Castilla","given":"Carlos","non-dropping-particle":"","parse-names":false,"suffix":""},{"dropping-particle":"","family":"Reinhardt","given":"Timothy E","non-dropping-particle":"","parse-names":false,"suffix":""},{"dropping-particle":"","family":"Ottmar","given":"Roger D","non-dropping-particle":"","parse-names":false,"suffix":""},{"dropping-particle":"","family":"Smoke","given":"Carlos Castilla","non-dropping-particle":"","parse-names":false,"suffix":""},{"dropping-particle":"","family":"Reinhardt","given":"Timothy E","non-dropping-particle":"","parse-names":false,"suffix":""},{"dropping-particle":"","family":"Corporation","given":"U R S","non-dropping-particle":"","parse-names":false,"suffix":""}],"id":"ITEM-1","issued":{"date-parts":[["2011"]]},"title":"Smoke Impacts from Agricultural Burning in a Rural Brazilian Town Smoke Impacts from Agricultural Burning in a Rural Brazilian Town","type":"article-journal","volume":"2247"},"uris":["http://www.mendeley.com/documents/?uuid=c16e05f8-2f83-4f54-a7cf-3b029ec200de"]}],"mendeley":{"formattedCitation":"(Reinhardt et al. 2011)","plainTextFormattedCitation":"(Reinhardt et al. 2011)","previouslyFormattedCitation":"(Reinhardt et al. 2011)"},"properties":{"noteIndex":0},"schema":"https://github.com/citation-style-language/schema/raw/master/csl-citation.json"}</w:instrText>
            </w:r>
            <w:r>
              <w:rPr>
                <w:rFonts w:ascii="Garamond" w:eastAsia="Times New Roman" w:hAnsi="Garamond" w:cs="Calibri"/>
                <w:noProof/>
                <w:color w:val="000000"/>
                <w:sz w:val="16"/>
                <w:szCs w:val="16"/>
                <w:lang w:eastAsia="en-GB"/>
              </w:rPr>
              <w:fldChar w:fldCharType="separate"/>
            </w:r>
            <w:r w:rsidRPr="00657CE0">
              <w:rPr>
                <w:rFonts w:ascii="Garamond" w:eastAsia="Times New Roman" w:hAnsi="Garamond" w:cs="Calibri"/>
                <w:noProof/>
                <w:color w:val="000000"/>
                <w:sz w:val="16"/>
                <w:szCs w:val="16"/>
                <w:lang w:eastAsia="en-GB"/>
              </w:rPr>
              <w:t>(Reinhardt et al. 2011)</w:t>
            </w:r>
            <w:r>
              <w:rPr>
                <w:rFonts w:ascii="Garamond" w:eastAsia="Times New Roman" w:hAnsi="Garamond" w:cs="Calibri"/>
                <w:noProof/>
                <w:color w:val="000000"/>
                <w:sz w:val="16"/>
                <w:szCs w:val="16"/>
                <w:lang w:eastAsia="en-GB"/>
              </w:rPr>
              <w:fldChar w:fldCharType="end"/>
            </w:r>
          </w:p>
        </w:tc>
        <w:tc>
          <w:tcPr>
            <w:tcW w:w="1952" w:type="dxa"/>
            <w:tcBorders>
              <w:top w:val="nil"/>
              <w:left w:val="nil"/>
              <w:bottom w:val="dotted" w:sz="4" w:space="0" w:color="auto"/>
              <w:right w:val="nil"/>
            </w:tcBorders>
            <w:shd w:val="clear" w:color="auto" w:fill="auto"/>
            <w:vAlign w:val="center"/>
            <w:hideMark/>
          </w:tcPr>
          <w:p w14:paraId="054FC99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tcBorders>
              <w:top w:val="nil"/>
              <w:left w:val="nil"/>
              <w:bottom w:val="dotted" w:sz="4" w:space="0" w:color="auto"/>
              <w:right w:val="nil"/>
            </w:tcBorders>
            <w:shd w:val="clear" w:color="auto" w:fill="auto"/>
            <w:vAlign w:val="center"/>
            <w:hideMark/>
          </w:tcPr>
          <w:p w14:paraId="60F50DA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3.5</w:t>
            </w:r>
          </w:p>
        </w:tc>
        <w:tc>
          <w:tcPr>
            <w:tcW w:w="1339" w:type="dxa"/>
            <w:tcBorders>
              <w:top w:val="nil"/>
              <w:left w:val="nil"/>
              <w:bottom w:val="dotted" w:sz="4" w:space="0" w:color="auto"/>
              <w:right w:val="nil"/>
            </w:tcBorders>
            <w:shd w:val="clear" w:color="auto" w:fill="auto"/>
            <w:vAlign w:val="center"/>
            <w:hideMark/>
          </w:tcPr>
          <w:p w14:paraId="3419A62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w:t>
            </w:r>
          </w:p>
        </w:tc>
        <w:tc>
          <w:tcPr>
            <w:tcW w:w="2524" w:type="dxa"/>
            <w:tcBorders>
              <w:top w:val="nil"/>
              <w:left w:val="nil"/>
              <w:bottom w:val="dotted" w:sz="4" w:space="0" w:color="auto"/>
              <w:right w:val="nil"/>
            </w:tcBorders>
            <w:shd w:val="clear" w:color="auto" w:fill="auto"/>
            <w:vAlign w:val="center"/>
            <w:hideMark/>
          </w:tcPr>
          <w:p w14:paraId="5708AC0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Nylon Dorr-Oliver cyclone (3.5-μm cut-point)</w:t>
            </w:r>
          </w:p>
        </w:tc>
        <w:tc>
          <w:tcPr>
            <w:tcW w:w="1701" w:type="dxa"/>
            <w:tcBorders>
              <w:top w:val="nil"/>
              <w:left w:val="nil"/>
              <w:bottom w:val="dotted" w:sz="4" w:space="0" w:color="auto"/>
              <w:right w:val="nil"/>
            </w:tcBorders>
            <w:shd w:val="clear" w:color="auto" w:fill="auto"/>
            <w:vAlign w:val="center"/>
            <w:hideMark/>
          </w:tcPr>
          <w:p w14:paraId="02BCF57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2.0-μm pore size 37-mm diameter Teflon (DuPont) filter</w:t>
            </w:r>
          </w:p>
        </w:tc>
        <w:tc>
          <w:tcPr>
            <w:tcW w:w="1817" w:type="dxa"/>
            <w:tcBorders>
              <w:top w:val="nil"/>
              <w:left w:val="nil"/>
              <w:bottom w:val="dotted" w:sz="4" w:space="0" w:color="auto"/>
              <w:right w:val="nil"/>
            </w:tcBorders>
            <w:shd w:val="clear" w:color="auto" w:fill="auto"/>
            <w:vAlign w:val="center"/>
            <w:hideMark/>
          </w:tcPr>
          <w:p w14:paraId="2621BD6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dotted" w:sz="4" w:space="0" w:color="auto"/>
              <w:right w:val="nil"/>
            </w:tcBorders>
            <w:shd w:val="clear" w:color="auto" w:fill="auto"/>
            <w:vAlign w:val="center"/>
            <w:hideMark/>
          </w:tcPr>
          <w:p w14:paraId="776C1D3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434C87F9"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2BBBF87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(Ali-Sak et al. 2021)</w:t>
            </w:r>
          </w:p>
        </w:tc>
        <w:tc>
          <w:tcPr>
            <w:tcW w:w="1952" w:type="dxa"/>
            <w:tcBorders>
              <w:top w:val="nil"/>
              <w:left w:val="nil"/>
              <w:bottom w:val="dotted" w:sz="4" w:space="0" w:color="auto"/>
              <w:right w:val="nil"/>
            </w:tcBorders>
            <w:shd w:val="clear" w:color="000000" w:fill="F2F2F2"/>
            <w:vAlign w:val="center"/>
            <w:hideMark/>
          </w:tcPr>
          <w:p w14:paraId="6538C73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266 volunteers recruited from 4 different villages; the measurements were repeated for 72 of 266 children after pesticide application.</w:t>
            </w:r>
          </w:p>
        </w:tc>
        <w:tc>
          <w:tcPr>
            <w:tcW w:w="1496" w:type="dxa"/>
            <w:vMerge w:val="restart"/>
            <w:tcBorders>
              <w:top w:val="nil"/>
              <w:left w:val="nil"/>
              <w:bottom w:val="dotted" w:sz="4" w:space="0" w:color="000000"/>
              <w:right w:val="nil"/>
            </w:tcBorders>
            <w:shd w:val="clear" w:color="000000" w:fill="F2F2F2"/>
            <w:vAlign w:val="center"/>
            <w:hideMark/>
          </w:tcPr>
          <w:p w14:paraId="4E40B50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10</w:t>
            </w:r>
          </w:p>
        </w:tc>
        <w:tc>
          <w:tcPr>
            <w:tcW w:w="1339" w:type="dxa"/>
            <w:tcBorders>
              <w:top w:val="nil"/>
              <w:left w:val="nil"/>
              <w:bottom w:val="dotted" w:sz="4" w:space="0" w:color="auto"/>
              <w:right w:val="nil"/>
            </w:tcBorders>
            <w:shd w:val="clear" w:color="000000" w:fill="F2F2F2"/>
            <w:vAlign w:val="center"/>
            <w:hideMark/>
          </w:tcPr>
          <w:p w14:paraId="236E5C3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000000" w:fill="F2F2F2"/>
            <w:vAlign w:val="center"/>
            <w:hideMark/>
          </w:tcPr>
          <w:p w14:paraId="5BD3543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pDR-1500 cyclones (Personal DataRAM Pdr, Thermo Scientific, USA)</w:t>
            </w:r>
          </w:p>
        </w:tc>
        <w:tc>
          <w:tcPr>
            <w:tcW w:w="1701" w:type="dxa"/>
            <w:tcBorders>
              <w:top w:val="nil"/>
              <w:left w:val="nil"/>
              <w:bottom w:val="dotted" w:sz="4" w:space="0" w:color="auto"/>
              <w:right w:val="nil"/>
            </w:tcBorders>
            <w:shd w:val="clear" w:color="000000" w:fill="F2F2F2"/>
            <w:vAlign w:val="center"/>
            <w:hideMark/>
          </w:tcPr>
          <w:p w14:paraId="55526CF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000000" w:fill="F2F2F2"/>
            <w:vAlign w:val="center"/>
            <w:hideMark/>
          </w:tcPr>
          <w:p w14:paraId="562C09C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dotted" w:sz="4" w:space="0" w:color="auto"/>
              <w:right w:val="nil"/>
            </w:tcBorders>
            <w:shd w:val="clear" w:color="000000" w:fill="F2F2F2"/>
            <w:vAlign w:val="center"/>
            <w:hideMark/>
          </w:tcPr>
          <w:p w14:paraId="7280691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3659AD36" w14:textId="77777777" w:rsidTr="008D2218">
        <w:trPr>
          <w:trHeight w:val="216"/>
        </w:trPr>
        <w:tc>
          <w:tcPr>
            <w:tcW w:w="1876" w:type="dxa"/>
            <w:vMerge w:val="restart"/>
            <w:tcBorders>
              <w:top w:val="nil"/>
              <w:left w:val="nil"/>
              <w:bottom w:val="dotted" w:sz="4" w:space="0" w:color="000000"/>
              <w:right w:val="nil"/>
            </w:tcBorders>
            <w:shd w:val="clear" w:color="000000" w:fill="F2F2F2"/>
            <w:vAlign w:val="center"/>
            <w:hideMark/>
          </w:tcPr>
          <w:p w14:paraId="6A09359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(Campos-ramos and Arago 2009)</w:t>
            </w:r>
          </w:p>
        </w:tc>
        <w:tc>
          <w:tcPr>
            <w:tcW w:w="1952" w:type="dxa"/>
            <w:vMerge w:val="restart"/>
            <w:tcBorders>
              <w:top w:val="nil"/>
              <w:left w:val="nil"/>
              <w:bottom w:val="dotted" w:sz="4" w:space="0" w:color="000000"/>
              <w:right w:val="nil"/>
            </w:tcBorders>
            <w:shd w:val="clear" w:color="000000" w:fill="F2F2F2"/>
            <w:vAlign w:val="center"/>
            <w:hideMark/>
          </w:tcPr>
          <w:p w14:paraId="7E59F5C3" w14:textId="5404357F"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96 daily samples; </w:t>
            </w:r>
            <w:r w:rsidRPr="00E71630">
              <w:rPr>
                <w:rFonts w:ascii="Garamond" w:eastAsia="Times New Roman" w:hAnsi="Garamond" w:cs="Calibri"/>
                <w:color w:val="000000"/>
                <w:sz w:val="16"/>
                <w:szCs w:val="16"/>
                <w:lang w:eastAsia="en-GB"/>
              </w:rPr>
              <w:br/>
              <w:t xml:space="preserve">30 samples were randomly selected according to the </w:t>
            </w:r>
            <w:r w:rsidRPr="00E71630">
              <w:rPr>
                <w:rFonts w:ascii="Garamond" w:eastAsia="Times New Roman" w:hAnsi="Garamond" w:cs="Calibri"/>
                <w:color w:val="000000"/>
                <w:sz w:val="16"/>
                <w:szCs w:val="16"/>
                <w:lang w:eastAsia="en-GB"/>
              </w:rPr>
              <w:lastRenderedPageBreak/>
              <w:t>distribution of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3600 particles were analyzed by SEM-EDS.</w:t>
            </w:r>
          </w:p>
        </w:tc>
        <w:tc>
          <w:tcPr>
            <w:tcW w:w="1496" w:type="dxa"/>
            <w:vMerge/>
            <w:tcBorders>
              <w:top w:val="nil"/>
              <w:left w:val="nil"/>
              <w:bottom w:val="dotted" w:sz="4" w:space="0" w:color="000000"/>
              <w:right w:val="nil"/>
            </w:tcBorders>
            <w:vAlign w:val="center"/>
            <w:hideMark/>
          </w:tcPr>
          <w:p w14:paraId="5C36291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val="restart"/>
            <w:tcBorders>
              <w:top w:val="nil"/>
              <w:left w:val="nil"/>
              <w:bottom w:val="dotted" w:sz="4" w:space="0" w:color="000000"/>
              <w:right w:val="nil"/>
            </w:tcBorders>
            <w:shd w:val="clear" w:color="000000" w:fill="F2F2F2"/>
            <w:vAlign w:val="center"/>
            <w:hideMark/>
          </w:tcPr>
          <w:p w14:paraId="24D3E6F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vMerge w:val="restart"/>
            <w:tcBorders>
              <w:top w:val="nil"/>
              <w:left w:val="nil"/>
              <w:bottom w:val="dotted" w:sz="4" w:space="0" w:color="000000"/>
              <w:right w:val="nil"/>
            </w:tcBorders>
            <w:shd w:val="clear" w:color="000000" w:fill="F2F2F2"/>
            <w:vAlign w:val="center"/>
            <w:hideMark/>
          </w:tcPr>
          <w:p w14:paraId="7050A317" w14:textId="2AF748FA"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xml:space="preserve"> high</w:t>
            </w:r>
            <w:r w:rsidR="00A27A1E">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volume Andersen</w:t>
            </w:r>
          </w:p>
        </w:tc>
        <w:tc>
          <w:tcPr>
            <w:tcW w:w="1701" w:type="dxa"/>
            <w:vMerge w:val="restart"/>
            <w:tcBorders>
              <w:top w:val="nil"/>
              <w:left w:val="nil"/>
              <w:bottom w:val="dotted" w:sz="4" w:space="0" w:color="000000"/>
              <w:right w:val="nil"/>
            </w:tcBorders>
            <w:shd w:val="clear" w:color="000000" w:fill="F2F2F2"/>
            <w:vAlign w:val="center"/>
            <w:hideMark/>
          </w:tcPr>
          <w:p w14:paraId="608D91E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Quartz fiber filters</w:t>
            </w:r>
          </w:p>
        </w:tc>
        <w:tc>
          <w:tcPr>
            <w:tcW w:w="1817" w:type="dxa"/>
            <w:vMerge w:val="restart"/>
            <w:tcBorders>
              <w:top w:val="nil"/>
              <w:left w:val="nil"/>
              <w:bottom w:val="dotted" w:sz="4" w:space="0" w:color="000000"/>
              <w:right w:val="nil"/>
            </w:tcBorders>
            <w:shd w:val="clear" w:color="000000" w:fill="F2F2F2"/>
            <w:vAlign w:val="center"/>
            <w:hideMark/>
          </w:tcPr>
          <w:p w14:paraId="32224D9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24 h</w:t>
            </w:r>
          </w:p>
        </w:tc>
        <w:tc>
          <w:tcPr>
            <w:tcW w:w="1943" w:type="dxa"/>
            <w:tcBorders>
              <w:top w:val="nil"/>
              <w:left w:val="nil"/>
              <w:bottom w:val="nil"/>
              <w:right w:val="nil"/>
            </w:tcBorders>
            <w:shd w:val="clear" w:color="000000" w:fill="F2F2F2"/>
            <w:vAlign w:val="center"/>
            <w:hideMark/>
          </w:tcPr>
          <w:p w14:paraId="69066B9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SEM Phillips XL30 model coupled with EDS microanalysis EDAX DX4</w:t>
            </w:r>
          </w:p>
        </w:tc>
      </w:tr>
      <w:tr w:rsidR="008D2218" w:rsidRPr="00E71630" w14:paraId="44960828" w14:textId="77777777" w:rsidTr="008D2218">
        <w:trPr>
          <w:trHeight w:val="216"/>
        </w:trPr>
        <w:tc>
          <w:tcPr>
            <w:tcW w:w="1876" w:type="dxa"/>
            <w:vMerge/>
            <w:tcBorders>
              <w:top w:val="nil"/>
              <w:left w:val="nil"/>
              <w:bottom w:val="dotted" w:sz="4" w:space="0" w:color="000000"/>
              <w:right w:val="nil"/>
            </w:tcBorders>
            <w:vAlign w:val="center"/>
            <w:hideMark/>
          </w:tcPr>
          <w:p w14:paraId="2956BD0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7F9F335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1980D95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7F1D83BD"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nil"/>
              <w:left w:val="nil"/>
              <w:bottom w:val="dotted" w:sz="4" w:space="0" w:color="000000"/>
              <w:right w:val="nil"/>
            </w:tcBorders>
            <w:vAlign w:val="center"/>
            <w:hideMark/>
          </w:tcPr>
          <w:p w14:paraId="2A53D3E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nil"/>
              <w:left w:val="nil"/>
              <w:bottom w:val="dotted" w:sz="4" w:space="0" w:color="000000"/>
              <w:right w:val="nil"/>
            </w:tcBorders>
            <w:vAlign w:val="center"/>
            <w:hideMark/>
          </w:tcPr>
          <w:p w14:paraId="6CF55AFF"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1BB0E22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000000" w:fill="F2F2F2"/>
            <w:vAlign w:val="center"/>
            <w:hideMark/>
          </w:tcPr>
          <w:p w14:paraId="6BE17D6F" w14:textId="77777777" w:rsidR="008D2218" w:rsidRPr="00E71630" w:rsidRDefault="008D2218" w:rsidP="00E71630">
            <w:pPr>
              <w:spacing w:after="0" w:line="240" w:lineRule="auto"/>
              <w:rPr>
                <w:rFonts w:ascii="Calibri" w:eastAsia="Times New Roman" w:hAnsi="Calibri" w:cs="Calibri"/>
                <w:color w:val="000000"/>
                <w:sz w:val="16"/>
                <w:szCs w:val="16"/>
                <w:lang w:eastAsia="en-GB"/>
              </w:rPr>
            </w:pPr>
            <w:r w:rsidRPr="00E71630">
              <w:rPr>
                <w:rFonts w:ascii="Calibri" w:eastAsia="Times New Roman" w:hAnsi="Calibri" w:cs="Calibri"/>
                <w:color w:val="000000"/>
                <w:sz w:val="16"/>
                <w:szCs w:val="16"/>
                <w:lang w:eastAsia="en-GB"/>
              </w:rPr>
              <w:t> </w:t>
            </w:r>
          </w:p>
        </w:tc>
      </w:tr>
      <w:tr w:rsidR="008D2218" w:rsidRPr="00E71630" w14:paraId="3B288FF0" w14:textId="77777777" w:rsidTr="008D2218">
        <w:trPr>
          <w:trHeight w:val="216"/>
        </w:trPr>
        <w:tc>
          <w:tcPr>
            <w:tcW w:w="1876" w:type="dxa"/>
            <w:vMerge/>
            <w:tcBorders>
              <w:top w:val="nil"/>
              <w:left w:val="nil"/>
              <w:bottom w:val="dotted" w:sz="4" w:space="0" w:color="000000"/>
              <w:right w:val="nil"/>
            </w:tcBorders>
            <w:vAlign w:val="center"/>
            <w:hideMark/>
          </w:tcPr>
          <w:p w14:paraId="4AC3B1AF"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5084678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0284A7E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3629CDB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nil"/>
              <w:left w:val="nil"/>
              <w:bottom w:val="dotted" w:sz="4" w:space="0" w:color="000000"/>
              <w:right w:val="nil"/>
            </w:tcBorders>
            <w:vAlign w:val="center"/>
            <w:hideMark/>
          </w:tcPr>
          <w:p w14:paraId="7CC5B0EF"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nil"/>
              <w:left w:val="nil"/>
              <w:bottom w:val="dotted" w:sz="4" w:space="0" w:color="000000"/>
              <w:right w:val="nil"/>
            </w:tcBorders>
            <w:vAlign w:val="center"/>
            <w:hideMark/>
          </w:tcPr>
          <w:p w14:paraId="4721AE4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72285B9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000000" w:fill="F2F2F2"/>
            <w:vAlign w:val="center"/>
            <w:hideMark/>
          </w:tcPr>
          <w:p w14:paraId="114FBD94"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XRD (Rigaku D model MAX-2200 diffractometer)</w:t>
            </w:r>
          </w:p>
        </w:tc>
      </w:tr>
      <w:tr w:rsidR="008D2218" w:rsidRPr="00E71630" w14:paraId="3C0A3073" w14:textId="77777777" w:rsidTr="008D2218">
        <w:trPr>
          <w:trHeight w:val="216"/>
        </w:trPr>
        <w:tc>
          <w:tcPr>
            <w:tcW w:w="1876" w:type="dxa"/>
            <w:vMerge w:val="restart"/>
            <w:tcBorders>
              <w:top w:val="nil"/>
              <w:left w:val="nil"/>
              <w:bottom w:val="dotted" w:sz="4" w:space="0" w:color="000000"/>
              <w:right w:val="nil"/>
            </w:tcBorders>
            <w:shd w:val="clear" w:color="000000" w:fill="F2F2F2"/>
            <w:vAlign w:val="center"/>
            <w:hideMark/>
          </w:tcPr>
          <w:p w14:paraId="1E26B45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(Jimenez et al. 2006)</w:t>
            </w:r>
          </w:p>
        </w:tc>
        <w:tc>
          <w:tcPr>
            <w:tcW w:w="1952" w:type="dxa"/>
            <w:vMerge w:val="restart"/>
            <w:tcBorders>
              <w:top w:val="nil"/>
              <w:left w:val="nil"/>
              <w:bottom w:val="dotted" w:sz="4" w:space="0" w:color="000000"/>
              <w:right w:val="nil"/>
            </w:tcBorders>
            <w:shd w:val="clear" w:color="000000" w:fill="F2F2F2"/>
            <w:vAlign w:val="center"/>
            <w:hideMark/>
          </w:tcPr>
          <w:p w14:paraId="4DE24D3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2684 observations (TEOM-PM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w:t>
            </w:r>
          </w:p>
        </w:tc>
        <w:tc>
          <w:tcPr>
            <w:tcW w:w="1496" w:type="dxa"/>
            <w:vMerge/>
            <w:tcBorders>
              <w:top w:val="nil"/>
              <w:left w:val="nil"/>
              <w:bottom w:val="dotted" w:sz="4" w:space="0" w:color="000000"/>
              <w:right w:val="nil"/>
            </w:tcBorders>
            <w:vAlign w:val="center"/>
            <w:hideMark/>
          </w:tcPr>
          <w:p w14:paraId="7DBA2E3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val="restart"/>
            <w:tcBorders>
              <w:top w:val="nil"/>
              <w:left w:val="nil"/>
              <w:bottom w:val="dotted" w:sz="4" w:space="0" w:color="000000"/>
              <w:right w:val="nil"/>
            </w:tcBorders>
            <w:shd w:val="clear" w:color="000000" w:fill="F2F2F2"/>
            <w:vAlign w:val="center"/>
            <w:hideMark/>
          </w:tcPr>
          <w:p w14:paraId="6A8C0D5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nil"/>
              <w:right w:val="nil"/>
            </w:tcBorders>
            <w:shd w:val="clear" w:color="000000" w:fill="F2F2F2"/>
            <w:vAlign w:val="center"/>
            <w:hideMark/>
          </w:tcPr>
          <w:p w14:paraId="19E9555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TEOM monitors (Series 1400a, Thermo Electron Co)</w:t>
            </w:r>
          </w:p>
        </w:tc>
        <w:tc>
          <w:tcPr>
            <w:tcW w:w="1701" w:type="dxa"/>
            <w:vMerge w:val="restart"/>
            <w:tcBorders>
              <w:top w:val="nil"/>
              <w:left w:val="nil"/>
              <w:bottom w:val="dotted" w:sz="4" w:space="0" w:color="000000"/>
              <w:right w:val="nil"/>
            </w:tcBorders>
            <w:shd w:val="clear" w:color="000000" w:fill="F2F2F2"/>
            <w:vAlign w:val="center"/>
            <w:hideMark/>
          </w:tcPr>
          <w:p w14:paraId="277CD3E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vMerge w:val="restart"/>
            <w:tcBorders>
              <w:top w:val="nil"/>
              <w:left w:val="nil"/>
              <w:bottom w:val="dotted" w:sz="4" w:space="0" w:color="000000"/>
              <w:right w:val="nil"/>
            </w:tcBorders>
            <w:shd w:val="clear" w:color="000000" w:fill="F2F2F2"/>
            <w:vAlign w:val="center"/>
            <w:hideMark/>
          </w:tcPr>
          <w:p w14:paraId="7ADA668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30 min; 10 min; 12 h</w:t>
            </w:r>
          </w:p>
        </w:tc>
        <w:tc>
          <w:tcPr>
            <w:tcW w:w="1943" w:type="dxa"/>
            <w:vMerge w:val="restart"/>
            <w:tcBorders>
              <w:top w:val="dotted" w:sz="4" w:space="0" w:color="auto"/>
              <w:left w:val="nil"/>
              <w:bottom w:val="dotted" w:sz="4" w:space="0" w:color="000000"/>
              <w:right w:val="nil"/>
            </w:tcBorders>
            <w:shd w:val="clear" w:color="000000" w:fill="F2F2F2"/>
            <w:vAlign w:val="center"/>
            <w:hideMark/>
          </w:tcPr>
          <w:p w14:paraId="279C8E4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01EE91DD" w14:textId="77777777" w:rsidTr="008D2218">
        <w:trPr>
          <w:trHeight w:val="216"/>
        </w:trPr>
        <w:tc>
          <w:tcPr>
            <w:tcW w:w="1876" w:type="dxa"/>
            <w:vMerge/>
            <w:tcBorders>
              <w:top w:val="nil"/>
              <w:left w:val="nil"/>
              <w:bottom w:val="dotted" w:sz="4" w:space="0" w:color="000000"/>
              <w:right w:val="nil"/>
            </w:tcBorders>
            <w:vAlign w:val="center"/>
            <w:hideMark/>
          </w:tcPr>
          <w:p w14:paraId="6DF187A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65ED6C9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606B470D"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0E919D0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tcBorders>
              <w:top w:val="nil"/>
              <w:left w:val="nil"/>
              <w:bottom w:val="nil"/>
              <w:right w:val="nil"/>
            </w:tcBorders>
            <w:shd w:val="clear" w:color="000000" w:fill="F2F2F2"/>
            <w:vAlign w:val="center"/>
            <w:hideMark/>
          </w:tcPr>
          <w:p w14:paraId="0342178C" w14:textId="77777777" w:rsidR="008D2218" w:rsidRPr="00E71630" w:rsidRDefault="008D2218" w:rsidP="00E71630">
            <w:pPr>
              <w:spacing w:after="0" w:line="240" w:lineRule="auto"/>
              <w:jc w:val="both"/>
              <w:rPr>
                <w:rFonts w:ascii="Calibri" w:eastAsia="Times New Roman" w:hAnsi="Calibri" w:cs="Calibri"/>
                <w:color w:val="000000"/>
                <w:sz w:val="16"/>
                <w:szCs w:val="16"/>
                <w:lang w:eastAsia="en-GB"/>
              </w:rPr>
            </w:pPr>
            <w:r w:rsidRPr="00E71630">
              <w:rPr>
                <w:rFonts w:ascii="Calibri" w:eastAsia="Times New Roman" w:hAnsi="Calibri" w:cs="Calibri"/>
                <w:color w:val="000000"/>
                <w:sz w:val="16"/>
                <w:szCs w:val="16"/>
                <w:lang w:eastAsia="en-GB"/>
              </w:rPr>
              <w:t> </w:t>
            </w:r>
          </w:p>
        </w:tc>
        <w:tc>
          <w:tcPr>
            <w:tcW w:w="1701" w:type="dxa"/>
            <w:vMerge/>
            <w:tcBorders>
              <w:top w:val="nil"/>
              <w:left w:val="nil"/>
              <w:bottom w:val="dotted" w:sz="4" w:space="0" w:color="000000"/>
              <w:right w:val="nil"/>
            </w:tcBorders>
            <w:vAlign w:val="center"/>
            <w:hideMark/>
          </w:tcPr>
          <w:p w14:paraId="198E0EF5"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79E0903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vMerge/>
            <w:tcBorders>
              <w:top w:val="dotted" w:sz="4" w:space="0" w:color="auto"/>
              <w:left w:val="nil"/>
              <w:bottom w:val="dotted" w:sz="4" w:space="0" w:color="000000"/>
              <w:right w:val="nil"/>
            </w:tcBorders>
            <w:vAlign w:val="center"/>
            <w:hideMark/>
          </w:tcPr>
          <w:p w14:paraId="37097C3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r>
      <w:tr w:rsidR="008D2218" w:rsidRPr="00E71630" w14:paraId="1149C036" w14:textId="77777777" w:rsidTr="008D2218">
        <w:trPr>
          <w:trHeight w:val="216"/>
        </w:trPr>
        <w:tc>
          <w:tcPr>
            <w:tcW w:w="1876" w:type="dxa"/>
            <w:vMerge/>
            <w:tcBorders>
              <w:top w:val="nil"/>
              <w:left w:val="nil"/>
              <w:bottom w:val="dotted" w:sz="4" w:space="0" w:color="000000"/>
              <w:right w:val="nil"/>
            </w:tcBorders>
            <w:vAlign w:val="center"/>
            <w:hideMark/>
          </w:tcPr>
          <w:p w14:paraId="385E7CE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1BE9F3C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7938CAB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12C5B0A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tcBorders>
              <w:top w:val="nil"/>
              <w:left w:val="nil"/>
              <w:bottom w:val="dotted" w:sz="4" w:space="0" w:color="auto"/>
              <w:right w:val="nil"/>
            </w:tcBorders>
            <w:shd w:val="clear" w:color="000000" w:fill="F2F2F2"/>
            <w:vAlign w:val="center"/>
            <w:hideMark/>
          </w:tcPr>
          <w:p w14:paraId="4516354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Light scattering nephelometer (M903, Radiance Research, Seattle, WA)</w:t>
            </w:r>
          </w:p>
        </w:tc>
        <w:tc>
          <w:tcPr>
            <w:tcW w:w="1701" w:type="dxa"/>
            <w:vMerge/>
            <w:tcBorders>
              <w:top w:val="nil"/>
              <w:left w:val="nil"/>
              <w:bottom w:val="dotted" w:sz="4" w:space="0" w:color="000000"/>
              <w:right w:val="nil"/>
            </w:tcBorders>
            <w:vAlign w:val="center"/>
            <w:hideMark/>
          </w:tcPr>
          <w:p w14:paraId="0005E8D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7DC32F7D"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vMerge/>
            <w:tcBorders>
              <w:top w:val="dotted" w:sz="4" w:space="0" w:color="auto"/>
              <w:left w:val="nil"/>
              <w:bottom w:val="dotted" w:sz="4" w:space="0" w:color="000000"/>
              <w:right w:val="nil"/>
            </w:tcBorders>
            <w:vAlign w:val="center"/>
            <w:hideMark/>
          </w:tcPr>
          <w:p w14:paraId="4401BA0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r>
      <w:tr w:rsidR="008D2218" w:rsidRPr="00E71630" w14:paraId="4E2A4345" w14:textId="77777777" w:rsidTr="008D2218">
        <w:trPr>
          <w:trHeight w:val="216"/>
        </w:trPr>
        <w:tc>
          <w:tcPr>
            <w:tcW w:w="1876" w:type="dxa"/>
            <w:vMerge w:val="restart"/>
            <w:tcBorders>
              <w:top w:val="nil"/>
              <w:left w:val="nil"/>
              <w:bottom w:val="dotted" w:sz="4" w:space="0" w:color="000000"/>
              <w:right w:val="nil"/>
            </w:tcBorders>
            <w:shd w:val="clear" w:color="000000" w:fill="F2F2F2"/>
            <w:vAlign w:val="center"/>
            <w:hideMark/>
          </w:tcPr>
          <w:p w14:paraId="555F972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(Le Blond et al. 2017)</w:t>
            </w:r>
          </w:p>
        </w:tc>
        <w:tc>
          <w:tcPr>
            <w:tcW w:w="1952" w:type="dxa"/>
            <w:vMerge w:val="restart"/>
            <w:tcBorders>
              <w:top w:val="nil"/>
              <w:left w:val="nil"/>
              <w:bottom w:val="dotted" w:sz="4" w:space="0" w:color="000000"/>
              <w:right w:val="nil"/>
            </w:tcBorders>
            <w:shd w:val="clear" w:color="000000" w:fill="F2F2F2"/>
            <w:vAlign w:val="center"/>
            <w:hideMark/>
          </w:tcPr>
          <w:p w14:paraId="4F36B49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vMerge/>
            <w:tcBorders>
              <w:top w:val="nil"/>
              <w:left w:val="nil"/>
              <w:bottom w:val="dotted" w:sz="4" w:space="0" w:color="000000"/>
              <w:right w:val="nil"/>
            </w:tcBorders>
            <w:vAlign w:val="center"/>
            <w:hideMark/>
          </w:tcPr>
          <w:p w14:paraId="00BA131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val="restart"/>
            <w:tcBorders>
              <w:top w:val="nil"/>
              <w:left w:val="nil"/>
              <w:bottom w:val="dotted" w:sz="4" w:space="0" w:color="000000"/>
              <w:right w:val="nil"/>
            </w:tcBorders>
            <w:shd w:val="clear" w:color="000000" w:fill="F2F2F2"/>
            <w:vAlign w:val="center"/>
            <w:hideMark/>
          </w:tcPr>
          <w:p w14:paraId="7D7C23B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 + P</w:t>
            </w:r>
          </w:p>
        </w:tc>
        <w:tc>
          <w:tcPr>
            <w:tcW w:w="2524" w:type="dxa"/>
            <w:tcBorders>
              <w:top w:val="nil"/>
              <w:left w:val="nil"/>
              <w:bottom w:val="nil"/>
              <w:right w:val="nil"/>
            </w:tcBorders>
            <w:shd w:val="clear" w:color="000000" w:fill="F2F2F2"/>
            <w:vAlign w:val="center"/>
            <w:hideMark/>
          </w:tcPr>
          <w:p w14:paraId="1E72F7B4" w14:textId="77777777" w:rsidR="008D2218" w:rsidRPr="00E71630" w:rsidRDefault="008D2218" w:rsidP="00E71630">
            <w:pPr>
              <w:spacing w:after="0" w:line="240" w:lineRule="auto"/>
              <w:jc w:val="both"/>
              <w:rPr>
                <w:rFonts w:ascii="Garamond" w:eastAsia="Times New Roman" w:hAnsi="Garamond" w:cs="Calibri"/>
                <w:color w:val="000000"/>
                <w:sz w:val="16"/>
                <w:szCs w:val="16"/>
                <w:lang w:val="it-IT" w:eastAsia="en-GB"/>
              </w:rPr>
            </w:pPr>
            <w:r w:rsidRPr="00E71630">
              <w:rPr>
                <w:rFonts w:ascii="Garamond" w:eastAsia="Times New Roman" w:hAnsi="Garamond" w:cs="Calibri"/>
                <w:color w:val="000000"/>
                <w:sz w:val="16"/>
                <w:szCs w:val="16"/>
                <w:lang w:val="it-IT" w:eastAsia="en-GB"/>
              </w:rPr>
              <w:t xml:space="preserve">DustTrak™ aerosol monitor (Model 8520, TSI Inc.) </w:t>
            </w:r>
          </w:p>
        </w:tc>
        <w:tc>
          <w:tcPr>
            <w:tcW w:w="1701" w:type="dxa"/>
            <w:vMerge w:val="restart"/>
            <w:tcBorders>
              <w:top w:val="nil"/>
              <w:left w:val="nil"/>
              <w:bottom w:val="dotted" w:sz="4" w:space="0" w:color="000000"/>
              <w:right w:val="nil"/>
            </w:tcBorders>
            <w:shd w:val="clear" w:color="000000" w:fill="F2F2F2"/>
            <w:vAlign w:val="center"/>
            <w:hideMark/>
          </w:tcPr>
          <w:p w14:paraId="3B9579B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Polycarbonate impaction filters (Millipore Isopore™ polycarbonate filters, 25 mm diameter, 0.4 mm pore size)</w:t>
            </w:r>
          </w:p>
        </w:tc>
        <w:tc>
          <w:tcPr>
            <w:tcW w:w="1817" w:type="dxa"/>
            <w:vMerge w:val="restart"/>
            <w:tcBorders>
              <w:top w:val="nil"/>
              <w:left w:val="nil"/>
              <w:bottom w:val="dotted" w:sz="4" w:space="0" w:color="000000"/>
              <w:right w:val="nil"/>
            </w:tcBorders>
            <w:shd w:val="clear" w:color="000000" w:fill="F2F2F2"/>
            <w:vAlign w:val="center"/>
            <w:hideMark/>
          </w:tcPr>
          <w:p w14:paraId="706AA28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 min</w:t>
            </w:r>
          </w:p>
        </w:tc>
        <w:tc>
          <w:tcPr>
            <w:tcW w:w="1943" w:type="dxa"/>
            <w:vMerge w:val="restart"/>
            <w:tcBorders>
              <w:top w:val="nil"/>
              <w:left w:val="nil"/>
              <w:bottom w:val="dotted" w:sz="4" w:space="0" w:color="000000"/>
              <w:right w:val="nil"/>
            </w:tcBorders>
            <w:shd w:val="clear" w:color="000000" w:fill="F2F2F2"/>
            <w:vAlign w:val="center"/>
            <w:hideMark/>
          </w:tcPr>
          <w:p w14:paraId="45EA722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The elemental composition and morphology of the airborne PM were investigated in a LEO VP1455 SEM with X-ray elemental analysis (Oxford INCA system), in high vacuum mode and backscattered electron (BSE) mode. Images were taken on a Philips FEG SEM in secondary electron mode (WD ¼ 8 mm, EHT 10 kV)</w:t>
            </w:r>
          </w:p>
        </w:tc>
      </w:tr>
      <w:tr w:rsidR="008D2218" w:rsidRPr="00E71630" w14:paraId="66CBBAC4" w14:textId="77777777" w:rsidTr="008D2218">
        <w:trPr>
          <w:trHeight w:val="216"/>
        </w:trPr>
        <w:tc>
          <w:tcPr>
            <w:tcW w:w="1876" w:type="dxa"/>
            <w:vMerge/>
            <w:tcBorders>
              <w:top w:val="nil"/>
              <w:left w:val="nil"/>
              <w:bottom w:val="dotted" w:sz="4" w:space="0" w:color="000000"/>
              <w:right w:val="nil"/>
            </w:tcBorders>
            <w:vAlign w:val="center"/>
            <w:hideMark/>
          </w:tcPr>
          <w:p w14:paraId="466386A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7330C32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30BB81E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2472CFB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tcBorders>
              <w:top w:val="nil"/>
              <w:left w:val="nil"/>
              <w:bottom w:val="nil"/>
              <w:right w:val="nil"/>
            </w:tcBorders>
            <w:shd w:val="clear" w:color="000000" w:fill="F2F2F2"/>
            <w:vAlign w:val="center"/>
            <w:hideMark/>
          </w:tcPr>
          <w:p w14:paraId="63964DD4" w14:textId="77777777" w:rsidR="008D2218" w:rsidRPr="00E71630" w:rsidRDefault="008D2218" w:rsidP="00E71630">
            <w:pPr>
              <w:spacing w:after="0" w:line="240" w:lineRule="auto"/>
              <w:jc w:val="both"/>
              <w:rPr>
                <w:rFonts w:ascii="Calibri" w:eastAsia="Times New Roman" w:hAnsi="Calibri" w:cs="Calibri"/>
                <w:color w:val="000000"/>
                <w:sz w:val="16"/>
                <w:szCs w:val="16"/>
                <w:lang w:eastAsia="en-GB"/>
              </w:rPr>
            </w:pPr>
            <w:r w:rsidRPr="00E71630">
              <w:rPr>
                <w:rFonts w:ascii="Calibri" w:eastAsia="Times New Roman" w:hAnsi="Calibri" w:cs="Calibri"/>
                <w:color w:val="000000"/>
                <w:sz w:val="16"/>
                <w:szCs w:val="16"/>
                <w:lang w:eastAsia="en-GB"/>
              </w:rPr>
              <w:t> </w:t>
            </w:r>
          </w:p>
        </w:tc>
        <w:tc>
          <w:tcPr>
            <w:tcW w:w="1701" w:type="dxa"/>
            <w:vMerge/>
            <w:tcBorders>
              <w:top w:val="nil"/>
              <w:left w:val="nil"/>
              <w:bottom w:val="dotted" w:sz="4" w:space="0" w:color="000000"/>
              <w:right w:val="nil"/>
            </w:tcBorders>
            <w:vAlign w:val="center"/>
            <w:hideMark/>
          </w:tcPr>
          <w:p w14:paraId="1834B561"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391F0B4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vMerge/>
            <w:tcBorders>
              <w:top w:val="nil"/>
              <w:left w:val="nil"/>
              <w:bottom w:val="dotted" w:sz="4" w:space="0" w:color="000000"/>
              <w:right w:val="nil"/>
            </w:tcBorders>
            <w:vAlign w:val="center"/>
            <w:hideMark/>
          </w:tcPr>
          <w:p w14:paraId="77006FB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r>
      <w:tr w:rsidR="008D2218" w:rsidRPr="00E71630" w14:paraId="4A8E2DD2" w14:textId="77777777" w:rsidTr="008D2218">
        <w:trPr>
          <w:trHeight w:val="216"/>
        </w:trPr>
        <w:tc>
          <w:tcPr>
            <w:tcW w:w="1876" w:type="dxa"/>
            <w:vMerge/>
            <w:tcBorders>
              <w:top w:val="nil"/>
              <w:left w:val="nil"/>
              <w:bottom w:val="dotted" w:sz="4" w:space="0" w:color="000000"/>
              <w:right w:val="nil"/>
            </w:tcBorders>
            <w:vAlign w:val="center"/>
            <w:hideMark/>
          </w:tcPr>
          <w:p w14:paraId="30C8DD0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24D417A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779B5D4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1E55FB7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tcBorders>
              <w:top w:val="nil"/>
              <w:left w:val="nil"/>
              <w:bottom w:val="dotted" w:sz="4" w:space="0" w:color="auto"/>
              <w:right w:val="nil"/>
            </w:tcBorders>
            <w:shd w:val="clear" w:color="000000" w:fill="F2F2F2"/>
            <w:vAlign w:val="center"/>
            <w:hideMark/>
          </w:tcPr>
          <w:p w14:paraId="639D683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Sioutas cascade impactor</w:t>
            </w:r>
          </w:p>
        </w:tc>
        <w:tc>
          <w:tcPr>
            <w:tcW w:w="1701" w:type="dxa"/>
            <w:vMerge/>
            <w:tcBorders>
              <w:top w:val="nil"/>
              <w:left w:val="nil"/>
              <w:bottom w:val="dotted" w:sz="4" w:space="0" w:color="000000"/>
              <w:right w:val="nil"/>
            </w:tcBorders>
            <w:vAlign w:val="center"/>
            <w:hideMark/>
          </w:tcPr>
          <w:p w14:paraId="28B4BBB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3892F16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vMerge/>
            <w:tcBorders>
              <w:top w:val="nil"/>
              <w:left w:val="nil"/>
              <w:bottom w:val="dotted" w:sz="4" w:space="0" w:color="000000"/>
              <w:right w:val="nil"/>
            </w:tcBorders>
            <w:vAlign w:val="center"/>
            <w:hideMark/>
          </w:tcPr>
          <w:p w14:paraId="784357D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r>
      <w:tr w:rsidR="008D2218" w:rsidRPr="00E71630" w14:paraId="3F070E37"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4B80B33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(Maesano et al. 2019)</w:t>
            </w:r>
          </w:p>
        </w:tc>
        <w:tc>
          <w:tcPr>
            <w:tcW w:w="1952" w:type="dxa"/>
            <w:tcBorders>
              <w:top w:val="nil"/>
              <w:left w:val="nil"/>
              <w:bottom w:val="dotted" w:sz="4" w:space="0" w:color="auto"/>
              <w:right w:val="nil"/>
            </w:tcBorders>
            <w:shd w:val="clear" w:color="000000" w:fill="F2F2F2"/>
            <w:vAlign w:val="center"/>
            <w:hideMark/>
          </w:tcPr>
          <w:p w14:paraId="236854B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109 French farmers.</w:t>
            </w:r>
          </w:p>
        </w:tc>
        <w:tc>
          <w:tcPr>
            <w:tcW w:w="1496" w:type="dxa"/>
            <w:vMerge/>
            <w:tcBorders>
              <w:top w:val="nil"/>
              <w:left w:val="nil"/>
              <w:bottom w:val="dotted" w:sz="4" w:space="0" w:color="000000"/>
              <w:right w:val="nil"/>
            </w:tcBorders>
            <w:vAlign w:val="center"/>
            <w:hideMark/>
          </w:tcPr>
          <w:p w14:paraId="7485F2F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dotted" w:sz="4" w:space="0" w:color="auto"/>
              <w:right w:val="nil"/>
            </w:tcBorders>
            <w:shd w:val="clear" w:color="000000" w:fill="F2F2F2"/>
            <w:vAlign w:val="center"/>
            <w:hideMark/>
          </w:tcPr>
          <w:p w14:paraId="51C7312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000000" w:fill="F2F2F2"/>
            <w:vAlign w:val="center"/>
            <w:hideMark/>
          </w:tcPr>
          <w:p w14:paraId="61B5277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AEROCET 531S</w:t>
            </w:r>
          </w:p>
        </w:tc>
        <w:tc>
          <w:tcPr>
            <w:tcW w:w="1701" w:type="dxa"/>
            <w:tcBorders>
              <w:top w:val="nil"/>
              <w:left w:val="nil"/>
              <w:bottom w:val="dotted" w:sz="4" w:space="0" w:color="auto"/>
              <w:right w:val="nil"/>
            </w:tcBorders>
            <w:shd w:val="clear" w:color="000000" w:fill="F2F2F2"/>
            <w:vAlign w:val="center"/>
            <w:hideMark/>
          </w:tcPr>
          <w:p w14:paraId="7DB8D87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000000" w:fill="F2F2F2"/>
            <w:vAlign w:val="center"/>
            <w:hideMark/>
          </w:tcPr>
          <w:p w14:paraId="37549F2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 min</w:t>
            </w:r>
          </w:p>
        </w:tc>
        <w:tc>
          <w:tcPr>
            <w:tcW w:w="1943" w:type="dxa"/>
            <w:tcBorders>
              <w:top w:val="nil"/>
              <w:left w:val="nil"/>
              <w:bottom w:val="dotted" w:sz="4" w:space="0" w:color="auto"/>
              <w:right w:val="nil"/>
            </w:tcBorders>
            <w:shd w:val="clear" w:color="000000" w:fill="F2F2F2"/>
            <w:vAlign w:val="center"/>
            <w:hideMark/>
          </w:tcPr>
          <w:p w14:paraId="446A59E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71F5324D"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0CB9290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(Pavilonis et al. 2013)</w:t>
            </w:r>
          </w:p>
        </w:tc>
        <w:tc>
          <w:tcPr>
            <w:tcW w:w="1952" w:type="dxa"/>
            <w:tcBorders>
              <w:top w:val="nil"/>
              <w:left w:val="nil"/>
              <w:bottom w:val="dotted" w:sz="4" w:space="0" w:color="auto"/>
              <w:right w:val="nil"/>
            </w:tcBorders>
            <w:shd w:val="clear" w:color="000000" w:fill="F2F2F2"/>
            <w:vAlign w:val="center"/>
            <w:hideMark/>
          </w:tcPr>
          <w:p w14:paraId="3667AB3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197 rural households.</w:t>
            </w:r>
          </w:p>
        </w:tc>
        <w:tc>
          <w:tcPr>
            <w:tcW w:w="1496" w:type="dxa"/>
            <w:vMerge/>
            <w:tcBorders>
              <w:top w:val="nil"/>
              <w:left w:val="nil"/>
              <w:bottom w:val="dotted" w:sz="4" w:space="0" w:color="000000"/>
              <w:right w:val="nil"/>
            </w:tcBorders>
            <w:vAlign w:val="center"/>
            <w:hideMark/>
          </w:tcPr>
          <w:p w14:paraId="422117C1"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dotted" w:sz="4" w:space="0" w:color="auto"/>
              <w:right w:val="nil"/>
            </w:tcBorders>
            <w:shd w:val="clear" w:color="000000" w:fill="F2F2F2"/>
            <w:vAlign w:val="center"/>
            <w:hideMark/>
          </w:tcPr>
          <w:p w14:paraId="0A9923B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000000" w:fill="F2F2F2"/>
            <w:vAlign w:val="center"/>
            <w:hideMark/>
          </w:tcPr>
          <w:p w14:paraId="2FFC5D8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Personal Environmental Monitors (SKC, Eighty Four, PA)</w:t>
            </w:r>
          </w:p>
        </w:tc>
        <w:tc>
          <w:tcPr>
            <w:tcW w:w="1701" w:type="dxa"/>
            <w:tcBorders>
              <w:top w:val="nil"/>
              <w:left w:val="nil"/>
              <w:bottom w:val="dotted" w:sz="4" w:space="0" w:color="auto"/>
              <w:right w:val="nil"/>
            </w:tcBorders>
            <w:shd w:val="clear" w:color="000000" w:fill="F2F2F2"/>
            <w:vAlign w:val="center"/>
            <w:hideMark/>
          </w:tcPr>
          <w:p w14:paraId="7F9CDE6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37 mm polytetrafluoroethylene filters with a 0.8-mm pore size (Pall Corporation, Ann Arbor, MI)</w:t>
            </w:r>
          </w:p>
        </w:tc>
        <w:tc>
          <w:tcPr>
            <w:tcW w:w="1817" w:type="dxa"/>
            <w:tcBorders>
              <w:top w:val="nil"/>
              <w:left w:val="nil"/>
              <w:bottom w:val="dotted" w:sz="4" w:space="0" w:color="auto"/>
              <w:right w:val="nil"/>
            </w:tcBorders>
            <w:shd w:val="clear" w:color="000000" w:fill="F2F2F2"/>
            <w:vAlign w:val="center"/>
            <w:hideMark/>
          </w:tcPr>
          <w:p w14:paraId="400D17D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30 min</w:t>
            </w:r>
          </w:p>
        </w:tc>
        <w:tc>
          <w:tcPr>
            <w:tcW w:w="1943" w:type="dxa"/>
            <w:tcBorders>
              <w:top w:val="nil"/>
              <w:left w:val="nil"/>
              <w:bottom w:val="dotted" w:sz="4" w:space="0" w:color="auto"/>
              <w:right w:val="nil"/>
            </w:tcBorders>
            <w:shd w:val="clear" w:color="000000" w:fill="F2F2F2"/>
            <w:vAlign w:val="center"/>
            <w:hideMark/>
          </w:tcPr>
          <w:p w14:paraId="515982A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1F67DDC8" w14:textId="77777777" w:rsidTr="008D2218">
        <w:trPr>
          <w:trHeight w:val="216"/>
        </w:trPr>
        <w:tc>
          <w:tcPr>
            <w:tcW w:w="1876" w:type="dxa"/>
            <w:vMerge w:val="restart"/>
            <w:tcBorders>
              <w:top w:val="nil"/>
              <w:left w:val="nil"/>
              <w:bottom w:val="dotted" w:sz="4" w:space="0" w:color="000000"/>
              <w:right w:val="nil"/>
            </w:tcBorders>
            <w:shd w:val="clear" w:color="000000" w:fill="F2F2F2"/>
            <w:vAlign w:val="center"/>
            <w:hideMark/>
          </w:tcPr>
          <w:p w14:paraId="6697AFAD" w14:textId="403F225A" w:rsidR="008D2218" w:rsidRPr="00E71630" w:rsidRDefault="00D66B3D" w:rsidP="00E71630">
            <w:pPr>
              <w:spacing w:after="0" w:line="240" w:lineRule="auto"/>
              <w:jc w:val="both"/>
              <w:rPr>
                <w:rFonts w:ascii="Garamond" w:eastAsia="Times New Roman" w:hAnsi="Garamond" w:cs="Calibri"/>
                <w:color w:val="000000"/>
                <w:sz w:val="16"/>
                <w:szCs w:val="16"/>
                <w:lang w:eastAsia="en-GB"/>
              </w:rPr>
            </w:pPr>
            <w:r>
              <w:rPr>
                <w:rFonts w:ascii="Garamond" w:eastAsia="Times New Roman" w:hAnsi="Garamond" w:cs="Calibri"/>
                <w:noProof/>
                <w:color w:val="000000"/>
                <w:sz w:val="16"/>
                <w:szCs w:val="16"/>
                <w:lang w:eastAsia="en-GB"/>
              </w:rPr>
              <w:fldChar w:fldCharType="begin" w:fldLock="1"/>
            </w:r>
            <w:r w:rsidR="00A84515">
              <w:rPr>
                <w:rFonts w:ascii="Garamond" w:eastAsia="Times New Roman" w:hAnsi="Garamond" w:cs="Calibri"/>
                <w:noProof/>
                <w:color w:val="000000"/>
                <w:sz w:val="16"/>
                <w:szCs w:val="16"/>
                <w:lang w:eastAsia="en-GB"/>
              </w:rPr>
              <w:instrText>ADDIN CSL_CITATION {"citationItems":[{"id":"ITEM-1","itemData":{"DOI":"10.1016/j.atmosres.2006.09.007","author":[{"dropping-particle":"","family":"Ryu","given":"S Y","non-dropping-particle":"","parse-names":false,"suffix":""},{"dropping-particle":"","family":"Kwon","given":"B G","non-dropping-particle":"","parse-names":false,"suffix":""},{"dropping-particle":"","family":"Kim","given":"Y J","non-dropping-particle":"","parse-names":false,"suffix":""},{"dropping-particle":"","family":"Kim","given":"H H","non-dropping-particle":"","parse-names":false,"suffix":""},{"dropping-particle":"","family":"Chun","given":"K J","non-dropping-particle":"","parse-names":false,"suffix":""}],"id":"ITEM-1","issued":{"date-parts":[["2007"]]},"page":"362-373","title":"Characteristics of biomass burning aerosol and its impact on regional air quality in the summer of 2003 at Gwangju , Korea","type":"article-journal","volume":"84"},"uris":["http://www.mendeley.com/documents/?uuid=6968a748-e18b-42f3-80ad-282ed94a43a6"]}],"mendeley":{"formattedCitation":"(Ryu et al. 2007)","plainTextFormattedCitation":"(Ryu et al. 2007)","previouslyFormattedCitation":"(Ryu et al. 2007)"},"properties":{"noteIndex":0},"schema":"https://github.com/citation-style-language/schema/raw/master/csl-citation.json"}</w:instrText>
            </w:r>
            <w:r>
              <w:rPr>
                <w:rFonts w:ascii="Garamond" w:eastAsia="Times New Roman" w:hAnsi="Garamond" w:cs="Calibri"/>
                <w:noProof/>
                <w:color w:val="000000"/>
                <w:sz w:val="16"/>
                <w:szCs w:val="16"/>
                <w:lang w:eastAsia="en-GB"/>
              </w:rPr>
              <w:fldChar w:fldCharType="separate"/>
            </w:r>
            <w:r w:rsidRPr="00D66B3D">
              <w:rPr>
                <w:rFonts w:ascii="Garamond" w:eastAsia="Times New Roman" w:hAnsi="Garamond" w:cs="Calibri"/>
                <w:noProof/>
                <w:color w:val="000000"/>
                <w:sz w:val="16"/>
                <w:szCs w:val="16"/>
                <w:lang w:eastAsia="en-GB"/>
              </w:rPr>
              <w:t>(Ryu et al. 2007)</w:t>
            </w:r>
            <w:r>
              <w:rPr>
                <w:rFonts w:ascii="Garamond" w:eastAsia="Times New Roman" w:hAnsi="Garamond" w:cs="Calibri"/>
                <w:noProof/>
                <w:color w:val="000000"/>
                <w:sz w:val="16"/>
                <w:szCs w:val="16"/>
                <w:lang w:eastAsia="en-GB"/>
              </w:rPr>
              <w:fldChar w:fldCharType="end"/>
            </w:r>
          </w:p>
        </w:tc>
        <w:tc>
          <w:tcPr>
            <w:tcW w:w="1952" w:type="dxa"/>
            <w:vMerge w:val="restart"/>
            <w:tcBorders>
              <w:top w:val="nil"/>
              <w:left w:val="nil"/>
              <w:bottom w:val="dotted" w:sz="4" w:space="0" w:color="000000"/>
              <w:right w:val="nil"/>
            </w:tcBorders>
            <w:shd w:val="clear" w:color="000000" w:fill="F2F2F2"/>
            <w:vAlign w:val="center"/>
            <w:hideMark/>
          </w:tcPr>
          <w:p w14:paraId="643B7BD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26 samples.</w:t>
            </w:r>
          </w:p>
        </w:tc>
        <w:tc>
          <w:tcPr>
            <w:tcW w:w="1496" w:type="dxa"/>
            <w:vMerge/>
            <w:tcBorders>
              <w:top w:val="nil"/>
              <w:left w:val="nil"/>
              <w:bottom w:val="dotted" w:sz="4" w:space="0" w:color="000000"/>
              <w:right w:val="nil"/>
            </w:tcBorders>
            <w:vAlign w:val="center"/>
            <w:hideMark/>
          </w:tcPr>
          <w:p w14:paraId="590B4BA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val="restart"/>
            <w:tcBorders>
              <w:top w:val="nil"/>
              <w:left w:val="nil"/>
              <w:bottom w:val="dotted" w:sz="4" w:space="0" w:color="000000"/>
              <w:right w:val="nil"/>
            </w:tcBorders>
            <w:shd w:val="clear" w:color="000000" w:fill="F2F2F2"/>
            <w:vAlign w:val="center"/>
            <w:hideMark/>
          </w:tcPr>
          <w:p w14:paraId="2161863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vMerge w:val="restart"/>
            <w:tcBorders>
              <w:top w:val="nil"/>
              <w:left w:val="nil"/>
              <w:bottom w:val="dotted" w:sz="4" w:space="0" w:color="000000"/>
              <w:right w:val="nil"/>
            </w:tcBorders>
            <w:shd w:val="clear" w:color="000000" w:fill="F2F2F2"/>
            <w:vAlign w:val="center"/>
            <w:hideMark/>
          </w:tcPr>
          <w:p w14:paraId="3566588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URG Versatile Air Pollutant Sampler (VAPS, URG-3000K) with a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xml:space="preserve"> cyclone inlet and a Dichotomous PM10 sampler (ASI/GMW series 241)</w:t>
            </w:r>
          </w:p>
        </w:tc>
        <w:tc>
          <w:tcPr>
            <w:tcW w:w="1701" w:type="dxa"/>
            <w:vMerge w:val="restart"/>
            <w:tcBorders>
              <w:top w:val="nil"/>
              <w:left w:val="nil"/>
              <w:bottom w:val="dotted" w:sz="4" w:space="0" w:color="000000"/>
              <w:right w:val="nil"/>
            </w:tcBorders>
            <w:shd w:val="clear" w:color="000000" w:fill="F2F2F2"/>
            <w:vAlign w:val="center"/>
            <w:hideMark/>
          </w:tcPr>
          <w:p w14:paraId="325DF7A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Pre-baked quartz fiber filters (for carbonaceous species) and on Teflon filters (for mass, ionic and elemental species analyses)</w:t>
            </w:r>
          </w:p>
        </w:tc>
        <w:tc>
          <w:tcPr>
            <w:tcW w:w="1817" w:type="dxa"/>
            <w:vMerge w:val="restart"/>
            <w:tcBorders>
              <w:top w:val="nil"/>
              <w:left w:val="nil"/>
              <w:bottom w:val="dotted" w:sz="4" w:space="0" w:color="000000"/>
              <w:right w:val="nil"/>
            </w:tcBorders>
            <w:shd w:val="clear" w:color="000000" w:fill="F2F2F2"/>
            <w:vAlign w:val="center"/>
            <w:hideMark/>
          </w:tcPr>
          <w:p w14:paraId="59F26A47" w14:textId="6F677D0A"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12 h</w:t>
            </w:r>
          </w:p>
        </w:tc>
        <w:tc>
          <w:tcPr>
            <w:tcW w:w="1943" w:type="dxa"/>
            <w:tcBorders>
              <w:top w:val="nil"/>
              <w:left w:val="nil"/>
              <w:bottom w:val="nil"/>
              <w:right w:val="nil"/>
            </w:tcBorders>
            <w:shd w:val="clear" w:color="000000" w:fill="F2F2F2"/>
            <w:vAlign w:val="center"/>
            <w:hideMark/>
          </w:tcPr>
          <w:p w14:paraId="43E410D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Gravimetric method using an electronic microbalance</w:t>
            </w:r>
          </w:p>
        </w:tc>
      </w:tr>
      <w:tr w:rsidR="008D2218" w:rsidRPr="00E71630" w14:paraId="65496D8A" w14:textId="77777777" w:rsidTr="008D2218">
        <w:trPr>
          <w:trHeight w:val="216"/>
        </w:trPr>
        <w:tc>
          <w:tcPr>
            <w:tcW w:w="1876" w:type="dxa"/>
            <w:vMerge/>
            <w:tcBorders>
              <w:top w:val="nil"/>
              <w:left w:val="nil"/>
              <w:bottom w:val="dotted" w:sz="4" w:space="0" w:color="000000"/>
              <w:right w:val="nil"/>
            </w:tcBorders>
            <w:vAlign w:val="center"/>
            <w:hideMark/>
          </w:tcPr>
          <w:p w14:paraId="6EB3FFE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0A6DD86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3313AEF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152C7235"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nil"/>
              <w:left w:val="nil"/>
              <w:bottom w:val="dotted" w:sz="4" w:space="0" w:color="000000"/>
              <w:right w:val="nil"/>
            </w:tcBorders>
            <w:vAlign w:val="center"/>
            <w:hideMark/>
          </w:tcPr>
          <w:p w14:paraId="6526165F"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nil"/>
              <w:left w:val="nil"/>
              <w:bottom w:val="dotted" w:sz="4" w:space="0" w:color="000000"/>
              <w:right w:val="nil"/>
            </w:tcBorders>
            <w:vAlign w:val="center"/>
            <w:hideMark/>
          </w:tcPr>
          <w:p w14:paraId="0135206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6E295D8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000000" w:fill="F2F2F2"/>
            <w:vAlign w:val="center"/>
            <w:hideMark/>
          </w:tcPr>
          <w:p w14:paraId="43F691F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HPLC and IC</w:t>
            </w:r>
          </w:p>
        </w:tc>
      </w:tr>
      <w:tr w:rsidR="008D2218" w:rsidRPr="00E71630" w14:paraId="737E4D93" w14:textId="77777777" w:rsidTr="008D2218">
        <w:trPr>
          <w:trHeight w:val="216"/>
        </w:trPr>
        <w:tc>
          <w:tcPr>
            <w:tcW w:w="1876" w:type="dxa"/>
            <w:vMerge/>
            <w:tcBorders>
              <w:top w:val="nil"/>
              <w:left w:val="nil"/>
              <w:bottom w:val="dotted" w:sz="4" w:space="0" w:color="000000"/>
              <w:right w:val="nil"/>
            </w:tcBorders>
            <w:vAlign w:val="center"/>
            <w:hideMark/>
          </w:tcPr>
          <w:p w14:paraId="4CFC40A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0449AB6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19423D2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1D2FEE3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nil"/>
              <w:left w:val="nil"/>
              <w:bottom w:val="dotted" w:sz="4" w:space="0" w:color="000000"/>
              <w:right w:val="nil"/>
            </w:tcBorders>
            <w:vAlign w:val="center"/>
            <w:hideMark/>
          </w:tcPr>
          <w:p w14:paraId="52D34611"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nil"/>
              <w:left w:val="nil"/>
              <w:bottom w:val="dotted" w:sz="4" w:space="0" w:color="000000"/>
              <w:right w:val="nil"/>
            </w:tcBorders>
            <w:vAlign w:val="center"/>
            <w:hideMark/>
          </w:tcPr>
          <w:p w14:paraId="0E33E4F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77E311E5"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000000" w:fill="F2F2F2"/>
            <w:vAlign w:val="center"/>
            <w:hideMark/>
          </w:tcPr>
          <w:p w14:paraId="5D32734E" w14:textId="77777777" w:rsidR="008D2218" w:rsidRPr="00E71630" w:rsidRDefault="008D2218" w:rsidP="00E71630">
            <w:pPr>
              <w:spacing w:after="0" w:line="240" w:lineRule="auto"/>
              <w:jc w:val="both"/>
              <w:rPr>
                <w:rFonts w:ascii="Calibri" w:eastAsia="Times New Roman" w:hAnsi="Calibri" w:cs="Calibri"/>
                <w:color w:val="000000"/>
                <w:sz w:val="16"/>
                <w:szCs w:val="16"/>
                <w:lang w:eastAsia="en-GB"/>
              </w:rPr>
            </w:pPr>
            <w:r w:rsidRPr="00E71630">
              <w:rPr>
                <w:rFonts w:ascii="Calibri" w:eastAsia="Times New Roman" w:hAnsi="Calibri" w:cs="Calibri"/>
                <w:color w:val="000000"/>
                <w:sz w:val="16"/>
                <w:szCs w:val="16"/>
                <w:lang w:eastAsia="en-GB"/>
              </w:rPr>
              <w:t> </w:t>
            </w:r>
          </w:p>
        </w:tc>
      </w:tr>
      <w:tr w:rsidR="008D2218" w:rsidRPr="00E71630" w14:paraId="5396B2AD" w14:textId="77777777" w:rsidTr="008D2218">
        <w:trPr>
          <w:trHeight w:val="216"/>
        </w:trPr>
        <w:tc>
          <w:tcPr>
            <w:tcW w:w="1876" w:type="dxa"/>
            <w:vMerge/>
            <w:tcBorders>
              <w:top w:val="nil"/>
              <w:left w:val="nil"/>
              <w:bottom w:val="dotted" w:sz="4" w:space="0" w:color="000000"/>
              <w:right w:val="nil"/>
            </w:tcBorders>
            <w:vAlign w:val="center"/>
            <w:hideMark/>
          </w:tcPr>
          <w:p w14:paraId="4F73033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0A4FA79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2CDDAF7D"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4FA22181"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nil"/>
              <w:left w:val="nil"/>
              <w:bottom w:val="dotted" w:sz="4" w:space="0" w:color="000000"/>
              <w:right w:val="nil"/>
            </w:tcBorders>
            <w:vAlign w:val="center"/>
            <w:hideMark/>
          </w:tcPr>
          <w:p w14:paraId="19EC3C9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nil"/>
              <w:left w:val="nil"/>
              <w:bottom w:val="dotted" w:sz="4" w:space="0" w:color="000000"/>
              <w:right w:val="nil"/>
            </w:tcBorders>
            <w:vAlign w:val="center"/>
            <w:hideMark/>
          </w:tcPr>
          <w:p w14:paraId="16DC2CF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17B5D29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000000" w:fill="F2F2F2"/>
            <w:vAlign w:val="center"/>
            <w:hideMark/>
          </w:tcPr>
          <w:p w14:paraId="355D33B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ICP – AES</w:t>
            </w:r>
          </w:p>
        </w:tc>
      </w:tr>
      <w:tr w:rsidR="008D2218" w:rsidRPr="00E71630" w14:paraId="39DA5F32" w14:textId="77777777" w:rsidTr="008D2218">
        <w:trPr>
          <w:trHeight w:val="216"/>
        </w:trPr>
        <w:tc>
          <w:tcPr>
            <w:tcW w:w="1876" w:type="dxa"/>
            <w:vMerge/>
            <w:tcBorders>
              <w:top w:val="nil"/>
              <w:left w:val="nil"/>
              <w:bottom w:val="dotted" w:sz="4" w:space="0" w:color="000000"/>
              <w:right w:val="nil"/>
            </w:tcBorders>
            <w:vAlign w:val="center"/>
            <w:hideMark/>
          </w:tcPr>
          <w:p w14:paraId="5751689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69266F9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02934AE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67AC192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nil"/>
              <w:left w:val="nil"/>
              <w:bottom w:val="dotted" w:sz="4" w:space="0" w:color="000000"/>
              <w:right w:val="nil"/>
            </w:tcBorders>
            <w:vAlign w:val="center"/>
            <w:hideMark/>
          </w:tcPr>
          <w:p w14:paraId="504D428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nil"/>
              <w:left w:val="nil"/>
              <w:bottom w:val="dotted" w:sz="4" w:space="0" w:color="000000"/>
              <w:right w:val="nil"/>
            </w:tcBorders>
            <w:vAlign w:val="center"/>
            <w:hideMark/>
          </w:tcPr>
          <w:p w14:paraId="3EFE650D"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4077710D"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dotted" w:sz="4" w:space="0" w:color="auto"/>
              <w:right w:val="nil"/>
            </w:tcBorders>
            <w:shd w:val="clear" w:color="000000" w:fill="F2F2F2"/>
            <w:vAlign w:val="center"/>
            <w:hideMark/>
          </w:tcPr>
          <w:p w14:paraId="4138C49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ICP-MS</w:t>
            </w:r>
          </w:p>
        </w:tc>
      </w:tr>
      <w:tr w:rsidR="008D2218" w:rsidRPr="00E71630" w14:paraId="1FD8D754" w14:textId="77777777" w:rsidTr="008D2218">
        <w:trPr>
          <w:trHeight w:val="216"/>
        </w:trPr>
        <w:tc>
          <w:tcPr>
            <w:tcW w:w="1876" w:type="dxa"/>
            <w:tcBorders>
              <w:top w:val="nil"/>
              <w:left w:val="nil"/>
              <w:bottom w:val="nil"/>
              <w:right w:val="nil"/>
            </w:tcBorders>
            <w:shd w:val="clear" w:color="000000" w:fill="F2F2F2"/>
            <w:vAlign w:val="center"/>
            <w:hideMark/>
          </w:tcPr>
          <w:p w14:paraId="0982DD8E" w14:textId="11667A07" w:rsidR="008D2218" w:rsidRPr="00E71630" w:rsidRDefault="00AC5CBC" w:rsidP="00E71630">
            <w:pPr>
              <w:spacing w:after="0" w:line="240" w:lineRule="auto"/>
              <w:jc w:val="both"/>
              <w:rPr>
                <w:rFonts w:ascii="Garamond" w:eastAsia="Times New Roman" w:hAnsi="Garamond" w:cs="Calibri"/>
                <w:color w:val="000000"/>
                <w:sz w:val="16"/>
                <w:szCs w:val="16"/>
                <w:lang w:eastAsia="en-GB"/>
              </w:rPr>
            </w:pPr>
            <w:r>
              <w:rPr>
                <w:rFonts w:ascii="Garamond" w:eastAsia="Times New Roman" w:hAnsi="Garamond" w:cs="Calibri"/>
                <w:noProof/>
                <w:color w:val="000000"/>
                <w:sz w:val="16"/>
                <w:szCs w:val="16"/>
                <w:lang w:eastAsia="en-GB"/>
              </w:rPr>
              <w:fldChar w:fldCharType="begin" w:fldLock="1"/>
            </w:r>
            <w:r w:rsidR="00A84515">
              <w:rPr>
                <w:rFonts w:ascii="Garamond" w:eastAsia="Times New Roman" w:hAnsi="Garamond" w:cs="Calibri"/>
                <w:noProof/>
                <w:color w:val="000000"/>
                <w:sz w:val="16"/>
                <w:szCs w:val="16"/>
                <w:lang w:eastAsia="en-GB"/>
              </w:rPr>
              <w:instrText>ADDIN CSL_CITATION {"citationItems":[{"id":"ITEM-1","itemData":{"DOI":"10.1016/j.partic.2015.09.013","ISSN":"1674-2001","author":[{"dropping-particle":"","family":"Sevimoglu","given":"Orhan","non-dropping-particle":"","parse-names":false,"suffix":""},{"dropping-particle":"","family":"Rogge","given":"Wolfgang F","non-dropping-particle":"","parse-names":false,"suffix":""}],"container-title":"Particuology","id":"ITEM-1","issued":{"date-parts":[["2016"]]},"page":"52-59","publisher":"Chinese Society of Particuology","title":"Particuology Seasonal size-segregated PM 10 and PAH concentrations in a rural area of sugarcane agriculture versus a coastal urban area in Southeastern","type":"article-journal","volume":"28"},"uris":["http://www.mendeley.com/documents/?uuid=b1a36c0e-5d05-436c-b367-6e5240b5260f"]}],"mendeley":{"formattedCitation":"(Sevimoglu and Rogge 2016)","plainTextFormattedCitation":"(Sevimoglu and Rogge 2016)","previouslyFormattedCitation":"(Sevimoglu and Rogge 2016)"},"properties":{"noteIndex":0},"schema":"https://github.com/citation-style-language/schema/raw/master/csl-citation.json"}</w:instrText>
            </w:r>
            <w:r>
              <w:rPr>
                <w:rFonts w:ascii="Garamond" w:eastAsia="Times New Roman" w:hAnsi="Garamond" w:cs="Calibri"/>
                <w:noProof/>
                <w:color w:val="000000"/>
                <w:sz w:val="16"/>
                <w:szCs w:val="16"/>
                <w:lang w:eastAsia="en-GB"/>
              </w:rPr>
              <w:fldChar w:fldCharType="separate"/>
            </w:r>
            <w:r w:rsidRPr="00AC5CBC">
              <w:rPr>
                <w:rFonts w:ascii="Garamond" w:eastAsia="Times New Roman" w:hAnsi="Garamond" w:cs="Calibri"/>
                <w:noProof/>
                <w:color w:val="000000"/>
                <w:sz w:val="16"/>
                <w:szCs w:val="16"/>
                <w:lang w:eastAsia="en-GB"/>
              </w:rPr>
              <w:t>(Sevimoglu and Rogge 2016)</w:t>
            </w:r>
            <w:r>
              <w:rPr>
                <w:rFonts w:ascii="Garamond" w:eastAsia="Times New Roman" w:hAnsi="Garamond" w:cs="Calibri"/>
                <w:noProof/>
                <w:color w:val="000000"/>
                <w:sz w:val="16"/>
                <w:szCs w:val="16"/>
                <w:lang w:eastAsia="en-GB"/>
              </w:rPr>
              <w:fldChar w:fldCharType="end"/>
            </w:r>
          </w:p>
        </w:tc>
        <w:tc>
          <w:tcPr>
            <w:tcW w:w="1952" w:type="dxa"/>
            <w:tcBorders>
              <w:top w:val="nil"/>
              <w:left w:val="nil"/>
              <w:bottom w:val="nil"/>
              <w:right w:val="nil"/>
            </w:tcBorders>
            <w:shd w:val="clear" w:color="000000" w:fill="F2F2F2"/>
            <w:vAlign w:val="center"/>
            <w:hideMark/>
          </w:tcPr>
          <w:p w14:paraId="7C7A42A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55 samples from Belle Gladeand; 61 samples from Delray Beach.</w:t>
            </w:r>
          </w:p>
        </w:tc>
        <w:tc>
          <w:tcPr>
            <w:tcW w:w="1496" w:type="dxa"/>
            <w:vMerge/>
            <w:tcBorders>
              <w:top w:val="nil"/>
              <w:left w:val="nil"/>
              <w:bottom w:val="dotted" w:sz="4" w:space="0" w:color="000000"/>
              <w:right w:val="nil"/>
            </w:tcBorders>
            <w:vAlign w:val="center"/>
            <w:hideMark/>
          </w:tcPr>
          <w:p w14:paraId="795B4DF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nil"/>
              <w:right w:val="nil"/>
            </w:tcBorders>
            <w:shd w:val="clear" w:color="000000" w:fill="F2F2F2"/>
            <w:vAlign w:val="center"/>
            <w:hideMark/>
          </w:tcPr>
          <w:p w14:paraId="3EC9F19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nil"/>
              <w:right w:val="nil"/>
            </w:tcBorders>
            <w:shd w:val="clear" w:color="000000" w:fill="F2F2F2"/>
            <w:vAlign w:val="center"/>
            <w:hideMark/>
          </w:tcPr>
          <w:p w14:paraId="6445FC0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Samples were collected using a Graseby high volume sampler (Graseby Andersen, Atlanta, USA) with a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xml:space="preserve"> selective inlet (G1200). The high volume cascade impactor (Graseby/GWM, series 235 with five impactor stages plus a backup stage) was added to the sampler</w:t>
            </w:r>
          </w:p>
        </w:tc>
        <w:tc>
          <w:tcPr>
            <w:tcW w:w="1701" w:type="dxa"/>
            <w:tcBorders>
              <w:top w:val="nil"/>
              <w:left w:val="nil"/>
              <w:bottom w:val="nil"/>
              <w:right w:val="nil"/>
            </w:tcBorders>
            <w:shd w:val="clear" w:color="000000" w:fill="F2F2F2"/>
            <w:vAlign w:val="center"/>
            <w:hideMark/>
          </w:tcPr>
          <w:p w14:paraId="6BE19D8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Slotted glass fiber filters (SAC 230GF) and backup glass fiber filter (Graseby GMW P/N-810) were used for the size-segregated particle sampling. Slotted quartz fiber filters (SAC230QF) and backup quartz fiber filter (2500QAO-UP) were used for size-</w:t>
            </w:r>
            <w:r w:rsidRPr="00E71630">
              <w:rPr>
                <w:rFonts w:ascii="Garamond" w:eastAsia="Times New Roman" w:hAnsi="Garamond" w:cs="Calibri"/>
                <w:color w:val="000000"/>
                <w:sz w:val="16"/>
                <w:szCs w:val="16"/>
                <w:lang w:eastAsia="en-GB"/>
              </w:rPr>
              <w:lastRenderedPageBreak/>
              <w:t>segregated particle sampling for the analysis of the organic compounds, including PAHs</w:t>
            </w:r>
          </w:p>
        </w:tc>
        <w:tc>
          <w:tcPr>
            <w:tcW w:w="1817" w:type="dxa"/>
            <w:tcBorders>
              <w:top w:val="nil"/>
              <w:left w:val="nil"/>
              <w:bottom w:val="nil"/>
              <w:right w:val="nil"/>
            </w:tcBorders>
            <w:shd w:val="clear" w:color="000000" w:fill="F2F2F2"/>
            <w:vAlign w:val="center"/>
            <w:hideMark/>
          </w:tcPr>
          <w:p w14:paraId="49647AB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lastRenderedPageBreak/>
              <w:t xml:space="preserve">23 h </w:t>
            </w:r>
          </w:p>
        </w:tc>
        <w:tc>
          <w:tcPr>
            <w:tcW w:w="1943" w:type="dxa"/>
            <w:tcBorders>
              <w:top w:val="nil"/>
              <w:left w:val="nil"/>
              <w:bottom w:val="nil"/>
              <w:right w:val="nil"/>
            </w:tcBorders>
            <w:shd w:val="clear" w:color="000000" w:fill="F2F2F2"/>
            <w:vAlign w:val="center"/>
            <w:hideMark/>
          </w:tcPr>
          <w:p w14:paraId="2EC3928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2FBACF03" w14:textId="77777777" w:rsidTr="008D2218">
        <w:trPr>
          <w:trHeight w:val="216"/>
        </w:trPr>
        <w:tc>
          <w:tcPr>
            <w:tcW w:w="1876" w:type="dxa"/>
            <w:vMerge w:val="restart"/>
            <w:tcBorders>
              <w:top w:val="dotted" w:sz="4" w:space="0" w:color="auto"/>
              <w:left w:val="nil"/>
              <w:bottom w:val="dotted" w:sz="4" w:space="0" w:color="000000"/>
              <w:right w:val="nil"/>
            </w:tcBorders>
            <w:shd w:val="clear" w:color="auto" w:fill="auto"/>
            <w:vAlign w:val="center"/>
            <w:hideMark/>
          </w:tcPr>
          <w:p w14:paraId="5CC9714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(Green et al. 1990)</w:t>
            </w:r>
          </w:p>
        </w:tc>
        <w:tc>
          <w:tcPr>
            <w:tcW w:w="1952" w:type="dxa"/>
            <w:vMerge w:val="restart"/>
            <w:tcBorders>
              <w:top w:val="dotted" w:sz="4" w:space="0" w:color="auto"/>
              <w:left w:val="nil"/>
              <w:bottom w:val="dotted" w:sz="4" w:space="0" w:color="000000"/>
              <w:right w:val="nil"/>
            </w:tcBorders>
            <w:shd w:val="clear" w:color="auto" w:fill="auto"/>
            <w:vAlign w:val="center"/>
            <w:hideMark/>
          </w:tcPr>
          <w:p w14:paraId="370BA0B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6 farm sites in the cereal-grain district; 6 farm sites in the forage-crop district.</w:t>
            </w:r>
          </w:p>
        </w:tc>
        <w:tc>
          <w:tcPr>
            <w:tcW w:w="1496" w:type="dxa"/>
            <w:vMerge w:val="restart"/>
            <w:tcBorders>
              <w:top w:val="nil"/>
              <w:left w:val="nil"/>
              <w:bottom w:val="dotted" w:sz="4" w:space="0" w:color="000000"/>
              <w:right w:val="nil"/>
            </w:tcBorders>
            <w:shd w:val="clear" w:color="auto" w:fill="auto"/>
            <w:vAlign w:val="center"/>
            <w:hideMark/>
          </w:tcPr>
          <w:p w14:paraId="5422345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TSP</w:t>
            </w:r>
          </w:p>
        </w:tc>
        <w:tc>
          <w:tcPr>
            <w:tcW w:w="1339" w:type="dxa"/>
            <w:vMerge w:val="restart"/>
            <w:tcBorders>
              <w:top w:val="dotted" w:sz="4" w:space="0" w:color="auto"/>
              <w:left w:val="nil"/>
              <w:bottom w:val="dotted" w:sz="4" w:space="0" w:color="000000"/>
              <w:right w:val="nil"/>
            </w:tcBorders>
            <w:shd w:val="clear" w:color="auto" w:fill="auto"/>
            <w:vAlign w:val="center"/>
            <w:hideMark/>
          </w:tcPr>
          <w:p w14:paraId="3F4005D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vMerge w:val="restart"/>
            <w:tcBorders>
              <w:top w:val="dotted" w:sz="4" w:space="0" w:color="auto"/>
              <w:left w:val="nil"/>
              <w:bottom w:val="dotted" w:sz="4" w:space="0" w:color="000000"/>
              <w:right w:val="nil"/>
            </w:tcBorders>
            <w:shd w:val="clear" w:color="auto" w:fill="auto"/>
            <w:vAlign w:val="center"/>
            <w:hideMark/>
          </w:tcPr>
          <w:p w14:paraId="162BEC9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Bulk samples from tractor air filters were resuspended in an aerosol chamber and analyzed for particle size-distribution using a 6-stage cascade impactor (Sierra Source Cascade Impactor, Model 226) </w:t>
            </w:r>
          </w:p>
        </w:tc>
        <w:tc>
          <w:tcPr>
            <w:tcW w:w="1701" w:type="dxa"/>
            <w:vMerge w:val="restart"/>
            <w:tcBorders>
              <w:top w:val="dotted" w:sz="4" w:space="0" w:color="auto"/>
              <w:left w:val="nil"/>
              <w:bottom w:val="dotted" w:sz="4" w:space="0" w:color="000000"/>
              <w:right w:val="nil"/>
            </w:tcBorders>
            <w:shd w:val="clear" w:color="auto" w:fill="auto"/>
            <w:vAlign w:val="center"/>
            <w:hideMark/>
          </w:tcPr>
          <w:p w14:paraId="2E1FD8D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vMerge w:val="restart"/>
            <w:tcBorders>
              <w:top w:val="dotted" w:sz="4" w:space="0" w:color="auto"/>
              <w:left w:val="nil"/>
              <w:bottom w:val="dotted" w:sz="4" w:space="0" w:color="000000"/>
              <w:right w:val="nil"/>
            </w:tcBorders>
            <w:shd w:val="clear" w:color="auto" w:fill="auto"/>
            <w:vAlign w:val="center"/>
            <w:hideMark/>
          </w:tcPr>
          <w:p w14:paraId="16CD5E6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dotted" w:sz="4" w:space="0" w:color="auto"/>
              <w:left w:val="nil"/>
              <w:bottom w:val="nil"/>
              <w:right w:val="nil"/>
            </w:tcBorders>
            <w:shd w:val="clear" w:color="auto" w:fill="auto"/>
            <w:vAlign w:val="center"/>
            <w:hideMark/>
          </w:tcPr>
          <w:p w14:paraId="5FAA9FA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SEM and STEM to calculate the particles' aspect ratio and to characterize the particles into groups based upon their major elemental components and net fractional X-ray intensities</w:t>
            </w:r>
          </w:p>
        </w:tc>
      </w:tr>
      <w:tr w:rsidR="008D2218" w:rsidRPr="00E71630" w14:paraId="2F3990C8" w14:textId="77777777" w:rsidTr="008D2218">
        <w:trPr>
          <w:trHeight w:val="216"/>
        </w:trPr>
        <w:tc>
          <w:tcPr>
            <w:tcW w:w="1876" w:type="dxa"/>
            <w:vMerge/>
            <w:tcBorders>
              <w:top w:val="dotted" w:sz="4" w:space="0" w:color="auto"/>
              <w:left w:val="nil"/>
              <w:bottom w:val="dotted" w:sz="4" w:space="0" w:color="000000"/>
              <w:right w:val="nil"/>
            </w:tcBorders>
            <w:vAlign w:val="center"/>
            <w:hideMark/>
          </w:tcPr>
          <w:p w14:paraId="2CA472A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dotted" w:sz="4" w:space="0" w:color="auto"/>
              <w:left w:val="nil"/>
              <w:bottom w:val="dotted" w:sz="4" w:space="0" w:color="000000"/>
              <w:right w:val="nil"/>
            </w:tcBorders>
            <w:vAlign w:val="center"/>
            <w:hideMark/>
          </w:tcPr>
          <w:p w14:paraId="3BCFD60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2F527E1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dotted" w:sz="4" w:space="0" w:color="auto"/>
              <w:left w:val="nil"/>
              <w:bottom w:val="dotted" w:sz="4" w:space="0" w:color="000000"/>
              <w:right w:val="nil"/>
            </w:tcBorders>
            <w:vAlign w:val="center"/>
            <w:hideMark/>
          </w:tcPr>
          <w:p w14:paraId="0ABC375D"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dotted" w:sz="4" w:space="0" w:color="auto"/>
              <w:left w:val="nil"/>
              <w:bottom w:val="dotted" w:sz="4" w:space="0" w:color="000000"/>
              <w:right w:val="nil"/>
            </w:tcBorders>
            <w:vAlign w:val="center"/>
            <w:hideMark/>
          </w:tcPr>
          <w:p w14:paraId="71A499B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dotted" w:sz="4" w:space="0" w:color="auto"/>
              <w:left w:val="nil"/>
              <w:bottom w:val="dotted" w:sz="4" w:space="0" w:color="000000"/>
              <w:right w:val="nil"/>
            </w:tcBorders>
            <w:vAlign w:val="center"/>
            <w:hideMark/>
          </w:tcPr>
          <w:p w14:paraId="52A8E9E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dotted" w:sz="4" w:space="0" w:color="auto"/>
              <w:left w:val="nil"/>
              <w:bottom w:val="dotted" w:sz="4" w:space="0" w:color="000000"/>
              <w:right w:val="nil"/>
            </w:tcBorders>
            <w:vAlign w:val="center"/>
            <w:hideMark/>
          </w:tcPr>
          <w:p w14:paraId="35220B3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auto" w:fill="auto"/>
            <w:vAlign w:val="center"/>
            <w:hideMark/>
          </w:tcPr>
          <w:p w14:paraId="76156E6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p>
        </w:tc>
      </w:tr>
      <w:tr w:rsidR="008D2218" w:rsidRPr="00E71630" w14:paraId="147952F3" w14:textId="77777777" w:rsidTr="008D2218">
        <w:trPr>
          <w:trHeight w:val="216"/>
        </w:trPr>
        <w:tc>
          <w:tcPr>
            <w:tcW w:w="1876" w:type="dxa"/>
            <w:vMerge/>
            <w:tcBorders>
              <w:top w:val="dotted" w:sz="4" w:space="0" w:color="auto"/>
              <w:left w:val="nil"/>
              <w:bottom w:val="dotted" w:sz="4" w:space="0" w:color="000000"/>
              <w:right w:val="nil"/>
            </w:tcBorders>
            <w:vAlign w:val="center"/>
            <w:hideMark/>
          </w:tcPr>
          <w:p w14:paraId="4E740C0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dotted" w:sz="4" w:space="0" w:color="auto"/>
              <w:left w:val="nil"/>
              <w:bottom w:val="dotted" w:sz="4" w:space="0" w:color="000000"/>
              <w:right w:val="nil"/>
            </w:tcBorders>
            <w:vAlign w:val="center"/>
            <w:hideMark/>
          </w:tcPr>
          <w:p w14:paraId="54FDDA9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29B84E6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dotted" w:sz="4" w:space="0" w:color="auto"/>
              <w:left w:val="nil"/>
              <w:bottom w:val="dotted" w:sz="4" w:space="0" w:color="000000"/>
              <w:right w:val="nil"/>
            </w:tcBorders>
            <w:vAlign w:val="center"/>
            <w:hideMark/>
          </w:tcPr>
          <w:p w14:paraId="1EA42341"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dotted" w:sz="4" w:space="0" w:color="auto"/>
              <w:left w:val="nil"/>
              <w:bottom w:val="dotted" w:sz="4" w:space="0" w:color="000000"/>
              <w:right w:val="nil"/>
            </w:tcBorders>
            <w:vAlign w:val="center"/>
            <w:hideMark/>
          </w:tcPr>
          <w:p w14:paraId="19E92EAF"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dotted" w:sz="4" w:space="0" w:color="auto"/>
              <w:left w:val="nil"/>
              <w:bottom w:val="dotted" w:sz="4" w:space="0" w:color="000000"/>
              <w:right w:val="nil"/>
            </w:tcBorders>
            <w:vAlign w:val="center"/>
            <w:hideMark/>
          </w:tcPr>
          <w:p w14:paraId="21B0C0A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dotted" w:sz="4" w:space="0" w:color="auto"/>
              <w:left w:val="nil"/>
              <w:bottom w:val="dotted" w:sz="4" w:space="0" w:color="000000"/>
              <w:right w:val="nil"/>
            </w:tcBorders>
            <w:vAlign w:val="center"/>
            <w:hideMark/>
          </w:tcPr>
          <w:p w14:paraId="14DB685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auto" w:fill="auto"/>
            <w:vAlign w:val="center"/>
            <w:hideMark/>
          </w:tcPr>
          <w:p w14:paraId="403D8DE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Analysis of bulk dusts (in terms of fibres) by STEM, for the identification of their fibrous morphology and aspect ratios) in combination with energy dispersive X-ray analysis</w:t>
            </w:r>
          </w:p>
        </w:tc>
      </w:tr>
      <w:tr w:rsidR="008D2218" w:rsidRPr="00E71630" w14:paraId="73B8B5BC" w14:textId="77777777" w:rsidTr="008D2218">
        <w:trPr>
          <w:trHeight w:val="216"/>
        </w:trPr>
        <w:tc>
          <w:tcPr>
            <w:tcW w:w="1876" w:type="dxa"/>
            <w:vMerge/>
            <w:tcBorders>
              <w:top w:val="dotted" w:sz="4" w:space="0" w:color="auto"/>
              <w:left w:val="nil"/>
              <w:bottom w:val="dotted" w:sz="4" w:space="0" w:color="000000"/>
              <w:right w:val="nil"/>
            </w:tcBorders>
            <w:vAlign w:val="center"/>
            <w:hideMark/>
          </w:tcPr>
          <w:p w14:paraId="0D6FF611"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dotted" w:sz="4" w:space="0" w:color="auto"/>
              <w:left w:val="nil"/>
              <w:bottom w:val="dotted" w:sz="4" w:space="0" w:color="000000"/>
              <w:right w:val="nil"/>
            </w:tcBorders>
            <w:vAlign w:val="center"/>
            <w:hideMark/>
          </w:tcPr>
          <w:p w14:paraId="1B3FB01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7553018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dotted" w:sz="4" w:space="0" w:color="auto"/>
              <w:left w:val="nil"/>
              <w:bottom w:val="dotted" w:sz="4" w:space="0" w:color="000000"/>
              <w:right w:val="nil"/>
            </w:tcBorders>
            <w:vAlign w:val="center"/>
            <w:hideMark/>
          </w:tcPr>
          <w:p w14:paraId="0C6E611A"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dotted" w:sz="4" w:space="0" w:color="auto"/>
              <w:left w:val="nil"/>
              <w:bottom w:val="dotted" w:sz="4" w:space="0" w:color="000000"/>
              <w:right w:val="nil"/>
            </w:tcBorders>
            <w:vAlign w:val="center"/>
            <w:hideMark/>
          </w:tcPr>
          <w:p w14:paraId="018FD9D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dotted" w:sz="4" w:space="0" w:color="auto"/>
              <w:left w:val="nil"/>
              <w:bottom w:val="dotted" w:sz="4" w:space="0" w:color="000000"/>
              <w:right w:val="nil"/>
            </w:tcBorders>
            <w:vAlign w:val="center"/>
            <w:hideMark/>
          </w:tcPr>
          <w:p w14:paraId="06A409AF"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dotted" w:sz="4" w:space="0" w:color="auto"/>
              <w:left w:val="nil"/>
              <w:bottom w:val="dotted" w:sz="4" w:space="0" w:color="000000"/>
              <w:right w:val="nil"/>
            </w:tcBorders>
            <w:vAlign w:val="center"/>
            <w:hideMark/>
          </w:tcPr>
          <w:p w14:paraId="5E14417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auto" w:fill="auto"/>
            <w:vAlign w:val="center"/>
            <w:hideMark/>
          </w:tcPr>
          <w:p w14:paraId="4A211F4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p>
        </w:tc>
      </w:tr>
      <w:tr w:rsidR="008D2218" w:rsidRPr="00E71630" w14:paraId="5C5C955C" w14:textId="77777777" w:rsidTr="008D2218">
        <w:trPr>
          <w:trHeight w:val="216"/>
        </w:trPr>
        <w:tc>
          <w:tcPr>
            <w:tcW w:w="1876" w:type="dxa"/>
            <w:vMerge/>
            <w:tcBorders>
              <w:top w:val="dotted" w:sz="4" w:space="0" w:color="auto"/>
              <w:left w:val="nil"/>
              <w:bottom w:val="dotted" w:sz="4" w:space="0" w:color="000000"/>
              <w:right w:val="nil"/>
            </w:tcBorders>
            <w:vAlign w:val="center"/>
            <w:hideMark/>
          </w:tcPr>
          <w:p w14:paraId="1020E52F"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dotted" w:sz="4" w:space="0" w:color="auto"/>
              <w:left w:val="nil"/>
              <w:bottom w:val="dotted" w:sz="4" w:space="0" w:color="000000"/>
              <w:right w:val="nil"/>
            </w:tcBorders>
            <w:vAlign w:val="center"/>
            <w:hideMark/>
          </w:tcPr>
          <w:p w14:paraId="5905078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30FE9C8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dotted" w:sz="4" w:space="0" w:color="auto"/>
              <w:left w:val="nil"/>
              <w:bottom w:val="dotted" w:sz="4" w:space="0" w:color="000000"/>
              <w:right w:val="nil"/>
            </w:tcBorders>
            <w:vAlign w:val="center"/>
            <w:hideMark/>
          </w:tcPr>
          <w:p w14:paraId="32C7189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dotted" w:sz="4" w:space="0" w:color="auto"/>
              <w:left w:val="nil"/>
              <w:bottom w:val="dotted" w:sz="4" w:space="0" w:color="000000"/>
              <w:right w:val="nil"/>
            </w:tcBorders>
            <w:vAlign w:val="center"/>
            <w:hideMark/>
          </w:tcPr>
          <w:p w14:paraId="1B07523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dotted" w:sz="4" w:space="0" w:color="auto"/>
              <w:left w:val="nil"/>
              <w:bottom w:val="dotted" w:sz="4" w:space="0" w:color="000000"/>
              <w:right w:val="nil"/>
            </w:tcBorders>
            <w:vAlign w:val="center"/>
            <w:hideMark/>
          </w:tcPr>
          <w:p w14:paraId="02EAD1E5"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dotted" w:sz="4" w:space="0" w:color="auto"/>
              <w:left w:val="nil"/>
              <w:bottom w:val="dotted" w:sz="4" w:space="0" w:color="000000"/>
              <w:right w:val="nil"/>
            </w:tcBorders>
            <w:vAlign w:val="center"/>
            <w:hideMark/>
          </w:tcPr>
          <w:p w14:paraId="0582E89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auto" w:fill="auto"/>
            <w:vAlign w:val="center"/>
            <w:hideMark/>
          </w:tcPr>
          <w:p w14:paraId="0A222E7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Qualitative and semi-quantitative mineralogical analysis using XRD</w:t>
            </w:r>
          </w:p>
        </w:tc>
      </w:tr>
      <w:tr w:rsidR="008D2218" w:rsidRPr="00E71630" w14:paraId="5692717B" w14:textId="77777777" w:rsidTr="008D2218">
        <w:trPr>
          <w:trHeight w:val="216"/>
        </w:trPr>
        <w:tc>
          <w:tcPr>
            <w:tcW w:w="1876" w:type="dxa"/>
            <w:vMerge/>
            <w:tcBorders>
              <w:top w:val="dotted" w:sz="4" w:space="0" w:color="auto"/>
              <w:left w:val="nil"/>
              <w:bottom w:val="dotted" w:sz="4" w:space="0" w:color="000000"/>
              <w:right w:val="nil"/>
            </w:tcBorders>
            <w:vAlign w:val="center"/>
            <w:hideMark/>
          </w:tcPr>
          <w:p w14:paraId="66DABFB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dotted" w:sz="4" w:space="0" w:color="auto"/>
              <w:left w:val="nil"/>
              <w:bottom w:val="dotted" w:sz="4" w:space="0" w:color="000000"/>
              <w:right w:val="nil"/>
            </w:tcBorders>
            <w:vAlign w:val="center"/>
            <w:hideMark/>
          </w:tcPr>
          <w:p w14:paraId="70F9CBD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3A0EA4D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dotted" w:sz="4" w:space="0" w:color="auto"/>
              <w:left w:val="nil"/>
              <w:bottom w:val="dotted" w:sz="4" w:space="0" w:color="000000"/>
              <w:right w:val="nil"/>
            </w:tcBorders>
            <w:vAlign w:val="center"/>
            <w:hideMark/>
          </w:tcPr>
          <w:p w14:paraId="5ED6B7ED"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dotted" w:sz="4" w:space="0" w:color="auto"/>
              <w:left w:val="nil"/>
              <w:bottom w:val="dotted" w:sz="4" w:space="0" w:color="000000"/>
              <w:right w:val="nil"/>
            </w:tcBorders>
            <w:vAlign w:val="center"/>
            <w:hideMark/>
          </w:tcPr>
          <w:p w14:paraId="6E5AE78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dotted" w:sz="4" w:space="0" w:color="auto"/>
              <w:left w:val="nil"/>
              <w:bottom w:val="dotted" w:sz="4" w:space="0" w:color="000000"/>
              <w:right w:val="nil"/>
            </w:tcBorders>
            <w:vAlign w:val="center"/>
            <w:hideMark/>
          </w:tcPr>
          <w:p w14:paraId="3071C7A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dotted" w:sz="4" w:space="0" w:color="auto"/>
              <w:left w:val="nil"/>
              <w:bottom w:val="dotted" w:sz="4" w:space="0" w:color="000000"/>
              <w:right w:val="nil"/>
            </w:tcBorders>
            <w:vAlign w:val="center"/>
            <w:hideMark/>
          </w:tcPr>
          <w:p w14:paraId="1804BA11"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auto" w:fill="auto"/>
            <w:vAlign w:val="center"/>
            <w:hideMark/>
          </w:tcPr>
          <w:p w14:paraId="0862EFB4"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p>
        </w:tc>
      </w:tr>
      <w:tr w:rsidR="008D2218" w:rsidRPr="00E71630" w14:paraId="7CFBB70C" w14:textId="77777777" w:rsidTr="008D2218">
        <w:trPr>
          <w:trHeight w:val="216"/>
        </w:trPr>
        <w:tc>
          <w:tcPr>
            <w:tcW w:w="1876" w:type="dxa"/>
            <w:vMerge/>
            <w:tcBorders>
              <w:top w:val="dotted" w:sz="4" w:space="0" w:color="auto"/>
              <w:left w:val="nil"/>
              <w:bottom w:val="dotted" w:sz="4" w:space="0" w:color="000000"/>
              <w:right w:val="nil"/>
            </w:tcBorders>
            <w:vAlign w:val="center"/>
            <w:hideMark/>
          </w:tcPr>
          <w:p w14:paraId="4B185227"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dotted" w:sz="4" w:space="0" w:color="auto"/>
              <w:left w:val="nil"/>
              <w:bottom w:val="dotted" w:sz="4" w:space="0" w:color="000000"/>
              <w:right w:val="nil"/>
            </w:tcBorders>
            <w:vAlign w:val="center"/>
            <w:hideMark/>
          </w:tcPr>
          <w:p w14:paraId="7F146D2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4DAD0401"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dotted" w:sz="4" w:space="0" w:color="auto"/>
              <w:left w:val="nil"/>
              <w:bottom w:val="dotted" w:sz="4" w:space="0" w:color="000000"/>
              <w:right w:val="nil"/>
            </w:tcBorders>
            <w:vAlign w:val="center"/>
            <w:hideMark/>
          </w:tcPr>
          <w:p w14:paraId="017F7E1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dotted" w:sz="4" w:space="0" w:color="auto"/>
              <w:left w:val="nil"/>
              <w:bottom w:val="dotted" w:sz="4" w:space="0" w:color="000000"/>
              <w:right w:val="nil"/>
            </w:tcBorders>
            <w:vAlign w:val="center"/>
            <w:hideMark/>
          </w:tcPr>
          <w:p w14:paraId="13152F7F"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dotted" w:sz="4" w:space="0" w:color="auto"/>
              <w:left w:val="nil"/>
              <w:bottom w:val="dotted" w:sz="4" w:space="0" w:color="000000"/>
              <w:right w:val="nil"/>
            </w:tcBorders>
            <w:vAlign w:val="center"/>
            <w:hideMark/>
          </w:tcPr>
          <w:p w14:paraId="2ECBC74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dotted" w:sz="4" w:space="0" w:color="auto"/>
              <w:left w:val="nil"/>
              <w:bottom w:val="dotted" w:sz="4" w:space="0" w:color="000000"/>
              <w:right w:val="nil"/>
            </w:tcBorders>
            <w:vAlign w:val="center"/>
            <w:hideMark/>
          </w:tcPr>
          <w:p w14:paraId="5AA886E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auto" w:fill="auto"/>
            <w:vAlign w:val="center"/>
            <w:hideMark/>
          </w:tcPr>
          <w:p w14:paraId="0E4B620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Quantitative analysis of quartz by infrared absorption spectro-photometry after ashing in a plasma furnace</w:t>
            </w:r>
          </w:p>
        </w:tc>
      </w:tr>
      <w:tr w:rsidR="008D2218" w:rsidRPr="00E71630" w14:paraId="2C676FC4" w14:textId="77777777" w:rsidTr="008D2218">
        <w:trPr>
          <w:trHeight w:val="216"/>
        </w:trPr>
        <w:tc>
          <w:tcPr>
            <w:tcW w:w="1876" w:type="dxa"/>
            <w:vMerge/>
            <w:tcBorders>
              <w:top w:val="dotted" w:sz="4" w:space="0" w:color="auto"/>
              <w:left w:val="nil"/>
              <w:bottom w:val="dotted" w:sz="4" w:space="0" w:color="000000"/>
              <w:right w:val="nil"/>
            </w:tcBorders>
            <w:vAlign w:val="center"/>
            <w:hideMark/>
          </w:tcPr>
          <w:p w14:paraId="5FAA3CC5"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dotted" w:sz="4" w:space="0" w:color="auto"/>
              <w:left w:val="nil"/>
              <w:bottom w:val="dotted" w:sz="4" w:space="0" w:color="000000"/>
              <w:right w:val="nil"/>
            </w:tcBorders>
            <w:vAlign w:val="center"/>
            <w:hideMark/>
          </w:tcPr>
          <w:p w14:paraId="20EA43AF"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56335C8D"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dotted" w:sz="4" w:space="0" w:color="auto"/>
              <w:left w:val="nil"/>
              <w:bottom w:val="dotted" w:sz="4" w:space="0" w:color="000000"/>
              <w:right w:val="nil"/>
            </w:tcBorders>
            <w:vAlign w:val="center"/>
            <w:hideMark/>
          </w:tcPr>
          <w:p w14:paraId="0B726E1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dotted" w:sz="4" w:space="0" w:color="auto"/>
              <w:left w:val="nil"/>
              <w:bottom w:val="dotted" w:sz="4" w:space="0" w:color="000000"/>
              <w:right w:val="nil"/>
            </w:tcBorders>
            <w:vAlign w:val="center"/>
            <w:hideMark/>
          </w:tcPr>
          <w:p w14:paraId="3FF6D65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dotted" w:sz="4" w:space="0" w:color="auto"/>
              <w:left w:val="nil"/>
              <w:bottom w:val="dotted" w:sz="4" w:space="0" w:color="000000"/>
              <w:right w:val="nil"/>
            </w:tcBorders>
            <w:vAlign w:val="center"/>
            <w:hideMark/>
          </w:tcPr>
          <w:p w14:paraId="7B892A2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dotted" w:sz="4" w:space="0" w:color="auto"/>
              <w:left w:val="nil"/>
              <w:bottom w:val="dotted" w:sz="4" w:space="0" w:color="000000"/>
              <w:right w:val="nil"/>
            </w:tcBorders>
            <w:vAlign w:val="center"/>
            <w:hideMark/>
          </w:tcPr>
          <w:p w14:paraId="582331F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nil"/>
              <w:right w:val="nil"/>
            </w:tcBorders>
            <w:shd w:val="clear" w:color="auto" w:fill="auto"/>
            <w:vAlign w:val="center"/>
            <w:hideMark/>
          </w:tcPr>
          <w:p w14:paraId="5940F79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p>
        </w:tc>
      </w:tr>
      <w:tr w:rsidR="008D2218" w:rsidRPr="00E71630" w14:paraId="7634EFC5" w14:textId="77777777" w:rsidTr="008D2218">
        <w:trPr>
          <w:trHeight w:val="216"/>
        </w:trPr>
        <w:tc>
          <w:tcPr>
            <w:tcW w:w="1876" w:type="dxa"/>
            <w:vMerge/>
            <w:tcBorders>
              <w:top w:val="dotted" w:sz="4" w:space="0" w:color="auto"/>
              <w:left w:val="nil"/>
              <w:bottom w:val="dotted" w:sz="4" w:space="0" w:color="000000"/>
              <w:right w:val="nil"/>
            </w:tcBorders>
            <w:vAlign w:val="center"/>
            <w:hideMark/>
          </w:tcPr>
          <w:p w14:paraId="17377B1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dotted" w:sz="4" w:space="0" w:color="auto"/>
              <w:left w:val="nil"/>
              <w:bottom w:val="dotted" w:sz="4" w:space="0" w:color="000000"/>
              <w:right w:val="nil"/>
            </w:tcBorders>
            <w:vAlign w:val="center"/>
            <w:hideMark/>
          </w:tcPr>
          <w:p w14:paraId="467AB0E5"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6BE1253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dotted" w:sz="4" w:space="0" w:color="auto"/>
              <w:left w:val="nil"/>
              <w:bottom w:val="dotted" w:sz="4" w:space="0" w:color="000000"/>
              <w:right w:val="nil"/>
            </w:tcBorders>
            <w:vAlign w:val="center"/>
            <w:hideMark/>
          </w:tcPr>
          <w:p w14:paraId="375DC1F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vMerge/>
            <w:tcBorders>
              <w:top w:val="dotted" w:sz="4" w:space="0" w:color="auto"/>
              <w:left w:val="nil"/>
              <w:bottom w:val="dotted" w:sz="4" w:space="0" w:color="000000"/>
              <w:right w:val="nil"/>
            </w:tcBorders>
            <w:vAlign w:val="center"/>
            <w:hideMark/>
          </w:tcPr>
          <w:p w14:paraId="22E7EF70"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701" w:type="dxa"/>
            <w:vMerge/>
            <w:tcBorders>
              <w:top w:val="dotted" w:sz="4" w:space="0" w:color="auto"/>
              <w:left w:val="nil"/>
              <w:bottom w:val="dotted" w:sz="4" w:space="0" w:color="000000"/>
              <w:right w:val="nil"/>
            </w:tcBorders>
            <w:vAlign w:val="center"/>
            <w:hideMark/>
          </w:tcPr>
          <w:p w14:paraId="36D95E13"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dotted" w:sz="4" w:space="0" w:color="auto"/>
              <w:left w:val="nil"/>
              <w:bottom w:val="dotted" w:sz="4" w:space="0" w:color="000000"/>
              <w:right w:val="nil"/>
            </w:tcBorders>
            <w:vAlign w:val="center"/>
            <w:hideMark/>
          </w:tcPr>
          <w:p w14:paraId="4BFAD63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tcBorders>
              <w:top w:val="nil"/>
              <w:left w:val="nil"/>
              <w:bottom w:val="dotted" w:sz="4" w:space="0" w:color="auto"/>
              <w:right w:val="nil"/>
            </w:tcBorders>
            <w:shd w:val="clear" w:color="auto" w:fill="auto"/>
            <w:vAlign w:val="center"/>
            <w:hideMark/>
          </w:tcPr>
          <w:p w14:paraId="70F8071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Combustible mass fraction and water soluble fraction of bulk dusts determined using high temperature plasma ashing and water suspension filtration respectively</w:t>
            </w:r>
          </w:p>
        </w:tc>
      </w:tr>
      <w:tr w:rsidR="008D2218" w:rsidRPr="00E71630" w14:paraId="309F2925"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67DF407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(Maesano et al. 2019)</w:t>
            </w:r>
          </w:p>
        </w:tc>
        <w:tc>
          <w:tcPr>
            <w:tcW w:w="1952" w:type="dxa"/>
            <w:tcBorders>
              <w:top w:val="nil"/>
              <w:left w:val="nil"/>
              <w:bottom w:val="dotted" w:sz="4" w:space="0" w:color="auto"/>
              <w:right w:val="nil"/>
            </w:tcBorders>
            <w:shd w:val="clear" w:color="auto" w:fill="auto"/>
            <w:vAlign w:val="center"/>
            <w:hideMark/>
          </w:tcPr>
          <w:p w14:paraId="7AB9F93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109 French farmers.</w:t>
            </w:r>
          </w:p>
        </w:tc>
        <w:tc>
          <w:tcPr>
            <w:tcW w:w="1496" w:type="dxa"/>
            <w:vMerge/>
            <w:tcBorders>
              <w:top w:val="nil"/>
              <w:left w:val="nil"/>
              <w:bottom w:val="dotted" w:sz="4" w:space="0" w:color="000000"/>
              <w:right w:val="nil"/>
            </w:tcBorders>
            <w:vAlign w:val="center"/>
            <w:hideMark/>
          </w:tcPr>
          <w:p w14:paraId="4B9A8BD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dotted" w:sz="4" w:space="0" w:color="auto"/>
              <w:right w:val="nil"/>
            </w:tcBorders>
            <w:shd w:val="clear" w:color="auto" w:fill="auto"/>
            <w:vAlign w:val="center"/>
            <w:hideMark/>
          </w:tcPr>
          <w:p w14:paraId="02F3C7C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5D4486E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AEROCET 531S</w:t>
            </w:r>
          </w:p>
        </w:tc>
        <w:tc>
          <w:tcPr>
            <w:tcW w:w="1701" w:type="dxa"/>
            <w:tcBorders>
              <w:top w:val="nil"/>
              <w:left w:val="nil"/>
              <w:bottom w:val="dotted" w:sz="4" w:space="0" w:color="auto"/>
              <w:right w:val="nil"/>
            </w:tcBorders>
            <w:shd w:val="clear" w:color="auto" w:fill="auto"/>
            <w:vAlign w:val="center"/>
            <w:hideMark/>
          </w:tcPr>
          <w:p w14:paraId="28F8CCD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auto" w:fill="auto"/>
            <w:vAlign w:val="center"/>
            <w:hideMark/>
          </w:tcPr>
          <w:p w14:paraId="6BD78BC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 min</w:t>
            </w:r>
          </w:p>
        </w:tc>
        <w:tc>
          <w:tcPr>
            <w:tcW w:w="1943" w:type="dxa"/>
            <w:tcBorders>
              <w:top w:val="nil"/>
              <w:left w:val="nil"/>
              <w:bottom w:val="dotted" w:sz="4" w:space="0" w:color="auto"/>
              <w:right w:val="nil"/>
            </w:tcBorders>
            <w:shd w:val="clear" w:color="auto" w:fill="auto"/>
            <w:vAlign w:val="center"/>
            <w:hideMark/>
          </w:tcPr>
          <w:p w14:paraId="47194CA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41DD5A4E" w14:textId="77777777" w:rsidTr="008D2218">
        <w:trPr>
          <w:trHeight w:val="216"/>
        </w:trPr>
        <w:tc>
          <w:tcPr>
            <w:tcW w:w="1876" w:type="dxa"/>
            <w:tcBorders>
              <w:top w:val="nil"/>
              <w:left w:val="nil"/>
              <w:bottom w:val="nil"/>
              <w:right w:val="nil"/>
            </w:tcBorders>
            <w:shd w:val="clear" w:color="000000" w:fill="F2F2F2"/>
            <w:vAlign w:val="center"/>
            <w:hideMark/>
          </w:tcPr>
          <w:p w14:paraId="64FA2EE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(Barnig et al. 2012)</w:t>
            </w:r>
          </w:p>
        </w:tc>
        <w:tc>
          <w:tcPr>
            <w:tcW w:w="1952" w:type="dxa"/>
            <w:tcBorders>
              <w:top w:val="nil"/>
              <w:left w:val="nil"/>
              <w:bottom w:val="nil"/>
              <w:right w:val="nil"/>
            </w:tcBorders>
            <w:shd w:val="clear" w:color="000000" w:fill="F2F2F2"/>
            <w:vAlign w:val="center"/>
            <w:hideMark/>
          </w:tcPr>
          <w:p w14:paraId="6CE74D0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100 dwellings and 50 farmhouses (50 rural nonfarming references).</w:t>
            </w:r>
          </w:p>
        </w:tc>
        <w:tc>
          <w:tcPr>
            <w:tcW w:w="1496" w:type="dxa"/>
            <w:tcBorders>
              <w:top w:val="nil"/>
              <w:left w:val="nil"/>
              <w:bottom w:val="nil"/>
              <w:right w:val="nil"/>
            </w:tcBorders>
            <w:shd w:val="clear" w:color="000000" w:fill="F2F2F2"/>
            <w:vAlign w:val="center"/>
            <w:hideMark/>
          </w:tcPr>
          <w:p w14:paraId="00830D51" w14:textId="378D7A3C"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Dust</w:t>
            </w:r>
          </w:p>
        </w:tc>
        <w:tc>
          <w:tcPr>
            <w:tcW w:w="1339" w:type="dxa"/>
            <w:tcBorders>
              <w:top w:val="nil"/>
              <w:left w:val="nil"/>
              <w:bottom w:val="nil"/>
              <w:right w:val="nil"/>
            </w:tcBorders>
            <w:shd w:val="clear" w:color="000000" w:fill="F2F2F2"/>
            <w:vAlign w:val="center"/>
            <w:hideMark/>
          </w:tcPr>
          <w:p w14:paraId="3EA294F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 + P</w:t>
            </w:r>
          </w:p>
        </w:tc>
        <w:tc>
          <w:tcPr>
            <w:tcW w:w="2524" w:type="dxa"/>
            <w:tcBorders>
              <w:top w:val="nil"/>
              <w:left w:val="nil"/>
              <w:bottom w:val="nil"/>
              <w:right w:val="nil"/>
            </w:tcBorders>
            <w:shd w:val="clear" w:color="000000" w:fill="F2F2F2"/>
            <w:vAlign w:val="center"/>
            <w:hideMark/>
          </w:tcPr>
          <w:p w14:paraId="7E3AD9C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IOM cassette (M 00003700, Millipore, St Quentin, France) associated with a portable Gilair pump (Sensidyne®, Clearwater, FL, USA) </w:t>
            </w:r>
          </w:p>
        </w:tc>
        <w:tc>
          <w:tcPr>
            <w:tcW w:w="1701" w:type="dxa"/>
            <w:tcBorders>
              <w:top w:val="nil"/>
              <w:left w:val="nil"/>
              <w:bottom w:val="nil"/>
              <w:right w:val="nil"/>
            </w:tcBorders>
            <w:shd w:val="clear" w:color="000000" w:fill="F2F2F2"/>
            <w:vAlign w:val="center"/>
            <w:hideMark/>
          </w:tcPr>
          <w:p w14:paraId="32C2404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Glass fibre filter (AP 4003705, Millipore)</w:t>
            </w:r>
          </w:p>
        </w:tc>
        <w:tc>
          <w:tcPr>
            <w:tcW w:w="1817" w:type="dxa"/>
            <w:tcBorders>
              <w:top w:val="nil"/>
              <w:left w:val="nil"/>
              <w:bottom w:val="nil"/>
              <w:right w:val="nil"/>
            </w:tcBorders>
            <w:shd w:val="clear" w:color="000000" w:fill="F2F2F2"/>
            <w:vAlign w:val="center"/>
            <w:hideMark/>
          </w:tcPr>
          <w:p w14:paraId="61289D4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8 h</w:t>
            </w:r>
          </w:p>
        </w:tc>
        <w:tc>
          <w:tcPr>
            <w:tcW w:w="1943" w:type="dxa"/>
            <w:tcBorders>
              <w:top w:val="nil"/>
              <w:left w:val="nil"/>
              <w:bottom w:val="nil"/>
              <w:right w:val="nil"/>
            </w:tcBorders>
            <w:shd w:val="clear" w:color="000000" w:fill="F2F2F2"/>
            <w:vAlign w:val="center"/>
            <w:hideMark/>
          </w:tcPr>
          <w:p w14:paraId="6E25F964"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Endotoxins extraction from 100 mg dust in 2 ml of PBS-LAL (Biomerieux, Craponne, France)</w:t>
            </w:r>
          </w:p>
        </w:tc>
      </w:tr>
      <w:tr w:rsidR="008D2218" w:rsidRPr="00E71630" w14:paraId="4236FCC1"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63DE283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(Buczaj et al. 2014)</w:t>
            </w:r>
          </w:p>
        </w:tc>
        <w:tc>
          <w:tcPr>
            <w:tcW w:w="1952" w:type="dxa"/>
            <w:tcBorders>
              <w:top w:val="nil"/>
              <w:left w:val="nil"/>
              <w:bottom w:val="dotted" w:sz="4" w:space="0" w:color="auto"/>
              <w:right w:val="nil"/>
            </w:tcBorders>
            <w:shd w:val="clear" w:color="auto" w:fill="auto"/>
            <w:vAlign w:val="center"/>
            <w:hideMark/>
          </w:tcPr>
          <w:p w14:paraId="5CBABE6B" w14:textId="1F26C80E"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3 farms; 3 samples on each were simultaneously collected at 3 measuring </w:t>
            </w:r>
            <w:r w:rsidRPr="00E71630">
              <w:rPr>
                <w:rFonts w:ascii="Garamond" w:eastAsia="Times New Roman" w:hAnsi="Garamond" w:cs="Calibri"/>
                <w:color w:val="000000"/>
                <w:sz w:val="16"/>
                <w:szCs w:val="16"/>
                <w:lang w:eastAsia="en-GB"/>
              </w:rPr>
              <w:lastRenderedPageBreak/>
              <w:t>sites; 216 samples were collected during the monitoring period.</w:t>
            </w:r>
          </w:p>
        </w:tc>
        <w:tc>
          <w:tcPr>
            <w:tcW w:w="1496" w:type="dxa"/>
            <w:tcBorders>
              <w:top w:val="nil"/>
              <w:left w:val="nil"/>
              <w:bottom w:val="dotted" w:sz="4" w:space="0" w:color="auto"/>
              <w:right w:val="nil"/>
            </w:tcBorders>
            <w:shd w:val="clear" w:color="auto" w:fill="auto"/>
            <w:vAlign w:val="center"/>
            <w:hideMark/>
          </w:tcPr>
          <w:p w14:paraId="0327FE4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lastRenderedPageBreak/>
              <w:t>Asbestos fibres</w:t>
            </w:r>
          </w:p>
        </w:tc>
        <w:tc>
          <w:tcPr>
            <w:tcW w:w="1339" w:type="dxa"/>
            <w:tcBorders>
              <w:top w:val="nil"/>
              <w:left w:val="nil"/>
              <w:bottom w:val="dotted" w:sz="4" w:space="0" w:color="auto"/>
              <w:right w:val="nil"/>
            </w:tcBorders>
            <w:shd w:val="clear" w:color="auto" w:fill="auto"/>
            <w:vAlign w:val="center"/>
            <w:hideMark/>
          </w:tcPr>
          <w:p w14:paraId="30533A8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03F9C24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 Stationary aspiratoris (JHS 16,000)</w:t>
            </w:r>
          </w:p>
        </w:tc>
        <w:tc>
          <w:tcPr>
            <w:tcW w:w="1701" w:type="dxa"/>
            <w:tcBorders>
              <w:top w:val="nil"/>
              <w:left w:val="nil"/>
              <w:bottom w:val="dotted" w:sz="4" w:space="0" w:color="auto"/>
              <w:right w:val="nil"/>
            </w:tcBorders>
            <w:shd w:val="clear" w:color="auto" w:fill="auto"/>
            <w:vAlign w:val="center"/>
            <w:hideMark/>
          </w:tcPr>
          <w:p w14:paraId="1F9F488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Cellulose ester membrane filter of </w:t>
            </w:r>
            <w:r w:rsidRPr="00E71630">
              <w:rPr>
                <w:rFonts w:ascii="Garamond" w:eastAsia="Times New Roman" w:hAnsi="Garamond" w:cs="Calibri"/>
                <w:color w:val="000000"/>
                <w:sz w:val="16"/>
                <w:szCs w:val="16"/>
                <w:lang w:eastAsia="en-GB"/>
              </w:rPr>
              <w:lastRenderedPageBreak/>
              <w:t>25mm diameter with pores of 0,8um size</w:t>
            </w:r>
          </w:p>
        </w:tc>
        <w:tc>
          <w:tcPr>
            <w:tcW w:w="1817" w:type="dxa"/>
            <w:tcBorders>
              <w:top w:val="nil"/>
              <w:left w:val="nil"/>
              <w:bottom w:val="dotted" w:sz="4" w:space="0" w:color="auto"/>
              <w:right w:val="nil"/>
            </w:tcBorders>
            <w:shd w:val="clear" w:color="auto" w:fill="auto"/>
            <w:vAlign w:val="center"/>
            <w:hideMark/>
          </w:tcPr>
          <w:p w14:paraId="3CAF47D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lastRenderedPageBreak/>
              <w:t>60-80 min</w:t>
            </w:r>
          </w:p>
        </w:tc>
        <w:tc>
          <w:tcPr>
            <w:tcW w:w="1943" w:type="dxa"/>
            <w:tcBorders>
              <w:top w:val="nil"/>
              <w:left w:val="nil"/>
              <w:bottom w:val="dotted" w:sz="4" w:space="0" w:color="auto"/>
              <w:right w:val="nil"/>
            </w:tcBorders>
            <w:shd w:val="clear" w:color="auto" w:fill="auto"/>
            <w:vAlign w:val="center"/>
            <w:hideMark/>
          </w:tcPr>
          <w:p w14:paraId="2B644EF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Optical phase contrast microscope with a green filter</w:t>
            </w:r>
          </w:p>
        </w:tc>
      </w:tr>
      <w:tr w:rsidR="008D2218" w:rsidRPr="00E71630" w14:paraId="21DC85B0"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528B3E7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(Swanepoel et al. 2011)</w:t>
            </w:r>
          </w:p>
        </w:tc>
        <w:tc>
          <w:tcPr>
            <w:tcW w:w="1952" w:type="dxa"/>
            <w:tcBorders>
              <w:top w:val="nil"/>
              <w:left w:val="nil"/>
              <w:bottom w:val="dotted" w:sz="4" w:space="0" w:color="auto"/>
              <w:right w:val="nil"/>
            </w:tcBorders>
            <w:shd w:val="clear" w:color="000000" w:fill="F2F2F2"/>
            <w:vAlign w:val="center"/>
            <w:hideMark/>
          </w:tcPr>
          <w:p w14:paraId="42E870F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298 respirable dust and respirable quartz measurements.</w:t>
            </w:r>
          </w:p>
        </w:tc>
        <w:tc>
          <w:tcPr>
            <w:tcW w:w="1496" w:type="dxa"/>
            <w:tcBorders>
              <w:top w:val="nil"/>
              <w:left w:val="nil"/>
              <w:bottom w:val="dotted" w:sz="4" w:space="0" w:color="auto"/>
              <w:right w:val="nil"/>
            </w:tcBorders>
            <w:shd w:val="clear" w:color="000000" w:fill="F2F2F2"/>
            <w:vAlign w:val="center"/>
            <w:hideMark/>
          </w:tcPr>
          <w:p w14:paraId="6A417DE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Quartz</w:t>
            </w:r>
          </w:p>
        </w:tc>
        <w:tc>
          <w:tcPr>
            <w:tcW w:w="1339" w:type="dxa"/>
            <w:tcBorders>
              <w:top w:val="nil"/>
              <w:left w:val="nil"/>
              <w:bottom w:val="dotted" w:sz="4" w:space="0" w:color="auto"/>
              <w:right w:val="nil"/>
            </w:tcBorders>
            <w:shd w:val="clear" w:color="000000" w:fill="F2F2F2"/>
            <w:vAlign w:val="center"/>
            <w:hideMark/>
          </w:tcPr>
          <w:p w14:paraId="6D8700A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w:t>
            </w:r>
          </w:p>
        </w:tc>
        <w:tc>
          <w:tcPr>
            <w:tcW w:w="2524" w:type="dxa"/>
            <w:tcBorders>
              <w:top w:val="nil"/>
              <w:left w:val="nil"/>
              <w:bottom w:val="dotted" w:sz="4" w:space="0" w:color="auto"/>
              <w:right w:val="nil"/>
            </w:tcBorders>
            <w:shd w:val="clear" w:color="000000" w:fill="F2F2F2"/>
            <w:vAlign w:val="center"/>
            <w:hideMark/>
          </w:tcPr>
          <w:p w14:paraId="6F30A6F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701" w:type="dxa"/>
            <w:tcBorders>
              <w:top w:val="nil"/>
              <w:left w:val="nil"/>
              <w:bottom w:val="dotted" w:sz="4" w:space="0" w:color="auto"/>
              <w:right w:val="nil"/>
            </w:tcBorders>
            <w:shd w:val="clear" w:color="000000" w:fill="F2F2F2"/>
            <w:vAlign w:val="center"/>
            <w:hideMark/>
          </w:tcPr>
          <w:p w14:paraId="3882104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000000" w:fill="F2F2F2"/>
            <w:vAlign w:val="center"/>
            <w:hideMark/>
          </w:tcPr>
          <w:p w14:paraId="70B800D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8 h</w:t>
            </w:r>
          </w:p>
        </w:tc>
        <w:tc>
          <w:tcPr>
            <w:tcW w:w="1943" w:type="dxa"/>
            <w:tcBorders>
              <w:top w:val="nil"/>
              <w:left w:val="nil"/>
              <w:bottom w:val="dotted" w:sz="4" w:space="0" w:color="auto"/>
              <w:right w:val="nil"/>
            </w:tcBorders>
            <w:shd w:val="clear" w:color="000000" w:fill="F2F2F2"/>
            <w:vAlign w:val="center"/>
            <w:hideMark/>
          </w:tcPr>
          <w:p w14:paraId="5E05DC2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X-ray diffraction (XRD) as specified in the HSE MDHS 101 method (HSE, 2005)</w:t>
            </w:r>
          </w:p>
        </w:tc>
      </w:tr>
      <w:tr w:rsidR="008D2218" w:rsidRPr="00E71630" w14:paraId="7483599E" w14:textId="77777777" w:rsidTr="008D2218">
        <w:trPr>
          <w:trHeight w:val="216"/>
        </w:trPr>
        <w:tc>
          <w:tcPr>
            <w:tcW w:w="1876" w:type="dxa"/>
            <w:tcBorders>
              <w:top w:val="nil"/>
              <w:left w:val="nil"/>
              <w:bottom w:val="nil"/>
              <w:right w:val="nil"/>
            </w:tcBorders>
            <w:shd w:val="clear" w:color="auto" w:fill="auto"/>
            <w:vAlign w:val="center"/>
            <w:hideMark/>
          </w:tcPr>
          <w:p w14:paraId="2401748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(Wei et al. 2019)</w:t>
            </w:r>
          </w:p>
        </w:tc>
        <w:tc>
          <w:tcPr>
            <w:tcW w:w="1952" w:type="dxa"/>
            <w:tcBorders>
              <w:top w:val="nil"/>
              <w:left w:val="nil"/>
              <w:bottom w:val="nil"/>
              <w:right w:val="nil"/>
            </w:tcBorders>
            <w:shd w:val="clear" w:color="auto" w:fill="auto"/>
            <w:vAlign w:val="center"/>
            <w:hideMark/>
          </w:tcPr>
          <w:p w14:paraId="66E00C5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vMerge w:val="restart"/>
            <w:tcBorders>
              <w:top w:val="nil"/>
              <w:left w:val="nil"/>
              <w:bottom w:val="dotted" w:sz="4" w:space="0" w:color="000000"/>
              <w:right w:val="nil"/>
            </w:tcBorders>
            <w:shd w:val="clear" w:color="auto" w:fill="auto"/>
            <w:vAlign w:val="center"/>
            <w:hideMark/>
          </w:tcPr>
          <w:p w14:paraId="3C47949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CO</w:t>
            </w:r>
          </w:p>
        </w:tc>
        <w:tc>
          <w:tcPr>
            <w:tcW w:w="1339" w:type="dxa"/>
            <w:tcBorders>
              <w:top w:val="nil"/>
              <w:left w:val="nil"/>
              <w:bottom w:val="nil"/>
              <w:right w:val="nil"/>
            </w:tcBorders>
            <w:shd w:val="clear" w:color="auto" w:fill="auto"/>
            <w:vAlign w:val="center"/>
            <w:hideMark/>
          </w:tcPr>
          <w:p w14:paraId="211C5D44"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nil"/>
              <w:right w:val="nil"/>
            </w:tcBorders>
            <w:shd w:val="clear" w:color="auto" w:fill="auto"/>
            <w:vAlign w:val="center"/>
            <w:hideMark/>
          </w:tcPr>
          <w:p w14:paraId="5832CF9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CO analyzer (Thermo Scientific, model 48C)</w:t>
            </w:r>
          </w:p>
        </w:tc>
        <w:tc>
          <w:tcPr>
            <w:tcW w:w="1701" w:type="dxa"/>
            <w:tcBorders>
              <w:top w:val="nil"/>
              <w:left w:val="nil"/>
              <w:bottom w:val="nil"/>
              <w:right w:val="nil"/>
            </w:tcBorders>
            <w:shd w:val="clear" w:color="auto" w:fill="auto"/>
            <w:vAlign w:val="center"/>
            <w:hideMark/>
          </w:tcPr>
          <w:p w14:paraId="3051F40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nil"/>
              <w:right w:val="nil"/>
            </w:tcBorders>
            <w:shd w:val="clear" w:color="auto" w:fill="auto"/>
            <w:vAlign w:val="center"/>
            <w:hideMark/>
          </w:tcPr>
          <w:p w14:paraId="530B57C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23 h </w:t>
            </w:r>
          </w:p>
        </w:tc>
        <w:tc>
          <w:tcPr>
            <w:tcW w:w="1943" w:type="dxa"/>
            <w:tcBorders>
              <w:top w:val="nil"/>
              <w:left w:val="nil"/>
              <w:bottom w:val="nil"/>
              <w:right w:val="nil"/>
            </w:tcBorders>
            <w:shd w:val="clear" w:color="auto" w:fill="auto"/>
            <w:vAlign w:val="center"/>
            <w:hideMark/>
          </w:tcPr>
          <w:p w14:paraId="75345A9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01910909"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6E1206C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(Reinhardt et al. 2011)</w:t>
            </w:r>
          </w:p>
        </w:tc>
        <w:tc>
          <w:tcPr>
            <w:tcW w:w="1952" w:type="dxa"/>
            <w:tcBorders>
              <w:top w:val="nil"/>
              <w:left w:val="nil"/>
              <w:bottom w:val="dotted" w:sz="4" w:space="0" w:color="auto"/>
              <w:right w:val="nil"/>
            </w:tcBorders>
            <w:shd w:val="clear" w:color="auto" w:fill="auto"/>
            <w:vAlign w:val="center"/>
            <w:hideMark/>
          </w:tcPr>
          <w:p w14:paraId="449B987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vMerge/>
            <w:tcBorders>
              <w:top w:val="nil"/>
              <w:left w:val="nil"/>
              <w:bottom w:val="dotted" w:sz="4" w:space="0" w:color="000000"/>
              <w:right w:val="nil"/>
            </w:tcBorders>
            <w:vAlign w:val="center"/>
            <w:hideMark/>
          </w:tcPr>
          <w:p w14:paraId="2034539D"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dotted" w:sz="4" w:space="0" w:color="auto"/>
              <w:right w:val="nil"/>
            </w:tcBorders>
            <w:shd w:val="clear" w:color="auto" w:fill="auto"/>
            <w:vAlign w:val="center"/>
            <w:hideMark/>
          </w:tcPr>
          <w:p w14:paraId="12786DB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31163B2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Inert gas sampling bag</w:t>
            </w:r>
          </w:p>
        </w:tc>
        <w:tc>
          <w:tcPr>
            <w:tcW w:w="1701" w:type="dxa"/>
            <w:tcBorders>
              <w:top w:val="nil"/>
              <w:left w:val="nil"/>
              <w:bottom w:val="dotted" w:sz="4" w:space="0" w:color="auto"/>
              <w:right w:val="nil"/>
            </w:tcBorders>
            <w:shd w:val="clear" w:color="auto" w:fill="auto"/>
            <w:vAlign w:val="center"/>
            <w:hideMark/>
          </w:tcPr>
          <w:p w14:paraId="3CE93FE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auto" w:fill="auto"/>
            <w:vAlign w:val="center"/>
            <w:hideMark/>
          </w:tcPr>
          <w:p w14:paraId="5B458C3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dotted" w:sz="4" w:space="0" w:color="auto"/>
              <w:right w:val="nil"/>
            </w:tcBorders>
            <w:shd w:val="clear" w:color="auto" w:fill="auto"/>
            <w:vAlign w:val="center"/>
            <w:hideMark/>
          </w:tcPr>
          <w:p w14:paraId="1620C0C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0B09A954"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3414573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(Jimenez et al. 2006)</w:t>
            </w:r>
          </w:p>
        </w:tc>
        <w:tc>
          <w:tcPr>
            <w:tcW w:w="1952" w:type="dxa"/>
            <w:tcBorders>
              <w:top w:val="nil"/>
              <w:left w:val="nil"/>
              <w:bottom w:val="dotted" w:sz="4" w:space="0" w:color="auto"/>
              <w:right w:val="nil"/>
            </w:tcBorders>
            <w:shd w:val="clear" w:color="000000" w:fill="F2F2F2"/>
            <w:vAlign w:val="center"/>
            <w:hideMark/>
          </w:tcPr>
          <w:p w14:paraId="0B62B49F" w14:textId="2DD5716B"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2842 observations</w:t>
            </w:r>
          </w:p>
        </w:tc>
        <w:tc>
          <w:tcPr>
            <w:tcW w:w="1496" w:type="dxa"/>
            <w:tcBorders>
              <w:top w:val="nil"/>
              <w:left w:val="nil"/>
              <w:bottom w:val="dotted" w:sz="4" w:space="0" w:color="auto"/>
              <w:right w:val="nil"/>
            </w:tcBorders>
            <w:shd w:val="clear" w:color="000000" w:fill="F2F2F2"/>
            <w:vAlign w:val="center"/>
            <w:hideMark/>
          </w:tcPr>
          <w:p w14:paraId="64B7FC5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CO</w:t>
            </w:r>
            <w:r w:rsidRPr="00E71630">
              <w:rPr>
                <w:rFonts w:ascii="Garamond" w:eastAsia="Times New Roman" w:hAnsi="Garamond" w:cs="Calibri"/>
                <w:color w:val="000000"/>
                <w:sz w:val="16"/>
                <w:szCs w:val="16"/>
                <w:vertAlign w:val="subscript"/>
                <w:lang w:eastAsia="en-GB"/>
              </w:rPr>
              <w:t>2</w:t>
            </w:r>
          </w:p>
        </w:tc>
        <w:tc>
          <w:tcPr>
            <w:tcW w:w="1339" w:type="dxa"/>
            <w:tcBorders>
              <w:top w:val="nil"/>
              <w:left w:val="nil"/>
              <w:bottom w:val="dotted" w:sz="4" w:space="0" w:color="auto"/>
              <w:right w:val="nil"/>
            </w:tcBorders>
            <w:shd w:val="clear" w:color="000000" w:fill="F2F2F2"/>
            <w:vAlign w:val="center"/>
            <w:hideMark/>
          </w:tcPr>
          <w:p w14:paraId="0159274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000000" w:fill="F2F2F2"/>
            <w:vAlign w:val="center"/>
            <w:hideMark/>
          </w:tcPr>
          <w:p w14:paraId="5444CCD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CO</w:t>
            </w:r>
            <w:r w:rsidRPr="00E71630">
              <w:rPr>
                <w:rFonts w:ascii="Garamond" w:eastAsia="Times New Roman" w:hAnsi="Garamond" w:cs="Calibri"/>
                <w:color w:val="000000"/>
                <w:sz w:val="16"/>
                <w:szCs w:val="16"/>
                <w:vertAlign w:val="subscript"/>
                <w:lang w:eastAsia="en-GB"/>
              </w:rPr>
              <w:t>2</w:t>
            </w:r>
            <w:r w:rsidRPr="00E71630">
              <w:rPr>
                <w:rFonts w:ascii="Garamond" w:eastAsia="Times New Roman" w:hAnsi="Garamond" w:cs="Calibri"/>
                <w:color w:val="000000"/>
                <w:sz w:val="16"/>
                <w:szCs w:val="16"/>
                <w:lang w:eastAsia="en-GB"/>
              </w:rPr>
              <w:t xml:space="preserve"> analyzer (Telaire 1050 Engelhard, Goleta, CA)</w:t>
            </w:r>
          </w:p>
        </w:tc>
        <w:tc>
          <w:tcPr>
            <w:tcW w:w="1701" w:type="dxa"/>
            <w:tcBorders>
              <w:top w:val="nil"/>
              <w:left w:val="nil"/>
              <w:bottom w:val="dotted" w:sz="4" w:space="0" w:color="auto"/>
              <w:right w:val="nil"/>
            </w:tcBorders>
            <w:shd w:val="clear" w:color="000000" w:fill="F2F2F2"/>
            <w:vAlign w:val="center"/>
            <w:hideMark/>
          </w:tcPr>
          <w:p w14:paraId="6E72820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000000" w:fill="F2F2F2"/>
            <w:vAlign w:val="center"/>
            <w:hideMark/>
          </w:tcPr>
          <w:p w14:paraId="39F462B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10 min</w:t>
            </w:r>
          </w:p>
        </w:tc>
        <w:tc>
          <w:tcPr>
            <w:tcW w:w="1943" w:type="dxa"/>
            <w:tcBorders>
              <w:top w:val="nil"/>
              <w:left w:val="nil"/>
              <w:bottom w:val="dotted" w:sz="4" w:space="0" w:color="auto"/>
              <w:right w:val="nil"/>
            </w:tcBorders>
            <w:shd w:val="clear" w:color="000000" w:fill="F2F2F2"/>
            <w:vAlign w:val="center"/>
            <w:hideMark/>
          </w:tcPr>
          <w:p w14:paraId="6F7C34F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03B7036A"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0CB19FB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(Maw et al. 2002)</w:t>
            </w:r>
          </w:p>
        </w:tc>
        <w:tc>
          <w:tcPr>
            <w:tcW w:w="1952" w:type="dxa"/>
            <w:tcBorders>
              <w:top w:val="nil"/>
              <w:left w:val="nil"/>
              <w:bottom w:val="dotted" w:sz="4" w:space="0" w:color="auto"/>
              <w:right w:val="nil"/>
            </w:tcBorders>
            <w:shd w:val="clear" w:color="auto" w:fill="auto"/>
            <w:vAlign w:val="center"/>
            <w:hideMark/>
          </w:tcPr>
          <w:p w14:paraId="1548B25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4 farms + 1 background.</w:t>
            </w:r>
          </w:p>
        </w:tc>
        <w:tc>
          <w:tcPr>
            <w:tcW w:w="1496" w:type="dxa"/>
            <w:tcBorders>
              <w:top w:val="nil"/>
              <w:left w:val="nil"/>
              <w:bottom w:val="dotted" w:sz="4" w:space="0" w:color="auto"/>
              <w:right w:val="nil"/>
            </w:tcBorders>
            <w:shd w:val="clear" w:color="auto" w:fill="auto"/>
            <w:vAlign w:val="center"/>
            <w:hideMark/>
          </w:tcPr>
          <w:p w14:paraId="20EE169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NO</w:t>
            </w:r>
          </w:p>
        </w:tc>
        <w:tc>
          <w:tcPr>
            <w:tcW w:w="1339" w:type="dxa"/>
            <w:tcBorders>
              <w:top w:val="nil"/>
              <w:left w:val="nil"/>
              <w:bottom w:val="dotted" w:sz="4" w:space="0" w:color="auto"/>
              <w:right w:val="nil"/>
            </w:tcBorders>
            <w:shd w:val="clear" w:color="auto" w:fill="auto"/>
            <w:vAlign w:val="center"/>
            <w:hideMark/>
          </w:tcPr>
          <w:p w14:paraId="68E62D3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6160BEC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Chemiluminescence analysis (Advanced Pollution Instruments, U.S.A.)</w:t>
            </w:r>
          </w:p>
        </w:tc>
        <w:tc>
          <w:tcPr>
            <w:tcW w:w="1701" w:type="dxa"/>
            <w:tcBorders>
              <w:top w:val="nil"/>
              <w:left w:val="nil"/>
              <w:bottom w:val="dotted" w:sz="4" w:space="0" w:color="auto"/>
              <w:right w:val="nil"/>
            </w:tcBorders>
            <w:shd w:val="clear" w:color="auto" w:fill="auto"/>
            <w:vAlign w:val="center"/>
            <w:hideMark/>
          </w:tcPr>
          <w:p w14:paraId="57842D3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auto" w:fill="auto"/>
            <w:vAlign w:val="center"/>
            <w:hideMark/>
          </w:tcPr>
          <w:p w14:paraId="04C85F8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dotted" w:sz="4" w:space="0" w:color="auto"/>
              <w:right w:val="nil"/>
            </w:tcBorders>
            <w:shd w:val="clear" w:color="auto" w:fill="auto"/>
            <w:vAlign w:val="center"/>
            <w:hideMark/>
          </w:tcPr>
          <w:p w14:paraId="16061DE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56FE26F7" w14:textId="77777777" w:rsidTr="008D2218">
        <w:trPr>
          <w:trHeight w:val="216"/>
        </w:trPr>
        <w:tc>
          <w:tcPr>
            <w:tcW w:w="1876" w:type="dxa"/>
            <w:tcBorders>
              <w:top w:val="nil"/>
              <w:left w:val="nil"/>
              <w:bottom w:val="nil"/>
              <w:right w:val="nil"/>
            </w:tcBorders>
            <w:shd w:val="clear" w:color="000000" w:fill="F2F2F2"/>
            <w:vAlign w:val="center"/>
            <w:hideMark/>
          </w:tcPr>
          <w:p w14:paraId="1F0AA5B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(Maw et al. 2002)</w:t>
            </w:r>
          </w:p>
        </w:tc>
        <w:tc>
          <w:tcPr>
            <w:tcW w:w="1952" w:type="dxa"/>
            <w:tcBorders>
              <w:top w:val="nil"/>
              <w:left w:val="nil"/>
              <w:bottom w:val="nil"/>
              <w:right w:val="nil"/>
            </w:tcBorders>
            <w:shd w:val="clear" w:color="000000" w:fill="F2F2F2"/>
            <w:vAlign w:val="center"/>
            <w:hideMark/>
          </w:tcPr>
          <w:p w14:paraId="76843DC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4 farms + 1 background.</w:t>
            </w:r>
          </w:p>
        </w:tc>
        <w:tc>
          <w:tcPr>
            <w:tcW w:w="1496" w:type="dxa"/>
            <w:vMerge w:val="restart"/>
            <w:tcBorders>
              <w:top w:val="nil"/>
              <w:left w:val="nil"/>
              <w:bottom w:val="dotted" w:sz="4" w:space="0" w:color="000000"/>
              <w:right w:val="nil"/>
            </w:tcBorders>
            <w:shd w:val="clear" w:color="000000" w:fill="F2F2F2"/>
            <w:vAlign w:val="center"/>
            <w:hideMark/>
          </w:tcPr>
          <w:p w14:paraId="4A424B5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NO</w:t>
            </w:r>
            <w:r w:rsidRPr="00E71630">
              <w:rPr>
                <w:rFonts w:ascii="Garamond" w:eastAsia="Times New Roman" w:hAnsi="Garamond" w:cs="Calibri"/>
                <w:color w:val="000000"/>
                <w:sz w:val="16"/>
                <w:szCs w:val="16"/>
                <w:vertAlign w:val="subscript"/>
                <w:lang w:eastAsia="en-GB"/>
              </w:rPr>
              <w:t>2</w:t>
            </w:r>
          </w:p>
        </w:tc>
        <w:tc>
          <w:tcPr>
            <w:tcW w:w="1339" w:type="dxa"/>
            <w:tcBorders>
              <w:top w:val="nil"/>
              <w:left w:val="nil"/>
              <w:bottom w:val="nil"/>
              <w:right w:val="nil"/>
            </w:tcBorders>
            <w:shd w:val="clear" w:color="000000" w:fill="F2F2F2"/>
            <w:vAlign w:val="center"/>
            <w:hideMark/>
          </w:tcPr>
          <w:p w14:paraId="6C5118D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nil"/>
              <w:right w:val="nil"/>
            </w:tcBorders>
            <w:shd w:val="clear" w:color="000000" w:fill="F2F2F2"/>
            <w:vAlign w:val="center"/>
            <w:hideMark/>
          </w:tcPr>
          <w:p w14:paraId="7E3351A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Chemiluminescence analysis (Advanced Pollution Instruments, U.S.A.)</w:t>
            </w:r>
          </w:p>
        </w:tc>
        <w:tc>
          <w:tcPr>
            <w:tcW w:w="1701" w:type="dxa"/>
            <w:tcBorders>
              <w:top w:val="nil"/>
              <w:left w:val="nil"/>
              <w:bottom w:val="nil"/>
              <w:right w:val="nil"/>
            </w:tcBorders>
            <w:shd w:val="clear" w:color="000000" w:fill="F2F2F2"/>
            <w:vAlign w:val="center"/>
            <w:hideMark/>
          </w:tcPr>
          <w:p w14:paraId="11CFD08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nil"/>
              <w:right w:val="nil"/>
            </w:tcBorders>
            <w:shd w:val="clear" w:color="000000" w:fill="F2F2F2"/>
            <w:vAlign w:val="center"/>
            <w:hideMark/>
          </w:tcPr>
          <w:p w14:paraId="6C7F9DB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nil"/>
              <w:right w:val="nil"/>
            </w:tcBorders>
            <w:shd w:val="clear" w:color="000000" w:fill="F2F2F2"/>
            <w:vAlign w:val="center"/>
            <w:hideMark/>
          </w:tcPr>
          <w:p w14:paraId="76D1503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6127CE9D"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6F29B05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(Zbieranowski and Aherne 2012)</w:t>
            </w:r>
          </w:p>
        </w:tc>
        <w:tc>
          <w:tcPr>
            <w:tcW w:w="1952" w:type="dxa"/>
            <w:tcBorders>
              <w:top w:val="nil"/>
              <w:left w:val="nil"/>
              <w:bottom w:val="dotted" w:sz="4" w:space="0" w:color="auto"/>
              <w:right w:val="nil"/>
            </w:tcBorders>
            <w:shd w:val="clear" w:color="000000" w:fill="F2F2F2"/>
            <w:vAlign w:val="center"/>
            <w:hideMark/>
          </w:tcPr>
          <w:p w14:paraId="2D5FC96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vMerge/>
            <w:tcBorders>
              <w:top w:val="nil"/>
              <w:left w:val="nil"/>
              <w:bottom w:val="dotted" w:sz="4" w:space="0" w:color="000000"/>
              <w:right w:val="nil"/>
            </w:tcBorders>
            <w:vAlign w:val="center"/>
            <w:hideMark/>
          </w:tcPr>
          <w:p w14:paraId="4EBF85A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dotted" w:sz="4" w:space="0" w:color="auto"/>
              <w:right w:val="nil"/>
            </w:tcBorders>
            <w:shd w:val="clear" w:color="000000" w:fill="F2F2F2"/>
            <w:vAlign w:val="center"/>
            <w:hideMark/>
          </w:tcPr>
          <w:p w14:paraId="2477722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000000" w:fill="F2F2F2"/>
            <w:vAlign w:val="center"/>
            <w:hideMark/>
          </w:tcPr>
          <w:p w14:paraId="1563CA4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Willems badge passive sampler</w:t>
            </w:r>
          </w:p>
        </w:tc>
        <w:tc>
          <w:tcPr>
            <w:tcW w:w="1701" w:type="dxa"/>
            <w:tcBorders>
              <w:top w:val="nil"/>
              <w:left w:val="nil"/>
              <w:bottom w:val="dotted" w:sz="4" w:space="0" w:color="auto"/>
              <w:right w:val="nil"/>
            </w:tcBorders>
            <w:shd w:val="clear" w:color="000000" w:fill="F2F2F2"/>
            <w:vAlign w:val="center"/>
            <w:hideMark/>
          </w:tcPr>
          <w:p w14:paraId="30545D9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000000" w:fill="F2F2F2"/>
            <w:vAlign w:val="center"/>
            <w:hideMark/>
          </w:tcPr>
          <w:p w14:paraId="2F97222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dotted" w:sz="4" w:space="0" w:color="auto"/>
              <w:right w:val="nil"/>
            </w:tcBorders>
            <w:shd w:val="clear" w:color="000000" w:fill="F2F2F2"/>
            <w:vAlign w:val="center"/>
            <w:hideMark/>
          </w:tcPr>
          <w:p w14:paraId="54050F4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UVeVIS Spectrometer (Perkin Elmer Lambda XLS) at a wavelength of 540 nm</w:t>
            </w:r>
          </w:p>
        </w:tc>
      </w:tr>
      <w:tr w:rsidR="008D2218" w:rsidRPr="00E71630" w14:paraId="0E71ADB5" w14:textId="77777777" w:rsidTr="008D2218">
        <w:trPr>
          <w:trHeight w:val="216"/>
        </w:trPr>
        <w:tc>
          <w:tcPr>
            <w:tcW w:w="1876" w:type="dxa"/>
            <w:tcBorders>
              <w:top w:val="nil"/>
              <w:left w:val="nil"/>
              <w:bottom w:val="nil"/>
              <w:right w:val="nil"/>
            </w:tcBorders>
            <w:shd w:val="clear" w:color="auto" w:fill="auto"/>
            <w:vAlign w:val="center"/>
            <w:hideMark/>
          </w:tcPr>
          <w:p w14:paraId="4F2E433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(Jimenez et al. 2006)</w:t>
            </w:r>
          </w:p>
        </w:tc>
        <w:tc>
          <w:tcPr>
            <w:tcW w:w="1952" w:type="dxa"/>
            <w:tcBorders>
              <w:top w:val="nil"/>
              <w:left w:val="nil"/>
              <w:bottom w:val="nil"/>
              <w:right w:val="nil"/>
            </w:tcBorders>
            <w:shd w:val="clear" w:color="auto" w:fill="auto"/>
            <w:vAlign w:val="center"/>
            <w:hideMark/>
          </w:tcPr>
          <w:p w14:paraId="3CD64BB5" w14:textId="706CCF6A"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2857 observations</w:t>
            </w:r>
          </w:p>
        </w:tc>
        <w:tc>
          <w:tcPr>
            <w:tcW w:w="1496" w:type="dxa"/>
            <w:vMerge w:val="restart"/>
            <w:tcBorders>
              <w:top w:val="nil"/>
              <w:left w:val="nil"/>
              <w:bottom w:val="dotted" w:sz="4" w:space="0" w:color="000000"/>
              <w:right w:val="nil"/>
            </w:tcBorders>
            <w:shd w:val="clear" w:color="auto" w:fill="auto"/>
            <w:vAlign w:val="center"/>
            <w:hideMark/>
          </w:tcPr>
          <w:p w14:paraId="042342B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NO</w:t>
            </w:r>
            <w:r w:rsidRPr="00E71630">
              <w:rPr>
                <w:rFonts w:ascii="Garamond" w:eastAsia="Times New Roman" w:hAnsi="Garamond" w:cs="Calibri"/>
                <w:color w:val="000000"/>
                <w:sz w:val="16"/>
                <w:szCs w:val="16"/>
                <w:vertAlign w:val="subscript"/>
                <w:lang w:eastAsia="en-GB"/>
              </w:rPr>
              <w:t>x</w:t>
            </w:r>
          </w:p>
        </w:tc>
        <w:tc>
          <w:tcPr>
            <w:tcW w:w="1339" w:type="dxa"/>
            <w:tcBorders>
              <w:top w:val="nil"/>
              <w:left w:val="nil"/>
              <w:bottom w:val="nil"/>
              <w:right w:val="nil"/>
            </w:tcBorders>
            <w:shd w:val="clear" w:color="auto" w:fill="auto"/>
            <w:vAlign w:val="center"/>
            <w:hideMark/>
          </w:tcPr>
          <w:p w14:paraId="57C2FF6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nil"/>
              <w:right w:val="nil"/>
            </w:tcBorders>
            <w:shd w:val="clear" w:color="auto" w:fill="auto"/>
            <w:vAlign w:val="center"/>
            <w:hideMark/>
          </w:tcPr>
          <w:p w14:paraId="6ECE0B74"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NO</w:t>
            </w:r>
            <w:r w:rsidRPr="00E71630">
              <w:rPr>
                <w:rFonts w:ascii="Garamond" w:eastAsia="Times New Roman" w:hAnsi="Garamond" w:cs="Calibri"/>
                <w:color w:val="000000"/>
                <w:sz w:val="16"/>
                <w:szCs w:val="16"/>
                <w:vertAlign w:val="subscript"/>
                <w:lang w:eastAsia="en-GB"/>
              </w:rPr>
              <w:t>x</w:t>
            </w:r>
            <w:r w:rsidRPr="00E71630">
              <w:rPr>
                <w:rFonts w:ascii="Garamond" w:eastAsia="Times New Roman" w:hAnsi="Garamond" w:cs="Calibri"/>
                <w:color w:val="000000"/>
                <w:sz w:val="16"/>
                <w:szCs w:val="16"/>
                <w:lang w:eastAsia="en-GB"/>
              </w:rPr>
              <w:t xml:space="preserve"> analyzer (model 42 Thermal Environmental Instruments, Inc.)</w:t>
            </w:r>
          </w:p>
        </w:tc>
        <w:tc>
          <w:tcPr>
            <w:tcW w:w="1701" w:type="dxa"/>
            <w:tcBorders>
              <w:top w:val="nil"/>
              <w:left w:val="nil"/>
              <w:bottom w:val="nil"/>
              <w:right w:val="nil"/>
            </w:tcBorders>
            <w:shd w:val="clear" w:color="auto" w:fill="auto"/>
            <w:vAlign w:val="center"/>
            <w:hideMark/>
          </w:tcPr>
          <w:p w14:paraId="719A61F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nil"/>
              <w:right w:val="nil"/>
            </w:tcBorders>
            <w:shd w:val="clear" w:color="auto" w:fill="auto"/>
            <w:vAlign w:val="center"/>
            <w:hideMark/>
          </w:tcPr>
          <w:p w14:paraId="4AAC3DA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10 min</w:t>
            </w:r>
          </w:p>
        </w:tc>
        <w:tc>
          <w:tcPr>
            <w:tcW w:w="1943" w:type="dxa"/>
            <w:tcBorders>
              <w:top w:val="nil"/>
              <w:left w:val="nil"/>
              <w:bottom w:val="nil"/>
              <w:right w:val="nil"/>
            </w:tcBorders>
            <w:shd w:val="clear" w:color="auto" w:fill="auto"/>
            <w:vAlign w:val="center"/>
            <w:hideMark/>
          </w:tcPr>
          <w:p w14:paraId="4CC7220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37094E27"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3A21A49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(Wei et al. 2019)</w:t>
            </w:r>
          </w:p>
        </w:tc>
        <w:tc>
          <w:tcPr>
            <w:tcW w:w="1952" w:type="dxa"/>
            <w:tcBorders>
              <w:top w:val="nil"/>
              <w:left w:val="nil"/>
              <w:bottom w:val="dotted" w:sz="4" w:space="0" w:color="auto"/>
              <w:right w:val="nil"/>
            </w:tcBorders>
            <w:shd w:val="clear" w:color="auto" w:fill="auto"/>
            <w:vAlign w:val="center"/>
            <w:hideMark/>
          </w:tcPr>
          <w:p w14:paraId="37B3F24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vMerge/>
            <w:tcBorders>
              <w:top w:val="nil"/>
              <w:left w:val="nil"/>
              <w:bottom w:val="dotted" w:sz="4" w:space="0" w:color="000000"/>
              <w:right w:val="nil"/>
            </w:tcBorders>
            <w:vAlign w:val="center"/>
            <w:hideMark/>
          </w:tcPr>
          <w:p w14:paraId="0D63255B"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dotted" w:sz="4" w:space="0" w:color="auto"/>
              <w:right w:val="nil"/>
            </w:tcBorders>
            <w:shd w:val="clear" w:color="auto" w:fill="auto"/>
            <w:vAlign w:val="center"/>
            <w:hideMark/>
          </w:tcPr>
          <w:p w14:paraId="2F9CBC1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2AE7D83B" w14:textId="77777777" w:rsidR="008D2218" w:rsidRPr="00E71630" w:rsidRDefault="008D2218" w:rsidP="00E71630">
            <w:pPr>
              <w:spacing w:after="0" w:line="240" w:lineRule="auto"/>
              <w:rPr>
                <w:rFonts w:ascii="Calibri" w:eastAsia="Times New Roman" w:hAnsi="Calibri" w:cs="Calibri"/>
                <w:color w:val="000000"/>
                <w:sz w:val="16"/>
                <w:szCs w:val="16"/>
                <w:lang w:eastAsia="en-GB"/>
              </w:rPr>
            </w:pPr>
            <w:r w:rsidRPr="00E71630">
              <w:rPr>
                <w:rFonts w:ascii="Calibri" w:eastAsia="Times New Roman" w:hAnsi="Calibri" w:cs="Calibri"/>
                <w:color w:val="000000"/>
                <w:sz w:val="16"/>
                <w:szCs w:val="16"/>
                <w:lang w:eastAsia="en-GB"/>
              </w:rPr>
              <w:t> </w:t>
            </w:r>
          </w:p>
        </w:tc>
        <w:tc>
          <w:tcPr>
            <w:tcW w:w="1701" w:type="dxa"/>
            <w:tcBorders>
              <w:top w:val="nil"/>
              <w:left w:val="nil"/>
              <w:bottom w:val="dotted" w:sz="4" w:space="0" w:color="auto"/>
              <w:right w:val="nil"/>
            </w:tcBorders>
            <w:shd w:val="clear" w:color="auto" w:fill="auto"/>
            <w:vAlign w:val="center"/>
            <w:hideMark/>
          </w:tcPr>
          <w:p w14:paraId="1B5F132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auto" w:fill="auto"/>
            <w:vAlign w:val="center"/>
            <w:hideMark/>
          </w:tcPr>
          <w:p w14:paraId="296F3A4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23 h </w:t>
            </w:r>
          </w:p>
        </w:tc>
        <w:tc>
          <w:tcPr>
            <w:tcW w:w="1943" w:type="dxa"/>
            <w:tcBorders>
              <w:top w:val="nil"/>
              <w:left w:val="nil"/>
              <w:bottom w:val="dotted" w:sz="4" w:space="0" w:color="auto"/>
              <w:right w:val="nil"/>
            </w:tcBorders>
            <w:shd w:val="clear" w:color="auto" w:fill="auto"/>
            <w:vAlign w:val="center"/>
            <w:hideMark/>
          </w:tcPr>
          <w:p w14:paraId="2B1A9D1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61AE8C76"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7B07FCFD" w14:textId="58E6EB6E" w:rsidR="008D2218" w:rsidRPr="00E71630" w:rsidRDefault="002B5763" w:rsidP="00E71630">
            <w:pPr>
              <w:spacing w:after="0" w:line="240" w:lineRule="auto"/>
              <w:jc w:val="both"/>
              <w:rPr>
                <w:rFonts w:ascii="Garamond" w:eastAsia="Times New Roman" w:hAnsi="Garamond" w:cs="Calibri"/>
                <w:color w:val="000000"/>
                <w:sz w:val="16"/>
                <w:szCs w:val="16"/>
                <w:lang w:eastAsia="en-GB"/>
              </w:rPr>
            </w:pPr>
            <w:r>
              <w:rPr>
                <w:rFonts w:ascii="Garamond" w:eastAsia="Times New Roman" w:hAnsi="Garamond" w:cs="Calibri"/>
                <w:noProof/>
                <w:color w:val="000000"/>
                <w:sz w:val="16"/>
                <w:szCs w:val="16"/>
                <w:lang w:eastAsia="en-GB"/>
              </w:rPr>
              <w:fldChar w:fldCharType="begin" w:fldLock="1"/>
            </w:r>
            <w:r w:rsidR="00A84515">
              <w:rPr>
                <w:rFonts w:ascii="Garamond" w:eastAsia="Times New Roman" w:hAnsi="Garamond" w:cs="Calibri"/>
                <w:noProof/>
                <w:color w:val="000000"/>
                <w:sz w:val="16"/>
                <w:szCs w:val="16"/>
                <w:lang w:eastAsia="en-GB"/>
              </w:rPr>
              <w:instrText>ADDIN CSL_CITATION {"citationItems":[{"id":"ITEM-1","itemData":{"DOI":"10.1016/j.scitotenv.2018.09.399","ISSN":"0048-9697","author":[{"dropping-particle":"","family":"Wei","given":"Min","non-dropping-particle":"","parse-names":false,"suffix":""},{"dropping-particle":"","family":"Xu","given":"Caihong","non-dropping-particle":"","parse-names":false,"suffix":""},{"dropping-particle":"","family":"Xu","given":"Xianmang","non-dropping-particle":"","parse-names":false,"suffix":""},{"dropping-particle":"","family":"Zhu","given":"Chao","non-dropping-particle":"","parse-names":false,"suffix":""},{"dropping-particle":"","family":"Li","given":"Jiarong","non-dropping-particle":"","parse-names":false,"suffix":""},{"dropping-particle":"","family":"Lv","given":"Ganglin","non-dropping-particle":"","parse-names":false,"suffix":""}],"container-title":"Science of the Total Environment","id":"ITEM-1","issued":{"date-parts":[["2019"]]},"page":"2727-2739","publisher":"Elsevier B.V.","title":"Science of the Total Environment Characteristics of atmospheric bacterial and fungal communities in PM 2 . 5 following biomass burning disturbance in a rural area of North China Plain","type":"article-journal","volume":"651"},"uris":["http://www.mendeley.com/documents/?uuid=97a25a38-ccde-47a3-a44d-0e5c342d5b01"]}],"mendeley":{"formattedCitation":"(Wei et al. 2019)","plainTextFormattedCitation":"(Wei et al. 2019)","previouslyFormattedCitation":"(Wei et al. 2019)"},"properties":{"noteIndex":0},"schema":"https://github.com/citation-style-language/schema/raw/master/csl-citation.json"}</w:instrText>
            </w:r>
            <w:r>
              <w:rPr>
                <w:rFonts w:ascii="Garamond" w:eastAsia="Times New Roman" w:hAnsi="Garamond" w:cs="Calibri"/>
                <w:noProof/>
                <w:color w:val="000000"/>
                <w:sz w:val="16"/>
                <w:szCs w:val="16"/>
                <w:lang w:eastAsia="en-GB"/>
              </w:rPr>
              <w:fldChar w:fldCharType="separate"/>
            </w:r>
            <w:r w:rsidRPr="002B5763">
              <w:rPr>
                <w:rFonts w:ascii="Garamond" w:eastAsia="Times New Roman" w:hAnsi="Garamond" w:cs="Calibri"/>
                <w:noProof/>
                <w:color w:val="000000"/>
                <w:sz w:val="16"/>
                <w:szCs w:val="16"/>
                <w:lang w:eastAsia="en-GB"/>
              </w:rPr>
              <w:t>(Wei et al. 2019)</w:t>
            </w:r>
            <w:r>
              <w:rPr>
                <w:rFonts w:ascii="Garamond" w:eastAsia="Times New Roman" w:hAnsi="Garamond" w:cs="Calibri"/>
                <w:noProof/>
                <w:color w:val="000000"/>
                <w:sz w:val="16"/>
                <w:szCs w:val="16"/>
                <w:lang w:eastAsia="en-GB"/>
              </w:rPr>
              <w:fldChar w:fldCharType="end"/>
            </w:r>
          </w:p>
        </w:tc>
        <w:tc>
          <w:tcPr>
            <w:tcW w:w="1952" w:type="dxa"/>
            <w:tcBorders>
              <w:top w:val="nil"/>
              <w:left w:val="nil"/>
              <w:bottom w:val="dotted" w:sz="4" w:space="0" w:color="auto"/>
              <w:right w:val="nil"/>
            </w:tcBorders>
            <w:shd w:val="clear" w:color="000000" w:fill="F2F2F2"/>
            <w:vAlign w:val="center"/>
            <w:hideMark/>
          </w:tcPr>
          <w:p w14:paraId="7C81796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tcBorders>
              <w:top w:val="nil"/>
              <w:left w:val="nil"/>
              <w:bottom w:val="dotted" w:sz="4" w:space="0" w:color="auto"/>
              <w:right w:val="nil"/>
            </w:tcBorders>
            <w:shd w:val="clear" w:color="000000" w:fill="F2F2F2"/>
            <w:vAlign w:val="center"/>
            <w:hideMark/>
          </w:tcPr>
          <w:p w14:paraId="0E1B829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O</w:t>
            </w:r>
            <w:r w:rsidRPr="00E71630">
              <w:rPr>
                <w:rFonts w:ascii="Garamond" w:eastAsia="Times New Roman" w:hAnsi="Garamond" w:cs="Calibri"/>
                <w:color w:val="000000"/>
                <w:sz w:val="16"/>
                <w:szCs w:val="16"/>
                <w:vertAlign w:val="subscript"/>
                <w:lang w:eastAsia="en-GB"/>
              </w:rPr>
              <w:t>3</w:t>
            </w:r>
          </w:p>
        </w:tc>
        <w:tc>
          <w:tcPr>
            <w:tcW w:w="1339" w:type="dxa"/>
            <w:tcBorders>
              <w:top w:val="nil"/>
              <w:left w:val="nil"/>
              <w:bottom w:val="dotted" w:sz="4" w:space="0" w:color="auto"/>
              <w:right w:val="nil"/>
            </w:tcBorders>
            <w:shd w:val="clear" w:color="000000" w:fill="F2F2F2"/>
            <w:vAlign w:val="center"/>
            <w:hideMark/>
          </w:tcPr>
          <w:p w14:paraId="506DC5C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000000" w:fill="F2F2F2"/>
            <w:vAlign w:val="center"/>
            <w:hideMark/>
          </w:tcPr>
          <w:p w14:paraId="1E4944DA" w14:textId="77777777" w:rsidR="008D2218" w:rsidRPr="00E71630" w:rsidRDefault="008D2218" w:rsidP="00E71630">
            <w:pPr>
              <w:spacing w:after="0" w:line="240" w:lineRule="auto"/>
              <w:jc w:val="both"/>
              <w:rPr>
                <w:rFonts w:ascii="Garamond" w:eastAsia="Times New Roman" w:hAnsi="Garamond" w:cs="Calibri"/>
                <w:color w:val="000000"/>
                <w:sz w:val="16"/>
                <w:szCs w:val="16"/>
                <w:lang w:val="it-IT" w:eastAsia="en-GB"/>
              </w:rPr>
            </w:pPr>
            <w:r w:rsidRPr="00E71630">
              <w:rPr>
                <w:rFonts w:ascii="Garamond" w:eastAsia="Times New Roman" w:hAnsi="Garamond" w:cs="Calibri"/>
                <w:color w:val="000000"/>
                <w:sz w:val="16"/>
                <w:szCs w:val="16"/>
                <w:lang w:val="it-IT" w:eastAsia="en-GB"/>
              </w:rPr>
              <w:t>O</w:t>
            </w:r>
            <w:r w:rsidRPr="00E71630">
              <w:rPr>
                <w:rFonts w:ascii="Garamond" w:eastAsia="Times New Roman" w:hAnsi="Garamond" w:cs="Calibri"/>
                <w:color w:val="000000"/>
                <w:sz w:val="16"/>
                <w:szCs w:val="16"/>
                <w:vertAlign w:val="subscript"/>
                <w:lang w:val="it-IT" w:eastAsia="en-GB"/>
              </w:rPr>
              <w:t>3</w:t>
            </w:r>
            <w:r w:rsidRPr="00E71630">
              <w:rPr>
                <w:rFonts w:ascii="Garamond" w:eastAsia="Times New Roman" w:hAnsi="Garamond" w:cs="Calibri"/>
                <w:color w:val="000000"/>
                <w:sz w:val="16"/>
                <w:szCs w:val="16"/>
                <w:lang w:val="it-IT" w:eastAsia="en-GB"/>
              </w:rPr>
              <w:t xml:space="preserve"> analyzer (Thermo Scientific, model 49C) </w:t>
            </w:r>
          </w:p>
        </w:tc>
        <w:tc>
          <w:tcPr>
            <w:tcW w:w="1701" w:type="dxa"/>
            <w:tcBorders>
              <w:top w:val="nil"/>
              <w:left w:val="nil"/>
              <w:bottom w:val="dotted" w:sz="4" w:space="0" w:color="auto"/>
              <w:right w:val="nil"/>
            </w:tcBorders>
            <w:shd w:val="clear" w:color="000000" w:fill="F2F2F2"/>
            <w:vAlign w:val="center"/>
            <w:hideMark/>
          </w:tcPr>
          <w:p w14:paraId="7BE325B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000000" w:fill="F2F2F2"/>
            <w:vAlign w:val="center"/>
            <w:hideMark/>
          </w:tcPr>
          <w:p w14:paraId="542A414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23 h </w:t>
            </w:r>
          </w:p>
        </w:tc>
        <w:tc>
          <w:tcPr>
            <w:tcW w:w="1943" w:type="dxa"/>
            <w:tcBorders>
              <w:top w:val="nil"/>
              <w:left w:val="nil"/>
              <w:bottom w:val="dotted" w:sz="4" w:space="0" w:color="auto"/>
              <w:right w:val="nil"/>
            </w:tcBorders>
            <w:shd w:val="clear" w:color="000000" w:fill="F2F2F2"/>
            <w:vAlign w:val="center"/>
            <w:hideMark/>
          </w:tcPr>
          <w:p w14:paraId="7418422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6B32259B"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004F710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(Wei et al. 2019)</w:t>
            </w:r>
          </w:p>
        </w:tc>
        <w:tc>
          <w:tcPr>
            <w:tcW w:w="1952" w:type="dxa"/>
            <w:tcBorders>
              <w:top w:val="nil"/>
              <w:left w:val="nil"/>
              <w:bottom w:val="dotted" w:sz="4" w:space="0" w:color="auto"/>
              <w:right w:val="nil"/>
            </w:tcBorders>
            <w:shd w:val="clear" w:color="auto" w:fill="auto"/>
            <w:vAlign w:val="center"/>
            <w:hideMark/>
          </w:tcPr>
          <w:p w14:paraId="02AEB03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tcBorders>
              <w:top w:val="nil"/>
              <w:left w:val="nil"/>
              <w:bottom w:val="dotted" w:sz="4" w:space="0" w:color="auto"/>
              <w:right w:val="nil"/>
            </w:tcBorders>
            <w:shd w:val="clear" w:color="auto" w:fill="auto"/>
            <w:vAlign w:val="center"/>
            <w:hideMark/>
          </w:tcPr>
          <w:p w14:paraId="02AB161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SO</w:t>
            </w:r>
            <w:r w:rsidRPr="00E71630">
              <w:rPr>
                <w:rFonts w:ascii="Garamond" w:eastAsia="Times New Roman" w:hAnsi="Garamond" w:cs="Calibri"/>
                <w:color w:val="000000"/>
                <w:sz w:val="16"/>
                <w:szCs w:val="16"/>
                <w:vertAlign w:val="subscript"/>
                <w:lang w:eastAsia="en-GB"/>
              </w:rPr>
              <w:t>2</w:t>
            </w:r>
          </w:p>
        </w:tc>
        <w:tc>
          <w:tcPr>
            <w:tcW w:w="1339" w:type="dxa"/>
            <w:tcBorders>
              <w:top w:val="nil"/>
              <w:left w:val="nil"/>
              <w:bottom w:val="dotted" w:sz="4" w:space="0" w:color="auto"/>
              <w:right w:val="nil"/>
            </w:tcBorders>
            <w:shd w:val="clear" w:color="auto" w:fill="auto"/>
            <w:vAlign w:val="center"/>
            <w:hideMark/>
          </w:tcPr>
          <w:p w14:paraId="787A0AC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7CFBC62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SO</w:t>
            </w:r>
            <w:r w:rsidRPr="00E71630">
              <w:rPr>
                <w:rFonts w:ascii="Garamond" w:eastAsia="Times New Roman" w:hAnsi="Garamond" w:cs="Calibri"/>
                <w:color w:val="000000"/>
                <w:sz w:val="16"/>
                <w:szCs w:val="16"/>
                <w:vertAlign w:val="subscript"/>
                <w:lang w:eastAsia="en-GB"/>
              </w:rPr>
              <w:t>2</w:t>
            </w:r>
            <w:r w:rsidRPr="00E71630">
              <w:rPr>
                <w:rFonts w:ascii="Garamond" w:eastAsia="Times New Roman" w:hAnsi="Garamond" w:cs="Calibri"/>
                <w:color w:val="000000"/>
                <w:sz w:val="16"/>
                <w:szCs w:val="16"/>
                <w:lang w:eastAsia="en-GB"/>
              </w:rPr>
              <w:t xml:space="preserve"> analyzer (Thermo Scientific, model 43C)</w:t>
            </w:r>
          </w:p>
        </w:tc>
        <w:tc>
          <w:tcPr>
            <w:tcW w:w="1701" w:type="dxa"/>
            <w:tcBorders>
              <w:top w:val="nil"/>
              <w:left w:val="nil"/>
              <w:bottom w:val="dotted" w:sz="4" w:space="0" w:color="auto"/>
              <w:right w:val="nil"/>
            </w:tcBorders>
            <w:shd w:val="clear" w:color="auto" w:fill="auto"/>
            <w:vAlign w:val="center"/>
            <w:hideMark/>
          </w:tcPr>
          <w:p w14:paraId="61EE7AC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auto" w:fill="auto"/>
            <w:vAlign w:val="center"/>
            <w:hideMark/>
          </w:tcPr>
          <w:p w14:paraId="14E9C4D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23 h </w:t>
            </w:r>
          </w:p>
        </w:tc>
        <w:tc>
          <w:tcPr>
            <w:tcW w:w="1943" w:type="dxa"/>
            <w:tcBorders>
              <w:top w:val="nil"/>
              <w:left w:val="nil"/>
              <w:bottom w:val="dotted" w:sz="4" w:space="0" w:color="auto"/>
              <w:right w:val="nil"/>
            </w:tcBorders>
            <w:shd w:val="clear" w:color="auto" w:fill="auto"/>
            <w:vAlign w:val="center"/>
            <w:hideMark/>
          </w:tcPr>
          <w:p w14:paraId="6731590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022819D2"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7DD99BF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(Reinhardt et al. 2011)</w:t>
            </w:r>
          </w:p>
        </w:tc>
        <w:tc>
          <w:tcPr>
            <w:tcW w:w="1952" w:type="dxa"/>
            <w:tcBorders>
              <w:top w:val="nil"/>
              <w:left w:val="nil"/>
              <w:bottom w:val="dotted" w:sz="4" w:space="0" w:color="auto"/>
              <w:right w:val="nil"/>
            </w:tcBorders>
            <w:shd w:val="clear" w:color="000000" w:fill="F2F2F2"/>
            <w:vAlign w:val="center"/>
            <w:hideMark/>
          </w:tcPr>
          <w:p w14:paraId="20428D0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tcBorders>
              <w:top w:val="nil"/>
              <w:left w:val="nil"/>
              <w:bottom w:val="dotted" w:sz="4" w:space="0" w:color="auto"/>
              <w:right w:val="nil"/>
            </w:tcBorders>
            <w:shd w:val="clear" w:color="000000" w:fill="F2F2F2"/>
            <w:vAlign w:val="center"/>
            <w:hideMark/>
          </w:tcPr>
          <w:p w14:paraId="34294E7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HCHO</w:t>
            </w:r>
          </w:p>
        </w:tc>
        <w:tc>
          <w:tcPr>
            <w:tcW w:w="1339" w:type="dxa"/>
            <w:tcBorders>
              <w:top w:val="nil"/>
              <w:left w:val="nil"/>
              <w:bottom w:val="dotted" w:sz="4" w:space="0" w:color="auto"/>
              <w:right w:val="nil"/>
            </w:tcBorders>
            <w:shd w:val="clear" w:color="000000" w:fill="F2F2F2"/>
            <w:vAlign w:val="center"/>
            <w:hideMark/>
          </w:tcPr>
          <w:p w14:paraId="2FB2F30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w:t>
            </w:r>
          </w:p>
        </w:tc>
        <w:tc>
          <w:tcPr>
            <w:tcW w:w="2524" w:type="dxa"/>
            <w:tcBorders>
              <w:top w:val="nil"/>
              <w:left w:val="nil"/>
              <w:bottom w:val="dotted" w:sz="4" w:space="0" w:color="auto"/>
              <w:right w:val="nil"/>
            </w:tcBorders>
            <w:shd w:val="clear" w:color="000000" w:fill="F2F2F2"/>
            <w:vAlign w:val="center"/>
            <w:hideMark/>
          </w:tcPr>
          <w:p w14:paraId="7F234E2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Chemically treated Sep-Pak sorbent tube</w:t>
            </w:r>
          </w:p>
        </w:tc>
        <w:tc>
          <w:tcPr>
            <w:tcW w:w="1701" w:type="dxa"/>
            <w:tcBorders>
              <w:top w:val="nil"/>
              <w:left w:val="nil"/>
              <w:bottom w:val="dotted" w:sz="4" w:space="0" w:color="auto"/>
              <w:right w:val="nil"/>
            </w:tcBorders>
            <w:shd w:val="clear" w:color="000000" w:fill="F2F2F2"/>
            <w:vAlign w:val="center"/>
            <w:hideMark/>
          </w:tcPr>
          <w:p w14:paraId="087A27D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000000" w:fill="F2F2F2"/>
            <w:vAlign w:val="center"/>
            <w:hideMark/>
          </w:tcPr>
          <w:p w14:paraId="5157AF6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dotted" w:sz="4" w:space="0" w:color="auto"/>
              <w:right w:val="nil"/>
            </w:tcBorders>
            <w:shd w:val="clear" w:color="000000" w:fill="F2F2F2"/>
            <w:vAlign w:val="center"/>
            <w:hideMark/>
          </w:tcPr>
          <w:p w14:paraId="2BF21BF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2E1ED133"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5773322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(Zbieranowski and Aherne 2012)</w:t>
            </w:r>
          </w:p>
        </w:tc>
        <w:tc>
          <w:tcPr>
            <w:tcW w:w="1952" w:type="dxa"/>
            <w:tcBorders>
              <w:top w:val="nil"/>
              <w:left w:val="nil"/>
              <w:bottom w:val="dotted" w:sz="4" w:space="0" w:color="auto"/>
              <w:right w:val="nil"/>
            </w:tcBorders>
            <w:shd w:val="clear" w:color="auto" w:fill="auto"/>
            <w:vAlign w:val="center"/>
            <w:hideMark/>
          </w:tcPr>
          <w:p w14:paraId="7957EA1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tcBorders>
              <w:top w:val="nil"/>
              <w:left w:val="nil"/>
              <w:bottom w:val="dotted" w:sz="4" w:space="0" w:color="auto"/>
              <w:right w:val="nil"/>
            </w:tcBorders>
            <w:shd w:val="clear" w:color="auto" w:fill="auto"/>
            <w:vAlign w:val="center"/>
            <w:hideMark/>
          </w:tcPr>
          <w:p w14:paraId="3CBC891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HNO</w:t>
            </w:r>
            <w:r w:rsidRPr="00E71630">
              <w:rPr>
                <w:rFonts w:ascii="Garamond" w:eastAsia="Times New Roman" w:hAnsi="Garamond" w:cs="Calibri"/>
                <w:color w:val="000000"/>
                <w:sz w:val="16"/>
                <w:szCs w:val="16"/>
                <w:vertAlign w:val="subscript"/>
                <w:lang w:eastAsia="en-GB"/>
              </w:rPr>
              <w:t>3</w:t>
            </w:r>
          </w:p>
        </w:tc>
        <w:tc>
          <w:tcPr>
            <w:tcW w:w="1339" w:type="dxa"/>
            <w:tcBorders>
              <w:top w:val="nil"/>
              <w:left w:val="nil"/>
              <w:bottom w:val="dotted" w:sz="4" w:space="0" w:color="auto"/>
              <w:right w:val="nil"/>
            </w:tcBorders>
            <w:shd w:val="clear" w:color="auto" w:fill="auto"/>
            <w:vAlign w:val="center"/>
            <w:hideMark/>
          </w:tcPr>
          <w:p w14:paraId="27E4004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70EADA1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Willems badge passive sampler</w:t>
            </w:r>
          </w:p>
        </w:tc>
        <w:tc>
          <w:tcPr>
            <w:tcW w:w="1701" w:type="dxa"/>
            <w:tcBorders>
              <w:top w:val="nil"/>
              <w:left w:val="nil"/>
              <w:bottom w:val="dotted" w:sz="4" w:space="0" w:color="auto"/>
              <w:right w:val="nil"/>
            </w:tcBorders>
            <w:shd w:val="clear" w:color="auto" w:fill="auto"/>
            <w:vAlign w:val="center"/>
            <w:hideMark/>
          </w:tcPr>
          <w:p w14:paraId="7CBC7BD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auto" w:fill="auto"/>
            <w:vAlign w:val="center"/>
            <w:hideMark/>
          </w:tcPr>
          <w:p w14:paraId="65E7D3D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dotted" w:sz="4" w:space="0" w:color="auto"/>
              <w:right w:val="nil"/>
            </w:tcBorders>
            <w:shd w:val="clear" w:color="auto" w:fill="auto"/>
            <w:vAlign w:val="center"/>
            <w:hideMark/>
          </w:tcPr>
          <w:p w14:paraId="09B6351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Dionex ICS-1100 Ion Chromatograph in a carbonate eluent through an IonPac AS22 analytical column</w:t>
            </w:r>
          </w:p>
        </w:tc>
      </w:tr>
      <w:tr w:rsidR="008D2218" w:rsidRPr="00E71630" w14:paraId="1A1B417E" w14:textId="77777777" w:rsidTr="008D2218">
        <w:trPr>
          <w:trHeight w:val="216"/>
        </w:trPr>
        <w:tc>
          <w:tcPr>
            <w:tcW w:w="1876" w:type="dxa"/>
            <w:tcBorders>
              <w:top w:val="nil"/>
              <w:left w:val="nil"/>
              <w:bottom w:val="nil"/>
              <w:right w:val="nil"/>
            </w:tcBorders>
            <w:shd w:val="clear" w:color="000000" w:fill="F2F2F2"/>
            <w:vAlign w:val="center"/>
            <w:hideMark/>
          </w:tcPr>
          <w:p w14:paraId="6F4C6D5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(Zbieranowski and Aherne 2012)</w:t>
            </w:r>
          </w:p>
        </w:tc>
        <w:tc>
          <w:tcPr>
            <w:tcW w:w="1952" w:type="dxa"/>
            <w:tcBorders>
              <w:top w:val="nil"/>
              <w:left w:val="nil"/>
              <w:bottom w:val="nil"/>
              <w:right w:val="nil"/>
            </w:tcBorders>
            <w:shd w:val="clear" w:color="000000" w:fill="F2F2F2"/>
            <w:vAlign w:val="center"/>
            <w:hideMark/>
          </w:tcPr>
          <w:p w14:paraId="620A837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vMerge w:val="restart"/>
            <w:tcBorders>
              <w:top w:val="nil"/>
              <w:left w:val="nil"/>
              <w:bottom w:val="dotted" w:sz="4" w:space="0" w:color="000000"/>
              <w:right w:val="nil"/>
            </w:tcBorders>
            <w:shd w:val="clear" w:color="000000" w:fill="F2F2F2"/>
            <w:vAlign w:val="center"/>
            <w:hideMark/>
          </w:tcPr>
          <w:p w14:paraId="486200D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NH</w:t>
            </w:r>
            <w:r w:rsidRPr="00E71630">
              <w:rPr>
                <w:rFonts w:ascii="Garamond" w:eastAsia="Times New Roman" w:hAnsi="Garamond" w:cs="Calibri"/>
                <w:color w:val="000000"/>
                <w:sz w:val="16"/>
                <w:szCs w:val="16"/>
                <w:vertAlign w:val="subscript"/>
                <w:lang w:eastAsia="en-GB"/>
              </w:rPr>
              <w:t>3</w:t>
            </w:r>
          </w:p>
        </w:tc>
        <w:tc>
          <w:tcPr>
            <w:tcW w:w="1339" w:type="dxa"/>
            <w:tcBorders>
              <w:top w:val="nil"/>
              <w:left w:val="nil"/>
              <w:bottom w:val="nil"/>
              <w:right w:val="nil"/>
            </w:tcBorders>
            <w:shd w:val="clear" w:color="000000" w:fill="F2F2F2"/>
            <w:vAlign w:val="center"/>
            <w:hideMark/>
          </w:tcPr>
          <w:p w14:paraId="72C6E9B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nil"/>
              <w:right w:val="nil"/>
            </w:tcBorders>
            <w:shd w:val="clear" w:color="000000" w:fill="F2F2F2"/>
            <w:vAlign w:val="center"/>
            <w:hideMark/>
          </w:tcPr>
          <w:p w14:paraId="5400A80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Willems badge passive sampler</w:t>
            </w:r>
          </w:p>
        </w:tc>
        <w:tc>
          <w:tcPr>
            <w:tcW w:w="1701" w:type="dxa"/>
            <w:tcBorders>
              <w:top w:val="nil"/>
              <w:left w:val="nil"/>
              <w:bottom w:val="nil"/>
              <w:right w:val="nil"/>
            </w:tcBorders>
            <w:shd w:val="clear" w:color="000000" w:fill="F2F2F2"/>
            <w:vAlign w:val="center"/>
            <w:hideMark/>
          </w:tcPr>
          <w:p w14:paraId="383B2EA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nil"/>
              <w:right w:val="nil"/>
            </w:tcBorders>
            <w:shd w:val="clear" w:color="000000" w:fill="F2F2F2"/>
            <w:vAlign w:val="center"/>
            <w:hideMark/>
          </w:tcPr>
          <w:p w14:paraId="517A485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nil"/>
              <w:right w:val="nil"/>
            </w:tcBorders>
            <w:shd w:val="clear" w:color="000000" w:fill="F2F2F2"/>
            <w:vAlign w:val="center"/>
            <w:hideMark/>
          </w:tcPr>
          <w:p w14:paraId="5B34F80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UVeVIS Spectrometer (PerkineElmer Lambda XLS) at a wavelength of 655 nm</w:t>
            </w:r>
          </w:p>
        </w:tc>
      </w:tr>
      <w:tr w:rsidR="008D2218" w:rsidRPr="00E71630" w14:paraId="044ACEC2"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22AC2D4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(Blanes-vidal et al. 2012)</w:t>
            </w:r>
          </w:p>
        </w:tc>
        <w:tc>
          <w:tcPr>
            <w:tcW w:w="1952" w:type="dxa"/>
            <w:tcBorders>
              <w:top w:val="nil"/>
              <w:left w:val="nil"/>
              <w:bottom w:val="dotted" w:sz="4" w:space="0" w:color="auto"/>
              <w:right w:val="nil"/>
            </w:tcBorders>
            <w:shd w:val="clear" w:color="000000" w:fill="F2F2F2"/>
            <w:vAlign w:val="center"/>
            <w:hideMark/>
          </w:tcPr>
          <w:p w14:paraId="4252DB7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5 regions; 470 household. </w:t>
            </w:r>
            <w:r w:rsidRPr="00E71630">
              <w:rPr>
                <w:rFonts w:ascii="Garamond" w:eastAsia="Times New Roman" w:hAnsi="Garamond" w:cs="Calibri"/>
                <w:color w:val="000000"/>
                <w:sz w:val="16"/>
                <w:szCs w:val="16"/>
                <w:lang w:eastAsia="en-GB"/>
              </w:rPr>
              <w:br/>
              <w:t>180 subjects agreed to partecipate.</w:t>
            </w:r>
          </w:p>
        </w:tc>
        <w:tc>
          <w:tcPr>
            <w:tcW w:w="1496" w:type="dxa"/>
            <w:vMerge/>
            <w:tcBorders>
              <w:top w:val="nil"/>
              <w:left w:val="nil"/>
              <w:bottom w:val="dotted" w:sz="4" w:space="0" w:color="000000"/>
              <w:right w:val="nil"/>
            </w:tcBorders>
            <w:vAlign w:val="center"/>
            <w:hideMark/>
          </w:tcPr>
          <w:p w14:paraId="7FB9F456"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dotted" w:sz="4" w:space="0" w:color="auto"/>
              <w:right w:val="nil"/>
            </w:tcBorders>
            <w:shd w:val="clear" w:color="000000" w:fill="F2F2F2"/>
            <w:vAlign w:val="center"/>
            <w:hideMark/>
          </w:tcPr>
          <w:p w14:paraId="1BDF897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 + M</w:t>
            </w:r>
          </w:p>
        </w:tc>
        <w:tc>
          <w:tcPr>
            <w:tcW w:w="2524" w:type="dxa"/>
            <w:tcBorders>
              <w:top w:val="nil"/>
              <w:left w:val="nil"/>
              <w:bottom w:val="dotted" w:sz="4" w:space="0" w:color="auto"/>
              <w:right w:val="nil"/>
            </w:tcBorders>
            <w:shd w:val="clear" w:color="000000" w:fill="F2F2F2"/>
            <w:vAlign w:val="center"/>
            <w:hideMark/>
          </w:tcPr>
          <w:p w14:paraId="69A98EB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Semiautomatic filter pack samplers to measure NH3 concentrations</w:t>
            </w:r>
          </w:p>
        </w:tc>
        <w:tc>
          <w:tcPr>
            <w:tcW w:w="1701" w:type="dxa"/>
            <w:tcBorders>
              <w:top w:val="nil"/>
              <w:left w:val="nil"/>
              <w:bottom w:val="dotted" w:sz="4" w:space="0" w:color="auto"/>
              <w:right w:val="nil"/>
            </w:tcBorders>
            <w:shd w:val="clear" w:color="000000" w:fill="F2F2F2"/>
            <w:vAlign w:val="center"/>
            <w:hideMark/>
          </w:tcPr>
          <w:p w14:paraId="28D5FA2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A series of three filters: (i) a particle filter (mixed esters of cellulose MF-Millipore RA, l 2/an, 50 mm); (ii) two filters Whatman 41 (50 mm), one of them </w:t>
            </w:r>
            <w:r w:rsidRPr="00E71630">
              <w:rPr>
                <w:rFonts w:ascii="Garamond" w:eastAsia="Times New Roman" w:hAnsi="Garamond" w:cs="Calibri"/>
                <w:color w:val="000000"/>
                <w:sz w:val="16"/>
                <w:szCs w:val="16"/>
                <w:lang w:eastAsia="en-GB"/>
              </w:rPr>
              <w:lastRenderedPageBreak/>
              <w:t>impregnated with oxalic acid for NH3 collection</w:t>
            </w:r>
          </w:p>
        </w:tc>
        <w:tc>
          <w:tcPr>
            <w:tcW w:w="1817" w:type="dxa"/>
            <w:tcBorders>
              <w:top w:val="nil"/>
              <w:left w:val="nil"/>
              <w:bottom w:val="dotted" w:sz="4" w:space="0" w:color="auto"/>
              <w:right w:val="nil"/>
            </w:tcBorders>
            <w:shd w:val="clear" w:color="000000" w:fill="F2F2F2"/>
            <w:vAlign w:val="center"/>
            <w:hideMark/>
          </w:tcPr>
          <w:p w14:paraId="33EB3A1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lastRenderedPageBreak/>
              <w:t>-</w:t>
            </w:r>
          </w:p>
        </w:tc>
        <w:tc>
          <w:tcPr>
            <w:tcW w:w="1943" w:type="dxa"/>
            <w:tcBorders>
              <w:top w:val="nil"/>
              <w:left w:val="nil"/>
              <w:bottom w:val="dotted" w:sz="4" w:space="0" w:color="auto"/>
              <w:right w:val="nil"/>
            </w:tcBorders>
            <w:shd w:val="clear" w:color="000000" w:fill="F2F2F2"/>
            <w:vAlign w:val="center"/>
            <w:hideMark/>
          </w:tcPr>
          <w:p w14:paraId="6220182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Ammonia absorbed on the oxalic acid filter was analyzed as NH4 + according to the continuous flow analysis method described in DS/EN ISO 11732</w:t>
            </w:r>
          </w:p>
        </w:tc>
      </w:tr>
      <w:tr w:rsidR="008D2218" w:rsidRPr="00E71630" w14:paraId="54794E9A"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44EAAC5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(Wei et al. 2019)</w:t>
            </w:r>
          </w:p>
        </w:tc>
        <w:tc>
          <w:tcPr>
            <w:tcW w:w="1952" w:type="dxa"/>
            <w:tcBorders>
              <w:top w:val="nil"/>
              <w:left w:val="nil"/>
              <w:bottom w:val="dotted" w:sz="4" w:space="0" w:color="auto"/>
              <w:right w:val="nil"/>
            </w:tcBorders>
            <w:shd w:val="clear" w:color="auto" w:fill="auto"/>
            <w:vAlign w:val="center"/>
            <w:hideMark/>
          </w:tcPr>
          <w:p w14:paraId="79E334F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tcBorders>
              <w:top w:val="nil"/>
              <w:left w:val="nil"/>
              <w:bottom w:val="dotted" w:sz="4" w:space="0" w:color="auto"/>
              <w:right w:val="nil"/>
            </w:tcBorders>
            <w:shd w:val="clear" w:color="auto" w:fill="auto"/>
            <w:vAlign w:val="center"/>
            <w:hideMark/>
          </w:tcPr>
          <w:p w14:paraId="1C74B98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The inorganic aerosols (NH</w:t>
            </w:r>
            <w:r w:rsidRPr="00E71630">
              <w:rPr>
                <w:rFonts w:ascii="Garamond" w:eastAsia="Times New Roman" w:hAnsi="Garamond" w:cs="Calibri"/>
                <w:color w:val="000000"/>
                <w:sz w:val="16"/>
                <w:szCs w:val="16"/>
                <w:vertAlign w:val="subscript"/>
                <w:lang w:eastAsia="en-GB"/>
              </w:rPr>
              <w:t>4</w:t>
            </w:r>
            <w:r w:rsidRPr="00E71630">
              <w:rPr>
                <w:rFonts w:ascii="Garamond" w:eastAsia="Times New Roman" w:hAnsi="Garamond" w:cs="Calibri"/>
                <w:color w:val="000000"/>
                <w:sz w:val="16"/>
                <w:szCs w:val="16"/>
                <w:vertAlign w:val="superscript"/>
                <w:lang w:eastAsia="en-GB"/>
              </w:rPr>
              <w:t>+</w:t>
            </w:r>
            <w:r w:rsidRPr="00E71630">
              <w:rPr>
                <w:rFonts w:ascii="Garamond" w:eastAsia="Times New Roman" w:hAnsi="Garamond" w:cs="Calibri"/>
                <w:color w:val="000000"/>
                <w:sz w:val="16"/>
                <w:szCs w:val="16"/>
                <w:lang w:eastAsia="en-GB"/>
              </w:rPr>
              <w:t>, NO</w:t>
            </w:r>
            <w:r w:rsidRPr="00E71630">
              <w:rPr>
                <w:rFonts w:ascii="Garamond" w:eastAsia="Times New Roman" w:hAnsi="Garamond" w:cs="Calibri"/>
                <w:color w:val="000000"/>
                <w:sz w:val="16"/>
                <w:szCs w:val="16"/>
                <w:vertAlign w:val="subscript"/>
                <w:lang w:eastAsia="en-GB"/>
              </w:rPr>
              <w:t>3</w:t>
            </w:r>
            <w:r w:rsidRPr="00E71630">
              <w:rPr>
                <w:rFonts w:ascii="Garamond" w:eastAsia="Times New Roman" w:hAnsi="Garamond" w:cs="Calibri"/>
                <w:color w:val="000000"/>
                <w:sz w:val="16"/>
                <w:szCs w:val="16"/>
                <w:vertAlign w:val="superscript"/>
                <w:lang w:eastAsia="en-GB"/>
              </w:rPr>
              <w:t>−</w:t>
            </w:r>
            <w:r w:rsidRPr="00E71630">
              <w:rPr>
                <w:rFonts w:ascii="Garamond" w:eastAsia="Times New Roman" w:hAnsi="Garamond" w:cs="Calibri"/>
                <w:color w:val="000000"/>
                <w:sz w:val="16"/>
                <w:szCs w:val="16"/>
                <w:lang w:eastAsia="en-GB"/>
              </w:rPr>
              <w:t>, SO</w:t>
            </w:r>
            <w:r w:rsidRPr="00E71630">
              <w:rPr>
                <w:rFonts w:ascii="Garamond" w:eastAsia="Times New Roman" w:hAnsi="Garamond" w:cs="Calibri"/>
                <w:color w:val="000000"/>
                <w:sz w:val="16"/>
                <w:szCs w:val="16"/>
                <w:vertAlign w:val="subscript"/>
                <w:lang w:eastAsia="en-GB"/>
              </w:rPr>
              <w:t>4</w:t>
            </w:r>
            <w:r w:rsidRPr="00E71630">
              <w:rPr>
                <w:rFonts w:ascii="Garamond" w:eastAsia="Times New Roman" w:hAnsi="Garamond" w:cs="Calibri"/>
                <w:color w:val="000000"/>
                <w:sz w:val="16"/>
                <w:szCs w:val="16"/>
                <w:vertAlign w:val="superscript"/>
                <w:lang w:eastAsia="en-GB"/>
              </w:rPr>
              <w:t>2−</w:t>
            </w:r>
            <w:r w:rsidRPr="00E71630">
              <w:rPr>
                <w:rFonts w:ascii="Garamond" w:eastAsia="Times New Roman" w:hAnsi="Garamond" w:cs="Calibri"/>
                <w:color w:val="000000"/>
                <w:sz w:val="16"/>
                <w:szCs w:val="16"/>
                <w:lang w:eastAsia="en-GB"/>
              </w:rPr>
              <w:t>, Cl</w:t>
            </w:r>
            <w:r w:rsidRPr="00E71630">
              <w:rPr>
                <w:rFonts w:ascii="Garamond" w:eastAsia="Times New Roman" w:hAnsi="Garamond" w:cs="Calibri"/>
                <w:color w:val="000000"/>
                <w:sz w:val="16"/>
                <w:szCs w:val="16"/>
                <w:vertAlign w:val="superscript"/>
                <w:lang w:eastAsia="en-GB"/>
              </w:rPr>
              <w:t>−</w:t>
            </w:r>
            <w:r w:rsidRPr="00E71630">
              <w:rPr>
                <w:rFonts w:ascii="Garamond" w:eastAsia="Times New Roman" w:hAnsi="Garamond" w:cs="Calibri"/>
                <w:color w:val="000000"/>
                <w:sz w:val="16"/>
                <w:szCs w:val="16"/>
                <w:lang w:eastAsia="en-GB"/>
              </w:rPr>
              <w:t>, and mineral cations Na</w:t>
            </w:r>
            <w:r w:rsidRPr="00E71630">
              <w:rPr>
                <w:rFonts w:ascii="Garamond" w:eastAsia="Times New Roman" w:hAnsi="Garamond" w:cs="Calibri"/>
                <w:color w:val="000000"/>
                <w:sz w:val="16"/>
                <w:szCs w:val="16"/>
                <w:vertAlign w:val="superscript"/>
                <w:lang w:eastAsia="en-GB"/>
              </w:rPr>
              <w:t>+</w:t>
            </w:r>
            <w:r w:rsidRPr="00E71630">
              <w:rPr>
                <w:rFonts w:ascii="Garamond" w:eastAsia="Times New Roman" w:hAnsi="Garamond" w:cs="Calibri"/>
                <w:color w:val="000000"/>
                <w:sz w:val="16"/>
                <w:szCs w:val="16"/>
                <w:lang w:eastAsia="en-GB"/>
              </w:rPr>
              <w:t>, K</w:t>
            </w:r>
            <w:r w:rsidRPr="00E71630">
              <w:rPr>
                <w:rFonts w:ascii="Garamond" w:eastAsia="Times New Roman" w:hAnsi="Garamond" w:cs="Calibri"/>
                <w:color w:val="000000"/>
                <w:sz w:val="16"/>
                <w:szCs w:val="16"/>
                <w:vertAlign w:val="superscript"/>
                <w:lang w:eastAsia="en-GB"/>
              </w:rPr>
              <w:t>+</w:t>
            </w:r>
            <w:r w:rsidRPr="00E71630">
              <w:rPr>
                <w:rFonts w:ascii="Garamond" w:eastAsia="Times New Roman" w:hAnsi="Garamond" w:cs="Calibri"/>
                <w:color w:val="000000"/>
                <w:sz w:val="16"/>
                <w:szCs w:val="16"/>
                <w:lang w:eastAsia="en-GB"/>
              </w:rPr>
              <w:t>, Ca</w:t>
            </w:r>
            <w:r w:rsidRPr="00E71630">
              <w:rPr>
                <w:rFonts w:ascii="Garamond" w:eastAsia="Times New Roman" w:hAnsi="Garamond" w:cs="Calibri"/>
                <w:color w:val="000000"/>
                <w:sz w:val="16"/>
                <w:szCs w:val="16"/>
                <w:vertAlign w:val="superscript"/>
                <w:lang w:eastAsia="en-GB"/>
              </w:rPr>
              <w:t>2+</w:t>
            </w:r>
            <w:r w:rsidRPr="00E71630">
              <w:rPr>
                <w:rFonts w:ascii="Garamond" w:eastAsia="Times New Roman" w:hAnsi="Garamond" w:cs="Calibri"/>
                <w:color w:val="000000"/>
                <w:sz w:val="16"/>
                <w:szCs w:val="16"/>
                <w:lang w:eastAsia="en-GB"/>
              </w:rPr>
              <w:t>, Mg</w:t>
            </w:r>
            <w:r w:rsidRPr="00E71630">
              <w:rPr>
                <w:rFonts w:ascii="Garamond" w:eastAsia="Times New Roman" w:hAnsi="Garamond" w:cs="Calibri"/>
                <w:color w:val="000000"/>
                <w:sz w:val="16"/>
                <w:szCs w:val="16"/>
                <w:vertAlign w:val="superscript"/>
                <w:lang w:eastAsia="en-GB"/>
              </w:rPr>
              <w:t>2+</w:t>
            </w:r>
            <w:r w:rsidRPr="00E71630">
              <w:rPr>
                <w:rFonts w:ascii="Garamond" w:eastAsia="Times New Roman" w:hAnsi="Garamond" w:cs="Calibri"/>
                <w:color w:val="000000"/>
                <w:sz w:val="16"/>
                <w:szCs w:val="16"/>
                <w:lang w:eastAsia="en-GB"/>
              </w:rPr>
              <w:t>)</w:t>
            </w:r>
          </w:p>
        </w:tc>
        <w:tc>
          <w:tcPr>
            <w:tcW w:w="1339" w:type="dxa"/>
            <w:tcBorders>
              <w:top w:val="nil"/>
              <w:left w:val="nil"/>
              <w:bottom w:val="dotted" w:sz="4" w:space="0" w:color="auto"/>
              <w:right w:val="nil"/>
            </w:tcBorders>
            <w:shd w:val="clear" w:color="auto" w:fill="auto"/>
            <w:vAlign w:val="center"/>
            <w:hideMark/>
          </w:tcPr>
          <w:p w14:paraId="44FD83C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4CB50AB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ADI 2080 online analyzer for Monitoring for AeRosols and GAses (MARGA, Applikon Analytical B.V., the Netherlands)</w:t>
            </w:r>
          </w:p>
        </w:tc>
        <w:tc>
          <w:tcPr>
            <w:tcW w:w="1701" w:type="dxa"/>
            <w:tcBorders>
              <w:top w:val="nil"/>
              <w:left w:val="nil"/>
              <w:bottom w:val="dotted" w:sz="4" w:space="0" w:color="auto"/>
              <w:right w:val="nil"/>
            </w:tcBorders>
            <w:shd w:val="clear" w:color="auto" w:fill="auto"/>
            <w:vAlign w:val="center"/>
            <w:hideMark/>
          </w:tcPr>
          <w:p w14:paraId="5868C26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auto" w:fill="auto"/>
            <w:vAlign w:val="center"/>
            <w:hideMark/>
          </w:tcPr>
          <w:p w14:paraId="45F6E4E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23 h </w:t>
            </w:r>
          </w:p>
        </w:tc>
        <w:tc>
          <w:tcPr>
            <w:tcW w:w="1943" w:type="dxa"/>
            <w:tcBorders>
              <w:top w:val="nil"/>
              <w:left w:val="nil"/>
              <w:bottom w:val="dotted" w:sz="4" w:space="0" w:color="auto"/>
              <w:right w:val="nil"/>
            </w:tcBorders>
            <w:shd w:val="clear" w:color="auto" w:fill="auto"/>
            <w:vAlign w:val="center"/>
            <w:hideMark/>
          </w:tcPr>
          <w:p w14:paraId="2BB8329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70EEB157" w14:textId="77777777" w:rsidTr="008D2218">
        <w:trPr>
          <w:trHeight w:val="216"/>
        </w:trPr>
        <w:tc>
          <w:tcPr>
            <w:tcW w:w="1876" w:type="dxa"/>
            <w:tcBorders>
              <w:top w:val="nil"/>
              <w:left w:val="nil"/>
              <w:bottom w:val="nil"/>
              <w:right w:val="nil"/>
            </w:tcBorders>
            <w:shd w:val="clear" w:color="000000" w:fill="F2F2F2"/>
            <w:vAlign w:val="center"/>
            <w:hideMark/>
          </w:tcPr>
          <w:p w14:paraId="4CC946E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(de Assuncao et al. 2014)</w:t>
            </w:r>
          </w:p>
        </w:tc>
        <w:tc>
          <w:tcPr>
            <w:tcW w:w="1952" w:type="dxa"/>
            <w:tcBorders>
              <w:top w:val="nil"/>
              <w:left w:val="nil"/>
              <w:bottom w:val="nil"/>
              <w:right w:val="nil"/>
            </w:tcBorders>
            <w:shd w:val="clear" w:color="000000" w:fill="F2F2F2"/>
            <w:vAlign w:val="center"/>
            <w:hideMark/>
          </w:tcPr>
          <w:p w14:paraId="60B3024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3 sites (one in the city center and two in rural localities).</w:t>
            </w:r>
          </w:p>
        </w:tc>
        <w:tc>
          <w:tcPr>
            <w:tcW w:w="1496" w:type="dxa"/>
            <w:vMerge w:val="restart"/>
            <w:tcBorders>
              <w:top w:val="nil"/>
              <w:left w:val="nil"/>
              <w:bottom w:val="dotted" w:sz="4" w:space="0" w:color="000000"/>
              <w:right w:val="nil"/>
            </w:tcBorders>
            <w:shd w:val="clear" w:color="000000" w:fill="F2F2F2"/>
            <w:vAlign w:val="center"/>
            <w:hideMark/>
          </w:tcPr>
          <w:p w14:paraId="4E6A8A1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PAHs</w:t>
            </w:r>
          </w:p>
        </w:tc>
        <w:tc>
          <w:tcPr>
            <w:tcW w:w="1339" w:type="dxa"/>
            <w:tcBorders>
              <w:top w:val="nil"/>
              <w:left w:val="nil"/>
              <w:bottom w:val="nil"/>
              <w:right w:val="nil"/>
            </w:tcBorders>
            <w:shd w:val="clear" w:color="000000" w:fill="F2F2F2"/>
            <w:vAlign w:val="center"/>
            <w:hideMark/>
          </w:tcPr>
          <w:p w14:paraId="6840BF0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nil"/>
              <w:right w:val="nil"/>
            </w:tcBorders>
            <w:shd w:val="clear" w:color="000000" w:fill="F2F2F2"/>
            <w:vAlign w:val="center"/>
            <w:hideMark/>
          </w:tcPr>
          <w:p w14:paraId="16EDDA4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PS1 polyurethane foam (PUF) sampler (Andersen Instruments Inc.; Smyrna, GA, USA), in accordance with EPA method TO-13A (EPA, 1999) </w:t>
            </w:r>
          </w:p>
        </w:tc>
        <w:tc>
          <w:tcPr>
            <w:tcW w:w="1701" w:type="dxa"/>
            <w:tcBorders>
              <w:top w:val="nil"/>
              <w:left w:val="nil"/>
              <w:bottom w:val="nil"/>
              <w:right w:val="nil"/>
            </w:tcBorders>
            <w:shd w:val="clear" w:color="000000" w:fill="F2F2F2"/>
            <w:vAlign w:val="center"/>
            <w:hideMark/>
          </w:tcPr>
          <w:p w14:paraId="3DDC4C28" w14:textId="2F9F3A62"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10.16 cm-diameter quartz microfiber filters (Whatman Inc.; Clifton, NJ, USA), followed by a 6 cm</w:t>
            </w:r>
            <w:r w:rsidR="00817441">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diameter and 7.62 cm length PUF sampler (Tisch Environmental, Inc.; Cleveland, OH, USA)</w:t>
            </w:r>
          </w:p>
        </w:tc>
        <w:tc>
          <w:tcPr>
            <w:tcW w:w="1817" w:type="dxa"/>
            <w:tcBorders>
              <w:top w:val="nil"/>
              <w:left w:val="nil"/>
              <w:bottom w:val="nil"/>
              <w:right w:val="nil"/>
            </w:tcBorders>
            <w:shd w:val="clear" w:color="000000" w:fill="F2F2F2"/>
            <w:vAlign w:val="center"/>
            <w:hideMark/>
          </w:tcPr>
          <w:p w14:paraId="47627D5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24 h</w:t>
            </w:r>
          </w:p>
        </w:tc>
        <w:tc>
          <w:tcPr>
            <w:tcW w:w="1943" w:type="dxa"/>
            <w:tcBorders>
              <w:top w:val="nil"/>
              <w:left w:val="nil"/>
              <w:bottom w:val="nil"/>
              <w:right w:val="nil"/>
            </w:tcBorders>
            <w:shd w:val="clear" w:color="000000" w:fill="F2F2F2"/>
            <w:vAlign w:val="center"/>
            <w:hideMark/>
          </w:tcPr>
          <w:p w14:paraId="287022A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The chemical analyses were performed by gas chromatography–mass spectrometry (GC/MS) for the 16 most toxic PAHs</w:t>
            </w:r>
          </w:p>
        </w:tc>
      </w:tr>
      <w:tr w:rsidR="008D2218" w:rsidRPr="00E71630" w14:paraId="43FCE027" w14:textId="77777777" w:rsidTr="008D2218">
        <w:trPr>
          <w:trHeight w:val="216"/>
        </w:trPr>
        <w:tc>
          <w:tcPr>
            <w:tcW w:w="1876" w:type="dxa"/>
            <w:tcBorders>
              <w:top w:val="nil"/>
              <w:left w:val="nil"/>
              <w:bottom w:val="nil"/>
              <w:right w:val="nil"/>
            </w:tcBorders>
            <w:shd w:val="clear" w:color="000000" w:fill="F2F2F2"/>
            <w:vAlign w:val="center"/>
            <w:hideMark/>
          </w:tcPr>
          <w:p w14:paraId="101651C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(Sevimoglu and Rogge 2016)</w:t>
            </w:r>
          </w:p>
        </w:tc>
        <w:tc>
          <w:tcPr>
            <w:tcW w:w="1952" w:type="dxa"/>
            <w:tcBorders>
              <w:top w:val="nil"/>
              <w:left w:val="nil"/>
              <w:bottom w:val="nil"/>
              <w:right w:val="nil"/>
            </w:tcBorders>
            <w:shd w:val="clear" w:color="000000" w:fill="F2F2F2"/>
            <w:vAlign w:val="center"/>
            <w:hideMark/>
          </w:tcPr>
          <w:p w14:paraId="434C7D8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55 samples from Belle Gladeand; 61 samples from Delray Beach.</w:t>
            </w:r>
          </w:p>
        </w:tc>
        <w:tc>
          <w:tcPr>
            <w:tcW w:w="1496" w:type="dxa"/>
            <w:vMerge/>
            <w:tcBorders>
              <w:top w:val="nil"/>
              <w:left w:val="nil"/>
              <w:bottom w:val="dotted" w:sz="4" w:space="0" w:color="000000"/>
              <w:right w:val="nil"/>
            </w:tcBorders>
            <w:vAlign w:val="center"/>
            <w:hideMark/>
          </w:tcPr>
          <w:p w14:paraId="6878D1B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nil"/>
              <w:right w:val="nil"/>
            </w:tcBorders>
            <w:shd w:val="clear" w:color="000000" w:fill="F2F2F2"/>
            <w:vAlign w:val="center"/>
            <w:hideMark/>
          </w:tcPr>
          <w:p w14:paraId="7E12A80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nil"/>
              <w:right w:val="nil"/>
            </w:tcBorders>
            <w:shd w:val="clear" w:color="000000" w:fill="F2F2F2"/>
            <w:vAlign w:val="center"/>
            <w:hideMark/>
          </w:tcPr>
          <w:p w14:paraId="2CC618F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Samples were collected using a Graseby high volume sampler (Graseby Andersen, Atlanta, USA) with a PM</w:t>
            </w:r>
            <w:r w:rsidRPr="00E71630">
              <w:rPr>
                <w:rFonts w:ascii="Garamond" w:eastAsia="Times New Roman" w:hAnsi="Garamond" w:cs="Calibri"/>
                <w:color w:val="000000"/>
                <w:sz w:val="16"/>
                <w:szCs w:val="16"/>
                <w:vertAlign w:val="subscript"/>
                <w:lang w:eastAsia="en-GB"/>
              </w:rPr>
              <w:t>10</w:t>
            </w:r>
            <w:r w:rsidRPr="00E71630">
              <w:rPr>
                <w:rFonts w:ascii="Garamond" w:eastAsia="Times New Roman" w:hAnsi="Garamond" w:cs="Calibri"/>
                <w:color w:val="000000"/>
                <w:sz w:val="16"/>
                <w:szCs w:val="16"/>
                <w:lang w:eastAsia="en-GB"/>
              </w:rPr>
              <w:t xml:space="preserve"> selective inlet (G1200). The high volume cascade impactor (Graseby/GWM, series 235 with five impactor stages plus a backup stage) was added to the sampler</w:t>
            </w:r>
          </w:p>
        </w:tc>
        <w:tc>
          <w:tcPr>
            <w:tcW w:w="1701" w:type="dxa"/>
            <w:tcBorders>
              <w:top w:val="nil"/>
              <w:left w:val="nil"/>
              <w:bottom w:val="nil"/>
              <w:right w:val="nil"/>
            </w:tcBorders>
            <w:shd w:val="clear" w:color="000000" w:fill="F2F2F2"/>
            <w:vAlign w:val="center"/>
            <w:hideMark/>
          </w:tcPr>
          <w:p w14:paraId="46B8D3E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Slotted glass fiber filters (SAC 230GF) and backup glass fiber filter (Graseby GMW P/N-810) were used for the size-segregated particle sampling. Slotted quartz fiber filters (SAC230QF) and backup quartz fiber filter (2500QAO-UP) were used for size-segregated particle sampling for the analysis of the organic compounds, including PAHs</w:t>
            </w:r>
          </w:p>
        </w:tc>
        <w:tc>
          <w:tcPr>
            <w:tcW w:w="1817" w:type="dxa"/>
            <w:tcBorders>
              <w:top w:val="nil"/>
              <w:left w:val="nil"/>
              <w:bottom w:val="nil"/>
              <w:right w:val="nil"/>
            </w:tcBorders>
            <w:shd w:val="clear" w:color="000000" w:fill="F2F2F2"/>
            <w:vAlign w:val="center"/>
            <w:hideMark/>
          </w:tcPr>
          <w:p w14:paraId="3BA6681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23 h </w:t>
            </w:r>
          </w:p>
        </w:tc>
        <w:tc>
          <w:tcPr>
            <w:tcW w:w="1943" w:type="dxa"/>
            <w:tcBorders>
              <w:top w:val="nil"/>
              <w:left w:val="nil"/>
              <w:bottom w:val="nil"/>
              <w:right w:val="nil"/>
            </w:tcBorders>
            <w:shd w:val="clear" w:color="000000" w:fill="F2F2F2"/>
            <w:vAlign w:val="center"/>
            <w:hideMark/>
          </w:tcPr>
          <w:p w14:paraId="79F4EB8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2EE90033"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57301BE5" w14:textId="683C63FC" w:rsidR="008D2218" w:rsidRPr="00E71630" w:rsidRDefault="006C6224" w:rsidP="00E71630">
            <w:pPr>
              <w:spacing w:after="0" w:line="240" w:lineRule="auto"/>
              <w:jc w:val="both"/>
              <w:rPr>
                <w:rFonts w:ascii="Garamond" w:eastAsia="Times New Roman" w:hAnsi="Garamond" w:cs="Calibri"/>
                <w:color w:val="000000"/>
                <w:sz w:val="16"/>
                <w:szCs w:val="16"/>
                <w:lang w:eastAsia="en-GB"/>
              </w:rPr>
            </w:pPr>
            <w:r>
              <w:rPr>
                <w:rFonts w:ascii="Garamond" w:eastAsia="Times New Roman" w:hAnsi="Garamond" w:cs="Calibri"/>
                <w:noProof/>
                <w:color w:val="000000"/>
                <w:sz w:val="16"/>
                <w:szCs w:val="16"/>
                <w:lang w:eastAsia="en-GB"/>
              </w:rPr>
              <w:fldChar w:fldCharType="begin" w:fldLock="1"/>
            </w:r>
            <w:r w:rsidR="00A84515">
              <w:rPr>
                <w:rFonts w:ascii="Garamond" w:eastAsia="Times New Roman" w:hAnsi="Garamond" w:cs="Calibri"/>
                <w:noProof/>
                <w:color w:val="000000"/>
                <w:sz w:val="16"/>
                <w:szCs w:val="16"/>
                <w:lang w:eastAsia="en-GB"/>
              </w:rPr>
              <w:instrText>ADDIN CSL_CITATION {"citationItems":[{"id":"ITEM-1","itemData":{"DOI":"10.1016/j.ecoenv.2020.110219","ISSN":"0147-6513","author":[{"dropping-particle":"","family":"Xing","given":"Xinli","non-dropping-particle":"","parse-names":false,"suffix":""},{"dropping-particle":"","family":"Chen","given":"Zhanle","non-dropping-particle":"","parse-names":false,"suffix":""},{"dropping-particle":"","family":"Tian","given":"Qian","non-dropping-particle":"","parse-names":false,"suffix":""},{"dropping-particle":"","family":"Mao","given":"Yao","non-dropping-particle":"","parse-names":false,"suffix":""},{"dropping-particle":"","family":"Liu","given":"Weijie","non-dropping-particle":"","parse-names":false,"suffix":""},{"dropping-particle":"","family":"Shi","given":"Mingming","non-dropping-particle":"","parse-names":false,"suffix":""}],"container-title":"Ecotoxicology and Environmental Safety","id":"ITEM-1","issue":"October 2019","issued":{"date-parts":[["2020"]]},"page":"110219","publisher":"Elsevier Inc.","title":"Ecotoxicology and Environmental Safety Characterization and source identi fi cation of PM 2 . 5 -bound polycyclic aromatic hydrocarbons in urban , suburban , and rural ambient air , central China during summer harvest","type":"article-journal","volume":"191"},"uris":["http://www.mendeley.com/documents/?uuid=df2dfb71-800e-4e5c-a09b-bfc1d99bad0b"]}],"mendeley":{"formattedCitation":"(Xing et al. 2020)","plainTextFormattedCitation":"(Xing et al. 2020)","previouslyFormattedCitation":"(Xing et al. 2020)"},"properties":{"noteIndex":0},"schema":"https://github.com/citation-style-language/schema/raw/master/csl-citation.json"}</w:instrText>
            </w:r>
            <w:r>
              <w:rPr>
                <w:rFonts w:ascii="Garamond" w:eastAsia="Times New Roman" w:hAnsi="Garamond" w:cs="Calibri"/>
                <w:noProof/>
                <w:color w:val="000000"/>
                <w:sz w:val="16"/>
                <w:szCs w:val="16"/>
                <w:lang w:eastAsia="en-GB"/>
              </w:rPr>
              <w:fldChar w:fldCharType="separate"/>
            </w:r>
            <w:r w:rsidRPr="006C6224">
              <w:rPr>
                <w:rFonts w:ascii="Garamond" w:eastAsia="Times New Roman" w:hAnsi="Garamond" w:cs="Calibri"/>
                <w:noProof/>
                <w:color w:val="000000"/>
                <w:sz w:val="16"/>
                <w:szCs w:val="16"/>
                <w:lang w:eastAsia="en-GB"/>
              </w:rPr>
              <w:t>(Xing et al. 2020)</w:t>
            </w:r>
            <w:r>
              <w:rPr>
                <w:rFonts w:ascii="Garamond" w:eastAsia="Times New Roman" w:hAnsi="Garamond" w:cs="Calibri"/>
                <w:noProof/>
                <w:color w:val="000000"/>
                <w:sz w:val="16"/>
                <w:szCs w:val="16"/>
                <w:lang w:eastAsia="en-GB"/>
              </w:rPr>
              <w:fldChar w:fldCharType="end"/>
            </w:r>
          </w:p>
        </w:tc>
        <w:tc>
          <w:tcPr>
            <w:tcW w:w="1952" w:type="dxa"/>
            <w:tcBorders>
              <w:top w:val="nil"/>
              <w:left w:val="nil"/>
              <w:bottom w:val="dotted" w:sz="4" w:space="0" w:color="auto"/>
              <w:right w:val="nil"/>
            </w:tcBorders>
            <w:shd w:val="clear" w:color="000000" w:fill="F2F2F2"/>
            <w:vAlign w:val="center"/>
            <w:hideMark/>
          </w:tcPr>
          <w:p w14:paraId="6BAB175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11, 13, and 14 samples were collected from the 3 sites.</w:t>
            </w:r>
          </w:p>
        </w:tc>
        <w:tc>
          <w:tcPr>
            <w:tcW w:w="1496" w:type="dxa"/>
            <w:vMerge/>
            <w:tcBorders>
              <w:top w:val="nil"/>
              <w:left w:val="nil"/>
              <w:bottom w:val="dotted" w:sz="4" w:space="0" w:color="000000"/>
              <w:right w:val="nil"/>
            </w:tcBorders>
            <w:vAlign w:val="center"/>
            <w:hideMark/>
          </w:tcPr>
          <w:p w14:paraId="1DAAC40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dotted" w:sz="4" w:space="0" w:color="auto"/>
              <w:right w:val="nil"/>
            </w:tcBorders>
            <w:shd w:val="clear" w:color="000000" w:fill="F2F2F2"/>
            <w:vAlign w:val="center"/>
            <w:hideMark/>
          </w:tcPr>
          <w:p w14:paraId="3B2E807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000000" w:fill="F2F2F2"/>
            <w:vAlign w:val="center"/>
            <w:hideMark/>
          </w:tcPr>
          <w:p w14:paraId="0203BCE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701" w:type="dxa"/>
            <w:tcBorders>
              <w:top w:val="nil"/>
              <w:left w:val="nil"/>
              <w:bottom w:val="dotted" w:sz="4" w:space="0" w:color="auto"/>
              <w:right w:val="nil"/>
            </w:tcBorders>
            <w:shd w:val="clear" w:color="000000" w:fill="F2F2F2"/>
            <w:vAlign w:val="center"/>
            <w:hideMark/>
          </w:tcPr>
          <w:p w14:paraId="6473026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000000" w:fill="F2F2F2"/>
            <w:vAlign w:val="center"/>
            <w:hideMark/>
          </w:tcPr>
          <w:p w14:paraId="2B2FCF0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23 h </w:t>
            </w:r>
          </w:p>
        </w:tc>
        <w:tc>
          <w:tcPr>
            <w:tcW w:w="1943" w:type="dxa"/>
            <w:tcBorders>
              <w:top w:val="nil"/>
              <w:left w:val="nil"/>
              <w:bottom w:val="dotted" w:sz="4" w:space="0" w:color="auto"/>
              <w:right w:val="nil"/>
            </w:tcBorders>
            <w:shd w:val="clear" w:color="000000" w:fill="F2F2F2"/>
            <w:vAlign w:val="center"/>
            <w:hideMark/>
          </w:tcPr>
          <w:p w14:paraId="64265DC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The priority list of 16 PAHs recommended by the United States Environmental Protection Agency (US EPA) are detected by gas chromatography–mass by using a spectrometric capillary column</w:t>
            </w:r>
          </w:p>
        </w:tc>
      </w:tr>
      <w:tr w:rsidR="008D2218" w:rsidRPr="00E71630" w14:paraId="08AC28A5" w14:textId="77777777" w:rsidTr="008D2218">
        <w:trPr>
          <w:trHeight w:val="216"/>
        </w:trPr>
        <w:tc>
          <w:tcPr>
            <w:tcW w:w="1876" w:type="dxa"/>
            <w:tcBorders>
              <w:top w:val="nil"/>
              <w:left w:val="nil"/>
              <w:bottom w:val="nil"/>
              <w:right w:val="nil"/>
            </w:tcBorders>
            <w:shd w:val="clear" w:color="auto" w:fill="auto"/>
            <w:vAlign w:val="center"/>
            <w:hideMark/>
          </w:tcPr>
          <w:p w14:paraId="3BB97AF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(You et al. 2008)</w:t>
            </w:r>
          </w:p>
        </w:tc>
        <w:tc>
          <w:tcPr>
            <w:tcW w:w="1952" w:type="dxa"/>
            <w:tcBorders>
              <w:top w:val="nil"/>
              <w:left w:val="nil"/>
              <w:bottom w:val="nil"/>
              <w:right w:val="nil"/>
            </w:tcBorders>
            <w:shd w:val="clear" w:color="auto" w:fill="auto"/>
            <w:vAlign w:val="center"/>
            <w:hideMark/>
          </w:tcPr>
          <w:p w14:paraId="55B053A4" w14:textId="35153406"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11,399 air samples (13% of them were replicates); 145 - 1031 samples per month.</w:t>
            </w:r>
          </w:p>
        </w:tc>
        <w:tc>
          <w:tcPr>
            <w:tcW w:w="1496" w:type="dxa"/>
            <w:vMerge w:val="restart"/>
            <w:tcBorders>
              <w:top w:val="nil"/>
              <w:left w:val="nil"/>
              <w:bottom w:val="dotted" w:sz="4" w:space="0" w:color="000000"/>
              <w:right w:val="nil"/>
            </w:tcBorders>
            <w:shd w:val="clear" w:color="auto" w:fill="auto"/>
            <w:vAlign w:val="center"/>
            <w:hideMark/>
          </w:tcPr>
          <w:p w14:paraId="68858D9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VOC</w:t>
            </w:r>
          </w:p>
        </w:tc>
        <w:tc>
          <w:tcPr>
            <w:tcW w:w="1339" w:type="dxa"/>
            <w:tcBorders>
              <w:top w:val="nil"/>
              <w:left w:val="nil"/>
              <w:bottom w:val="nil"/>
              <w:right w:val="nil"/>
            </w:tcBorders>
            <w:shd w:val="clear" w:color="auto" w:fill="auto"/>
            <w:vAlign w:val="center"/>
            <w:hideMark/>
          </w:tcPr>
          <w:p w14:paraId="66960A4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nil"/>
              <w:right w:val="nil"/>
            </w:tcBorders>
            <w:shd w:val="clear" w:color="auto" w:fill="auto"/>
            <w:vAlign w:val="center"/>
            <w:hideMark/>
          </w:tcPr>
          <w:p w14:paraId="25166FD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Teflon membrane impregnated with charcoal</w:t>
            </w:r>
          </w:p>
        </w:tc>
        <w:tc>
          <w:tcPr>
            <w:tcW w:w="1701" w:type="dxa"/>
            <w:tcBorders>
              <w:top w:val="nil"/>
              <w:left w:val="nil"/>
              <w:bottom w:val="nil"/>
              <w:right w:val="nil"/>
            </w:tcBorders>
            <w:shd w:val="clear" w:color="auto" w:fill="auto"/>
            <w:vAlign w:val="center"/>
            <w:hideMark/>
          </w:tcPr>
          <w:p w14:paraId="68CD373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nil"/>
              <w:right w:val="nil"/>
            </w:tcBorders>
            <w:shd w:val="clear" w:color="auto" w:fill="auto"/>
            <w:vAlign w:val="center"/>
            <w:hideMark/>
          </w:tcPr>
          <w:p w14:paraId="23CCF87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nil"/>
              <w:right w:val="nil"/>
            </w:tcBorders>
            <w:shd w:val="clear" w:color="auto" w:fill="auto"/>
            <w:vAlign w:val="center"/>
            <w:hideMark/>
          </w:tcPr>
          <w:p w14:paraId="0965279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VOC were extracted from the sampling media using a carbon disulfide solution spiked with deuterated standards. The extracts were then injected into a gas </w:t>
            </w:r>
            <w:r w:rsidRPr="00E71630">
              <w:rPr>
                <w:rFonts w:ascii="Garamond" w:eastAsia="Times New Roman" w:hAnsi="Garamond" w:cs="Calibri"/>
                <w:color w:val="000000"/>
                <w:sz w:val="16"/>
                <w:szCs w:val="16"/>
                <w:lang w:eastAsia="en-GB"/>
              </w:rPr>
              <w:lastRenderedPageBreak/>
              <w:t>chromatograph equipped with a mass spectrometer operated in selected ion-monitoring mode that detected three ions per compound.</w:t>
            </w:r>
          </w:p>
        </w:tc>
      </w:tr>
      <w:tr w:rsidR="008D2218" w:rsidRPr="00E71630" w14:paraId="2AF6D722" w14:textId="77777777" w:rsidTr="008D2218">
        <w:trPr>
          <w:trHeight w:val="216"/>
        </w:trPr>
        <w:tc>
          <w:tcPr>
            <w:tcW w:w="1876" w:type="dxa"/>
            <w:vMerge w:val="restart"/>
            <w:tcBorders>
              <w:top w:val="nil"/>
              <w:left w:val="nil"/>
              <w:bottom w:val="dotted" w:sz="4" w:space="0" w:color="000000"/>
              <w:right w:val="nil"/>
            </w:tcBorders>
            <w:shd w:val="clear" w:color="auto" w:fill="auto"/>
            <w:vAlign w:val="center"/>
            <w:hideMark/>
          </w:tcPr>
          <w:p w14:paraId="4F9FE72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lastRenderedPageBreak/>
              <w:t>(Maesano et al. 2019)</w:t>
            </w:r>
          </w:p>
        </w:tc>
        <w:tc>
          <w:tcPr>
            <w:tcW w:w="1952" w:type="dxa"/>
            <w:vMerge w:val="restart"/>
            <w:tcBorders>
              <w:top w:val="nil"/>
              <w:left w:val="nil"/>
              <w:bottom w:val="dotted" w:sz="4" w:space="0" w:color="000000"/>
              <w:right w:val="nil"/>
            </w:tcBorders>
            <w:shd w:val="clear" w:color="auto" w:fill="auto"/>
            <w:vAlign w:val="center"/>
            <w:hideMark/>
          </w:tcPr>
          <w:p w14:paraId="4474B41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109 French farmers.</w:t>
            </w:r>
          </w:p>
        </w:tc>
        <w:tc>
          <w:tcPr>
            <w:tcW w:w="1496" w:type="dxa"/>
            <w:vMerge/>
            <w:tcBorders>
              <w:top w:val="nil"/>
              <w:left w:val="nil"/>
              <w:bottom w:val="dotted" w:sz="4" w:space="0" w:color="000000"/>
              <w:right w:val="nil"/>
            </w:tcBorders>
            <w:vAlign w:val="center"/>
            <w:hideMark/>
          </w:tcPr>
          <w:p w14:paraId="4C2EA5A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val="restart"/>
            <w:tcBorders>
              <w:top w:val="nil"/>
              <w:left w:val="nil"/>
              <w:bottom w:val="dotted" w:sz="4" w:space="0" w:color="000000"/>
              <w:right w:val="nil"/>
            </w:tcBorders>
            <w:shd w:val="clear" w:color="auto" w:fill="auto"/>
            <w:vAlign w:val="center"/>
            <w:hideMark/>
          </w:tcPr>
          <w:p w14:paraId="3496182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nil"/>
              <w:right w:val="nil"/>
            </w:tcBorders>
            <w:shd w:val="clear" w:color="auto" w:fill="auto"/>
            <w:vAlign w:val="center"/>
            <w:hideMark/>
          </w:tcPr>
          <w:p w14:paraId="7D29DFF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Radiello 165 cartridge absorbent with 2,4-dinitrophenylhydrazine (2,4-DNPH) coated Florisil® was used to assess aldehydes</w:t>
            </w:r>
          </w:p>
        </w:tc>
        <w:tc>
          <w:tcPr>
            <w:tcW w:w="1701" w:type="dxa"/>
            <w:vMerge w:val="restart"/>
            <w:tcBorders>
              <w:top w:val="nil"/>
              <w:left w:val="nil"/>
              <w:bottom w:val="dotted" w:sz="4" w:space="0" w:color="000000"/>
              <w:right w:val="nil"/>
            </w:tcBorders>
            <w:shd w:val="clear" w:color="auto" w:fill="auto"/>
            <w:vAlign w:val="center"/>
            <w:hideMark/>
          </w:tcPr>
          <w:p w14:paraId="4A8114D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vMerge w:val="restart"/>
            <w:tcBorders>
              <w:top w:val="nil"/>
              <w:left w:val="nil"/>
              <w:bottom w:val="dotted" w:sz="4" w:space="0" w:color="000000"/>
              <w:right w:val="nil"/>
            </w:tcBorders>
            <w:shd w:val="clear" w:color="auto" w:fill="auto"/>
            <w:vAlign w:val="center"/>
            <w:hideMark/>
          </w:tcPr>
          <w:p w14:paraId="5509525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2 min</w:t>
            </w:r>
          </w:p>
        </w:tc>
        <w:tc>
          <w:tcPr>
            <w:tcW w:w="1943" w:type="dxa"/>
            <w:vMerge w:val="restart"/>
            <w:tcBorders>
              <w:top w:val="nil"/>
              <w:left w:val="nil"/>
              <w:bottom w:val="dotted" w:sz="4" w:space="0" w:color="000000"/>
              <w:right w:val="nil"/>
            </w:tcBorders>
            <w:shd w:val="clear" w:color="auto" w:fill="auto"/>
            <w:vAlign w:val="center"/>
            <w:hideMark/>
          </w:tcPr>
          <w:p w14:paraId="61A8FCC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BTEX and VOCs were extracted through thermodesorption and analyzed by gas phase chromatography equipped with flame ionization detection and/or mass spectrometry</w:t>
            </w:r>
          </w:p>
        </w:tc>
      </w:tr>
      <w:tr w:rsidR="008D2218" w:rsidRPr="00E71630" w14:paraId="41F3FC51" w14:textId="77777777" w:rsidTr="008D2218">
        <w:trPr>
          <w:trHeight w:val="216"/>
        </w:trPr>
        <w:tc>
          <w:tcPr>
            <w:tcW w:w="1876" w:type="dxa"/>
            <w:vMerge/>
            <w:tcBorders>
              <w:top w:val="nil"/>
              <w:left w:val="nil"/>
              <w:bottom w:val="dotted" w:sz="4" w:space="0" w:color="000000"/>
              <w:right w:val="nil"/>
            </w:tcBorders>
            <w:vAlign w:val="center"/>
            <w:hideMark/>
          </w:tcPr>
          <w:p w14:paraId="5AA7EF98"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52" w:type="dxa"/>
            <w:vMerge/>
            <w:tcBorders>
              <w:top w:val="nil"/>
              <w:left w:val="nil"/>
              <w:bottom w:val="dotted" w:sz="4" w:space="0" w:color="000000"/>
              <w:right w:val="nil"/>
            </w:tcBorders>
            <w:vAlign w:val="center"/>
            <w:hideMark/>
          </w:tcPr>
          <w:p w14:paraId="779F758E"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496" w:type="dxa"/>
            <w:vMerge/>
            <w:tcBorders>
              <w:top w:val="nil"/>
              <w:left w:val="nil"/>
              <w:bottom w:val="dotted" w:sz="4" w:space="0" w:color="000000"/>
              <w:right w:val="nil"/>
            </w:tcBorders>
            <w:vAlign w:val="center"/>
            <w:hideMark/>
          </w:tcPr>
          <w:p w14:paraId="3B6DB289"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vMerge/>
            <w:tcBorders>
              <w:top w:val="nil"/>
              <w:left w:val="nil"/>
              <w:bottom w:val="dotted" w:sz="4" w:space="0" w:color="000000"/>
              <w:right w:val="nil"/>
            </w:tcBorders>
            <w:vAlign w:val="center"/>
            <w:hideMark/>
          </w:tcPr>
          <w:p w14:paraId="7A67059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2524" w:type="dxa"/>
            <w:tcBorders>
              <w:top w:val="nil"/>
              <w:left w:val="nil"/>
              <w:bottom w:val="dotted" w:sz="4" w:space="0" w:color="auto"/>
              <w:right w:val="nil"/>
            </w:tcBorders>
            <w:shd w:val="clear" w:color="auto" w:fill="auto"/>
            <w:vAlign w:val="center"/>
            <w:hideMark/>
          </w:tcPr>
          <w:p w14:paraId="5D4F3BB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Radiello 145 cartridge absorbent was used to assess BTEX (benzene, toluene, xylene) and other VOCs</w:t>
            </w:r>
          </w:p>
        </w:tc>
        <w:tc>
          <w:tcPr>
            <w:tcW w:w="1701" w:type="dxa"/>
            <w:vMerge/>
            <w:tcBorders>
              <w:top w:val="nil"/>
              <w:left w:val="nil"/>
              <w:bottom w:val="dotted" w:sz="4" w:space="0" w:color="000000"/>
              <w:right w:val="nil"/>
            </w:tcBorders>
            <w:vAlign w:val="center"/>
            <w:hideMark/>
          </w:tcPr>
          <w:p w14:paraId="43B1BF41"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817" w:type="dxa"/>
            <w:vMerge/>
            <w:tcBorders>
              <w:top w:val="nil"/>
              <w:left w:val="nil"/>
              <w:bottom w:val="dotted" w:sz="4" w:space="0" w:color="000000"/>
              <w:right w:val="nil"/>
            </w:tcBorders>
            <w:vAlign w:val="center"/>
            <w:hideMark/>
          </w:tcPr>
          <w:p w14:paraId="1503052C"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943" w:type="dxa"/>
            <w:vMerge/>
            <w:tcBorders>
              <w:top w:val="nil"/>
              <w:left w:val="nil"/>
              <w:bottom w:val="dotted" w:sz="4" w:space="0" w:color="000000"/>
              <w:right w:val="nil"/>
            </w:tcBorders>
            <w:vAlign w:val="center"/>
            <w:hideMark/>
          </w:tcPr>
          <w:p w14:paraId="2FEA1352"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r>
      <w:tr w:rsidR="008D2218" w:rsidRPr="00E71630" w14:paraId="5190DEB0"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48238CD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(Reinhardt et al. 2011)</w:t>
            </w:r>
          </w:p>
        </w:tc>
        <w:tc>
          <w:tcPr>
            <w:tcW w:w="1952" w:type="dxa"/>
            <w:tcBorders>
              <w:top w:val="nil"/>
              <w:left w:val="nil"/>
              <w:bottom w:val="dotted" w:sz="4" w:space="0" w:color="auto"/>
              <w:right w:val="nil"/>
            </w:tcBorders>
            <w:shd w:val="clear" w:color="000000" w:fill="F2F2F2"/>
            <w:vAlign w:val="center"/>
            <w:hideMark/>
          </w:tcPr>
          <w:p w14:paraId="16DFC12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tcBorders>
              <w:top w:val="nil"/>
              <w:left w:val="nil"/>
              <w:bottom w:val="dotted" w:sz="4" w:space="0" w:color="auto"/>
              <w:right w:val="nil"/>
            </w:tcBorders>
            <w:shd w:val="clear" w:color="000000" w:fill="F2F2F2"/>
            <w:vAlign w:val="center"/>
            <w:hideMark/>
          </w:tcPr>
          <w:p w14:paraId="2102620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Benzene</w:t>
            </w:r>
          </w:p>
        </w:tc>
        <w:tc>
          <w:tcPr>
            <w:tcW w:w="1339" w:type="dxa"/>
            <w:tcBorders>
              <w:top w:val="nil"/>
              <w:left w:val="nil"/>
              <w:bottom w:val="dotted" w:sz="4" w:space="0" w:color="auto"/>
              <w:right w:val="nil"/>
            </w:tcBorders>
            <w:shd w:val="clear" w:color="000000" w:fill="F2F2F2"/>
            <w:vAlign w:val="center"/>
            <w:hideMark/>
          </w:tcPr>
          <w:p w14:paraId="737713A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w:t>
            </w:r>
          </w:p>
        </w:tc>
        <w:tc>
          <w:tcPr>
            <w:tcW w:w="2524" w:type="dxa"/>
            <w:tcBorders>
              <w:top w:val="nil"/>
              <w:left w:val="nil"/>
              <w:bottom w:val="dotted" w:sz="4" w:space="0" w:color="auto"/>
              <w:right w:val="nil"/>
            </w:tcBorders>
            <w:shd w:val="clear" w:color="000000" w:fill="F2F2F2"/>
            <w:vAlign w:val="center"/>
            <w:hideMark/>
          </w:tcPr>
          <w:p w14:paraId="3A3A1CE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Charcoal sorbent tube</w:t>
            </w:r>
          </w:p>
        </w:tc>
        <w:tc>
          <w:tcPr>
            <w:tcW w:w="1701" w:type="dxa"/>
            <w:tcBorders>
              <w:top w:val="nil"/>
              <w:left w:val="nil"/>
              <w:bottom w:val="dotted" w:sz="4" w:space="0" w:color="auto"/>
              <w:right w:val="nil"/>
            </w:tcBorders>
            <w:shd w:val="clear" w:color="000000" w:fill="F2F2F2"/>
            <w:vAlign w:val="center"/>
            <w:hideMark/>
          </w:tcPr>
          <w:p w14:paraId="6274848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000000" w:fill="F2F2F2"/>
            <w:vAlign w:val="center"/>
            <w:hideMark/>
          </w:tcPr>
          <w:p w14:paraId="2B0D972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dotted" w:sz="4" w:space="0" w:color="auto"/>
              <w:right w:val="nil"/>
            </w:tcBorders>
            <w:shd w:val="clear" w:color="000000" w:fill="F2F2F2"/>
            <w:vAlign w:val="center"/>
            <w:hideMark/>
          </w:tcPr>
          <w:p w14:paraId="436D422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4096FA6A"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3DBBE91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(Reinhardt et al. 2011)</w:t>
            </w:r>
          </w:p>
        </w:tc>
        <w:tc>
          <w:tcPr>
            <w:tcW w:w="1952" w:type="dxa"/>
            <w:tcBorders>
              <w:top w:val="nil"/>
              <w:left w:val="nil"/>
              <w:bottom w:val="dotted" w:sz="4" w:space="0" w:color="auto"/>
              <w:right w:val="nil"/>
            </w:tcBorders>
            <w:shd w:val="clear" w:color="auto" w:fill="auto"/>
            <w:vAlign w:val="center"/>
            <w:hideMark/>
          </w:tcPr>
          <w:p w14:paraId="6CE916E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tcBorders>
              <w:top w:val="nil"/>
              <w:left w:val="nil"/>
              <w:bottom w:val="dotted" w:sz="4" w:space="0" w:color="auto"/>
              <w:right w:val="nil"/>
            </w:tcBorders>
            <w:shd w:val="clear" w:color="auto" w:fill="auto"/>
            <w:vAlign w:val="center"/>
            <w:hideMark/>
          </w:tcPr>
          <w:p w14:paraId="4521759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Acrolein</w:t>
            </w:r>
          </w:p>
        </w:tc>
        <w:tc>
          <w:tcPr>
            <w:tcW w:w="1339" w:type="dxa"/>
            <w:tcBorders>
              <w:top w:val="nil"/>
              <w:left w:val="nil"/>
              <w:bottom w:val="dotted" w:sz="4" w:space="0" w:color="auto"/>
              <w:right w:val="nil"/>
            </w:tcBorders>
            <w:shd w:val="clear" w:color="auto" w:fill="auto"/>
            <w:vAlign w:val="center"/>
            <w:hideMark/>
          </w:tcPr>
          <w:p w14:paraId="2FA7EBB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w:t>
            </w:r>
          </w:p>
        </w:tc>
        <w:tc>
          <w:tcPr>
            <w:tcW w:w="2524" w:type="dxa"/>
            <w:tcBorders>
              <w:top w:val="nil"/>
              <w:left w:val="nil"/>
              <w:bottom w:val="dotted" w:sz="4" w:space="0" w:color="auto"/>
              <w:right w:val="nil"/>
            </w:tcBorders>
            <w:shd w:val="clear" w:color="auto" w:fill="auto"/>
            <w:vAlign w:val="center"/>
            <w:hideMark/>
          </w:tcPr>
          <w:p w14:paraId="580A42C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Chemically treated Sep-Pak sorbent tube</w:t>
            </w:r>
          </w:p>
        </w:tc>
        <w:tc>
          <w:tcPr>
            <w:tcW w:w="1701" w:type="dxa"/>
            <w:tcBorders>
              <w:top w:val="nil"/>
              <w:left w:val="nil"/>
              <w:bottom w:val="dotted" w:sz="4" w:space="0" w:color="auto"/>
              <w:right w:val="nil"/>
            </w:tcBorders>
            <w:shd w:val="clear" w:color="auto" w:fill="auto"/>
            <w:vAlign w:val="center"/>
            <w:hideMark/>
          </w:tcPr>
          <w:p w14:paraId="1CB11687"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auto" w:fill="auto"/>
            <w:vAlign w:val="center"/>
            <w:hideMark/>
          </w:tcPr>
          <w:p w14:paraId="50B9F60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dotted" w:sz="4" w:space="0" w:color="auto"/>
              <w:right w:val="nil"/>
            </w:tcBorders>
            <w:shd w:val="clear" w:color="auto" w:fill="auto"/>
            <w:vAlign w:val="center"/>
            <w:hideMark/>
          </w:tcPr>
          <w:p w14:paraId="09208B9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8D2218" w:rsidRPr="00E71630" w14:paraId="1E89C441" w14:textId="77777777" w:rsidTr="008D2218">
        <w:trPr>
          <w:trHeight w:val="216"/>
        </w:trPr>
        <w:tc>
          <w:tcPr>
            <w:tcW w:w="1876" w:type="dxa"/>
            <w:tcBorders>
              <w:top w:val="nil"/>
              <w:left w:val="nil"/>
              <w:bottom w:val="dotted" w:sz="4" w:space="0" w:color="auto"/>
              <w:right w:val="nil"/>
            </w:tcBorders>
            <w:shd w:val="clear" w:color="000000" w:fill="F2F2F2"/>
            <w:vAlign w:val="center"/>
            <w:hideMark/>
          </w:tcPr>
          <w:p w14:paraId="7B118BF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(Jimenez et al. 2006)</w:t>
            </w:r>
          </w:p>
        </w:tc>
        <w:tc>
          <w:tcPr>
            <w:tcW w:w="1952" w:type="dxa"/>
            <w:tcBorders>
              <w:top w:val="nil"/>
              <w:left w:val="nil"/>
              <w:bottom w:val="dotted" w:sz="4" w:space="0" w:color="auto"/>
              <w:right w:val="nil"/>
            </w:tcBorders>
            <w:shd w:val="clear" w:color="000000" w:fill="F2F2F2"/>
            <w:vAlign w:val="center"/>
            <w:hideMark/>
          </w:tcPr>
          <w:p w14:paraId="6B32C224"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tcBorders>
              <w:top w:val="nil"/>
              <w:left w:val="nil"/>
              <w:bottom w:val="dotted" w:sz="4" w:space="0" w:color="auto"/>
              <w:right w:val="nil"/>
            </w:tcBorders>
            <w:shd w:val="clear" w:color="000000" w:fill="F2F2F2"/>
            <w:vAlign w:val="center"/>
            <w:hideMark/>
          </w:tcPr>
          <w:p w14:paraId="154EC96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EC</w:t>
            </w:r>
          </w:p>
        </w:tc>
        <w:tc>
          <w:tcPr>
            <w:tcW w:w="1339" w:type="dxa"/>
            <w:tcBorders>
              <w:top w:val="nil"/>
              <w:left w:val="nil"/>
              <w:bottom w:val="dotted" w:sz="4" w:space="0" w:color="auto"/>
              <w:right w:val="nil"/>
            </w:tcBorders>
            <w:shd w:val="clear" w:color="000000" w:fill="F2F2F2"/>
            <w:vAlign w:val="center"/>
            <w:hideMark/>
          </w:tcPr>
          <w:p w14:paraId="0A9144A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000000" w:fill="F2F2F2"/>
            <w:vAlign w:val="center"/>
            <w:hideMark/>
          </w:tcPr>
          <w:p w14:paraId="02041C3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701" w:type="dxa"/>
            <w:tcBorders>
              <w:top w:val="nil"/>
              <w:left w:val="nil"/>
              <w:bottom w:val="dotted" w:sz="4" w:space="0" w:color="auto"/>
              <w:right w:val="nil"/>
            </w:tcBorders>
            <w:shd w:val="clear" w:color="000000" w:fill="F2F2F2"/>
            <w:vAlign w:val="center"/>
            <w:hideMark/>
          </w:tcPr>
          <w:p w14:paraId="72BAC6B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000000" w:fill="F2F2F2"/>
            <w:vAlign w:val="center"/>
            <w:hideMark/>
          </w:tcPr>
          <w:p w14:paraId="026538F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dotted" w:sz="4" w:space="0" w:color="auto"/>
              <w:right w:val="nil"/>
            </w:tcBorders>
            <w:shd w:val="clear" w:color="000000" w:fill="F2F2F2"/>
            <w:vAlign w:val="center"/>
            <w:hideMark/>
          </w:tcPr>
          <w:p w14:paraId="0046286E" w14:textId="75EEC425"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Sections of the quartz filters were analyzed via</w:t>
            </w:r>
            <w:r w:rsidR="0057639B">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Thermal Optical Transmittance (Sunset Laboratory, Inc. Tigard, OR) using a modified version of the NIOSH 5040 method</w:t>
            </w:r>
          </w:p>
        </w:tc>
      </w:tr>
      <w:tr w:rsidR="008D2218" w:rsidRPr="00E71630" w14:paraId="30F972DB" w14:textId="77777777" w:rsidTr="008D2218">
        <w:trPr>
          <w:trHeight w:val="216"/>
        </w:trPr>
        <w:tc>
          <w:tcPr>
            <w:tcW w:w="1876" w:type="dxa"/>
            <w:tcBorders>
              <w:top w:val="nil"/>
              <w:left w:val="nil"/>
              <w:bottom w:val="dotted" w:sz="4" w:space="0" w:color="auto"/>
              <w:right w:val="nil"/>
            </w:tcBorders>
            <w:shd w:val="clear" w:color="auto" w:fill="auto"/>
            <w:vAlign w:val="center"/>
            <w:hideMark/>
          </w:tcPr>
          <w:p w14:paraId="263AB63E"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(Jimenez et al. 2006)</w:t>
            </w:r>
          </w:p>
        </w:tc>
        <w:tc>
          <w:tcPr>
            <w:tcW w:w="1952" w:type="dxa"/>
            <w:tcBorders>
              <w:top w:val="nil"/>
              <w:left w:val="nil"/>
              <w:bottom w:val="dotted" w:sz="4" w:space="0" w:color="auto"/>
              <w:right w:val="nil"/>
            </w:tcBorders>
            <w:shd w:val="clear" w:color="auto" w:fill="auto"/>
            <w:vAlign w:val="center"/>
            <w:hideMark/>
          </w:tcPr>
          <w:p w14:paraId="356E40CA"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96" w:type="dxa"/>
            <w:tcBorders>
              <w:top w:val="nil"/>
              <w:left w:val="nil"/>
              <w:bottom w:val="dotted" w:sz="4" w:space="0" w:color="auto"/>
              <w:right w:val="nil"/>
            </w:tcBorders>
            <w:shd w:val="clear" w:color="auto" w:fill="auto"/>
            <w:vAlign w:val="center"/>
            <w:hideMark/>
          </w:tcPr>
          <w:p w14:paraId="61B85E2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OC</w:t>
            </w:r>
          </w:p>
        </w:tc>
        <w:tc>
          <w:tcPr>
            <w:tcW w:w="1339" w:type="dxa"/>
            <w:tcBorders>
              <w:top w:val="nil"/>
              <w:left w:val="nil"/>
              <w:bottom w:val="dotted" w:sz="4" w:space="0" w:color="auto"/>
              <w:right w:val="nil"/>
            </w:tcBorders>
            <w:shd w:val="clear" w:color="auto" w:fill="auto"/>
            <w:vAlign w:val="center"/>
            <w:hideMark/>
          </w:tcPr>
          <w:p w14:paraId="7901A130"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dotted" w:sz="4" w:space="0" w:color="auto"/>
              <w:right w:val="nil"/>
            </w:tcBorders>
            <w:shd w:val="clear" w:color="auto" w:fill="auto"/>
            <w:vAlign w:val="center"/>
            <w:hideMark/>
          </w:tcPr>
          <w:p w14:paraId="4E919B28"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701" w:type="dxa"/>
            <w:tcBorders>
              <w:top w:val="nil"/>
              <w:left w:val="nil"/>
              <w:bottom w:val="dotted" w:sz="4" w:space="0" w:color="auto"/>
              <w:right w:val="nil"/>
            </w:tcBorders>
            <w:shd w:val="clear" w:color="auto" w:fill="auto"/>
            <w:vAlign w:val="center"/>
            <w:hideMark/>
          </w:tcPr>
          <w:p w14:paraId="42FA3CF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dotted" w:sz="4" w:space="0" w:color="auto"/>
              <w:right w:val="nil"/>
            </w:tcBorders>
            <w:shd w:val="clear" w:color="auto" w:fill="auto"/>
            <w:vAlign w:val="center"/>
            <w:hideMark/>
          </w:tcPr>
          <w:p w14:paraId="150113F1"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43" w:type="dxa"/>
            <w:tcBorders>
              <w:top w:val="nil"/>
              <w:left w:val="nil"/>
              <w:bottom w:val="dotted" w:sz="4" w:space="0" w:color="auto"/>
              <w:right w:val="nil"/>
            </w:tcBorders>
            <w:shd w:val="clear" w:color="auto" w:fill="auto"/>
            <w:vAlign w:val="center"/>
            <w:hideMark/>
          </w:tcPr>
          <w:p w14:paraId="6566B9F9" w14:textId="5B9B9504"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Sections of the quartz filters were analyzed via</w:t>
            </w:r>
            <w:r w:rsidR="0057639B">
              <w:rPr>
                <w:rFonts w:ascii="Garamond" w:eastAsia="Times New Roman" w:hAnsi="Garamond" w:cs="Calibri"/>
                <w:color w:val="000000"/>
                <w:sz w:val="16"/>
                <w:szCs w:val="16"/>
                <w:lang w:eastAsia="en-GB"/>
              </w:rPr>
              <w:t xml:space="preserve"> </w:t>
            </w:r>
            <w:r w:rsidRPr="00E71630">
              <w:rPr>
                <w:rFonts w:ascii="Garamond" w:eastAsia="Times New Roman" w:hAnsi="Garamond" w:cs="Calibri"/>
                <w:color w:val="000000"/>
                <w:sz w:val="16"/>
                <w:szCs w:val="16"/>
                <w:lang w:eastAsia="en-GB"/>
              </w:rPr>
              <w:t>Thermal Optical Transmittance (Sunset Laboratory, Inc. Tigard, OR) using a modified version of the NIOSH 5040 method</w:t>
            </w:r>
          </w:p>
        </w:tc>
      </w:tr>
      <w:tr w:rsidR="008D2218" w:rsidRPr="00E71630" w14:paraId="2AFBF52E" w14:textId="77777777" w:rsidTr="008D2218">
        <w:trPr>
          <w:trHeight w:val="216"/>
        </w:trPr>
        <w:tc>
          <w:tcPr>
            <w:tcW w:w="1876" w:type="dxa"/>
            <w:tcBorders>
              <w:top w:val="nil"/>
              <w:left w:val="nil"/>
              <w:bottom w:val="nil"/>
              <w:right w:val="nil"/>
            </w:tcBorders>
            <w:shd w:val="clear" w:color="000000" w:fill="F2F2F2"/>
            <w:vAlign w:val="center"/>
            <w:hideMark/>
          </w:tcPr>
          <w:p w14:paraId="6CB7F68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(Barnig et al. 2012)</w:t>
            </w:r>
          </w:p>
        </w:tc>
        <w:tc>
          <w:tcPr>
            <w:tcW w:w="1952" w:type="dxa"/>
            <w:tcBorders>
              <w:top w:val="nil"/>
              <w:left w:val="nil"/>
              <w:bottom w:val="nil"/>
              <w:right w:val="nil"/>
            </w:tcBorders>
            <w:shd w:val="clear" w:color="000000" w:fill="F2F2F2"/>
            <w:vAlign w:val="center"/>
            <w:hideMark/>
          </w:tcPr>
          <w:p w14:paraId="68797102"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100 dwellings and 50 farmhouses (50 rural nonfarming references).</w:t>
            </w:r>
          </w:p>
        </w:tc>
        <w:tc>
          <w:tcPr>
            <w:tcW w:w="1496" w:type="dxa"/>
            <w:vMerge w:val="restart"/>
            <w:tcBorders>
              <w:top w:val="nil"/>
              <w:left w:val="nil"/>
              <w:bottom w:val="single" w:sz="8" w:space="0" w:color="000000"/>
              <w:right w:val="nil"/>
            </w:tcBorders>
            <w:shd w:val="clear" w:color="000000" w:fill="F2F2F2"/>
            <w:vAlign w:val="center"/>
            <w:hideMark/>
          </w:tcPr>
          <w:p w14:paraId="15F13D2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Endotoxin</w:t>
            </w:r>
          </w:p>
        </w:tc>
        <w:tc>
          <w:tcPr>
            <w:tcW w:w="1339" w:type="dxa"/>
            <w:tcBorders>
              <w:top w:val="nil"/>
              <w:left w:val="nil"/>
              <w:bottom w:val="nil"/>
              <w:right w:val="nil"/>
            </w:tcBorders>
            <w:shd w:val="clear" w:color="000000" w:fill="F2F2F2"/>
            <w:vAlign w:val="center"/>
            <w:hideMark/>
          </w:tcPr>
          <w:p w14:paraId="62C402C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 + P</w:t>
            </w:r>
          </w:p>
        </w:tc>
        <w:tc>
          <w:tcPr>
            <w:tcW w:w="2524" w:type="dxa"/>
            <w:tcBorders>
              <w:top w:val="nil"/>
              <w:left w:val="nil"/>
              <w:bottom w:val="nil"/>
              <w:right w:val="nil"/>
            </w:tcBorders>
            <w:shd w:val="clear" w:color="000000" w:fill="F2F2F2"/>
            <w:vAlign w:val="center"/>
            <w:hideMark/>
          </w:tcPr>
          <w:p w14:paraId="14AC08BB"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701" w:type="dxa"/>
            <w:tcBorders>
              <w:top w:val="nil"/>
              <w:left w:val="nil"/>
              <w:bottom w:val="nil"/>
              <w:right w:val="nil"/>
            </w:tcBorders>
            <w:shd w:val="clear" w:color="000000" w:fill="F2F2F2"/>
            <w:vAlign w:val="center"/>
            <w:hideMark/>
          </w:tcPr>
          <w:p w14:paraId="26D79F63"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nil"/>
              <w:right w:val="nil"/>
            </w:tcBorders>
            <w:shd w:val="clear" w:color="000000" w:fill="F2F2F2"/>
            <w:vAlign w:val="center"/>
            <w:hideMark/>
          </w:tcPr>
          <w:p w14:paraId="390A6E4F"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8 h</w:t>
            </w:r>
          </w:p>
        </w:tc>
        <w:tc>
          <w:tcPr>
            <w:tcW w:w="1943" w:type="dxa"/>
            <w:tcBorders>
              <w:top w:val="nil"/>
              <w:left w:val="nil"/>
              <w:bottom w:val="nil"/>
              <w:right w:val="nil"/>
            </w:tcBorders>
            <w:shd w:val="clear" w:color="000000" w:fill="F2F2F2"/>
            <w:vAlign w:val="center"/>
            <w:hideMark/>
          </w:tcPr>
          <w:p w14:paraId="6036A244"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Endotoxins extraction from 100 mg dust in 2 ml of PBS-LAL (Biomerieux, Craponne, France).</w:t>
            </w:r>
          </w:p>
        </w:tc>
      </w:tr>
      <w:tr w:rsidR="008D2218" w:rsidRPr="00E71630" w14:paraId="00A3C618" w14:textId="77777777" w:rsidTr="008D2218">
        <w:trPr>
          <w:trHeight w:val="216"/>
        </w:trPr>
        <w:tc>
          <w:tcPr>
            <w:tcW w:w="1876" w:type="dxa"/>
            <w:tcBorders>
              <w:top w:val="nil"/>
              <w:left w:val="nil"/>
              <w:bottom w:val="single" w:sz="8" w:space="0" w:color="auto"/>
              <w:right w:val="nil"/>
            </w:tcBorders>
            <w:shd w:val="clear" w:color="000000" w:fill="F2F2F2"/>
            <w:vAlign w:val="center"/>
            <w:hideMark/>
          </w:tcPr>
          <w:p w14:paraId="1EF99D76"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(Pavilonis et al. 2013)</w:t>
            </w:r>
          </w:p>
        </w:tc>
        <w:tc>
          <w:tcPr>
            <w:tcW w:w="1952" w:type="dxa"/>
            <w:tcBorders>
              <w:top w:val="nil"/>
              <w:left w:val="nil"/>
              <w:bottom w:val="single" w:sz="8" w:space="0" w:color="auto"/>
              <w:right w:val="nil"/>
            </w:tcBorders>
            <w:shd w:val="clear" w:color="000000" w:fill="F2F2F2"/>
            <w:vAlign w:val="center"/>
            <w:hideMark/>
          </w:tcPr>
          <w:p w14:paraId="691A70B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197 rural households.</w:t>
            </w:r>
          </w:p>
        </w:tc>
        <w:tc>
          <w:tcPr>
            <w:tcW w:w="1496" w:type="dxa"/>
            <w:vMerge/>
            <w:tcBorders>
              <w:top w:val="nil"/>
              <w:left w:val="nil"/>
              <w:bottom w:val="single" w:sz="8" w:space="0" w:color="000000"/>
              <w:right w:val="nil"/>
            </w:tcBorders>
            <w:vAlign w:val="center"/>
            <w:hideMark/>
          </w:tcPr>
          <w:p w14:paraId="3663D754" w14:textId="77777777" w:rsidR="008D2218" w:rsidRPr="00E71630" w:rsidRDefault="008D2218" w:rsidP="00E71630">
            <w:pPr>
              <w:spacing w:after="0" w:line="240" w:lineRule="auto"/>
              <w:rPr>
                <w:rFonts w:ascii="Garamond" w:eastAsia="Times New Roman" w:hAnsi="Garamond" w:cs="Calibri"/>
                <w:color w:val="000000"/>
                <w:sz w:val="16"/>
                <w:szCs w:val="16"/>
                <w:lang w:eastAsia="en-GB"/>
              </w:rPr>
            </w:pPr>
          </w:p>
        </w:tc>
        <w:tc>
          <w:tcPr>
            <w:tcW w:w="1339" w:type="dxa"/>
            <w:tcBorders>
              <w:top w:val="nil"/>
              <w:left w:val="nil"/>
              <w:bottom w:val="single" w:sz="8" w:space="0" w:color="auto"/>
              <w:right w:val="nil"/>
            </w:tcBorders>
            <w:shd w:val="clear" w:color="000000" w:fill="F2F2F2"/>
            <w:vAlign w:val="center"/>
            <w:hideMark/>
          </w:tcPr>
          <w:p w14:paraId="2F489519"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w:t>
            </w:r>
          </w:p>
        </w:tc>
        <w:tc>
          <w:tcPr>
            <w:tcW w:w="2524" w:type="dxa"/>
            <w:tcBorders>
              <w:top w:val="nil"/>
              <w:left w:val="nil"/>
              <w:bottom w:val="single" w:sz="8" w:space="0" w:color="auto"/>
              <w:right w:val="nil"/>
            </w:tcBorders>
            <w:shd w:val="clear" w:color="000000" w:fill="F2F2F2"/>
            <w:vAlign w:val="center"/>
            <w:hideMark/>
          </w:tcPr>
          <w:p w14:paraId="0E8CA2E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701" w:type="dxa"/>
            <w:tcBorders>
              <w:top w:val="nil"/>
              <w:left w:val="nil"/>
              <w:bottom w:val="single" w:sz="8" w:space="0" w:color="auto"/>
              <w:right w:val="nil"/>
            </w:tcBorders>
            <w:shd w:val="clear" w:color="000000" w:fill="F2F2F2"/>
            <w:vAlign w:val="center"/>
            <w:hideMark/>
          </w:tcPr>
          <w:p w14:paraId="4452EC1C"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817" w:type="dxa"/>
            <w:tcBorders>
              <w:top w:val="nil"/>
              <w:left w:val="nil"/>
              <w:bottom w:val="single" w:sz="8" w:space="0" w:color="auto"/>
              <w:right w:val="nil"/>
            </w:tcBorders>
            <w:shd w:val="clear" w:color="000000" w:fill="F2F2F2"/>
            <w:vAlign w:val="center"/>
            <w:hideMark/>
          </w:tcPr>
          <w:p w14:paraId="3C38C6BD"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30 min</w:t>
            </w:r>
          </w:p>
        </w:tc>
        <w:tc>
          <w:tcPr>
            <w:tcW w:w="1943" w:type="dxa"/>
            <w:tcBorders>
              <w:top w:val="nil"/>
              <w:left w:val="nil"/>
              <w:bottom w:val="single" w:sz="8" w:space="0" w:color="auto"/>
              <w:right w:val="nil"/>
            </w:tcBorders>
            <w:shd w:val="clear" w:color="000000" w:fill="F2F2F2"/>
            <w:vAlign w:val="center"/>
            <w:hideMark/>
          </w:tcPr>
          <w:p w14:paraId="692D0EF5" w14:textId="77777777" w:rsidR="008D2218" w:rsidRPr="00E71630" w:rsidRDefault="008D2218" w:rsidP="00E71630">
            <w:pPr>
              <w:spacing w:after="0" w:line="240" w:lineRule="auto"/>
              <w:jc w:val="both"/>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Endotoxin extracted from the filters was evaluated using the kinetic chromogenic Limulus Amebocyte Lysate assay</w:t>
            </w:r>
          </w:p>
        </w:tc>
      </w:tr>
    </w:tbl>
    <w:p w14:paraId="34DBDD21" w14:textId="77777777" w:rsidR="00060AC2" w:rsidRDefault="00060AC2" w:rsidP="00060AC2">
      <w:pPr>
        <w:spacing w:line="240" w:lineRule="auto"/>
        <w:jc w:val="both"/>
        <w:rPr>
          <w:rFonts w:ascii="Garamond" w:hAnsi="Garamond"/>
          <w:highlight w:val="cyan"/>
        </w:rPr>
      </w:pPr>
    </w:p>
    <w:p w14:paraId="623DE30A" w14:textId="77777777" w:rsidR="00060AC2" w:rsidRDefault="00060AC2" w:rsidP="00060AC2">
      <w:pPr>
        <w:spacing w:line="240" w:lineRule="auto"/>
        <w:jc w:val="both"/>
        <w:rPr>
          <w:rFonts w:ascii="Garamond" w:hAnsi="Garamond"/>
          <w:highlight w:val="cyan"/>
        </w:rPr>
      </w:pPr>
    </w:p>
    <w:p w14:paraId="415A7C63" w14:textId="77777777" w:rsidR="00060AC2" w:rsidRDefault="00060AC2" w:rsidP="00060AC2">
      <w:pPr>
        <w:spacing w:line="240" w:lineRule="auto"/>
        <w:jc w:val="both"/>
        <w:rPr>
          <w:rFonts w:ascii="Garamond" w:hAnsi="Garamond"/>
          <w:highlight w:val="cyan"/>
        </w:rPr>
      </w:pPr>
    </w:p>
    <w:p w14:paraId="34C08B2F" w14:textId="31A92110" w:rsidR="00060AC2" w:rsidRPr="00E71630" w:rsidRDefault="00060AC2" w:rsidP="00E71630">
      <w:pPr>
        <w:spacing w:line="240" w:lineRule="auto"/>
        <w:jc w:val="both"/>
      </w:pPr>
      <w:r w:rsidRPr="00E71630">
        <w:rPr>
          <w:rFonts w:ascii="Garamond" w:hAnsi="Garamond"/>
          <w:b/>
          <w:bCs/>
        </w:rPr>
        <w:lastRenderedPageBreak/>
        <w:t>Table SM3.</w:t>
      </w:r>
      <w:r w:rsidRPr="00E71630">
        <w:rPr>
          <w:rFonts w:ascii="Garamond" w:hAnsi="Garamond"/>
        </w:rPr>
        <w:t xml:space="preserve"> Summary of the additional information acquired by the authors (cultivation type; activity performed; presence and type of farms; use of pesticides and fertilizers). </w:t>
      </w:r>
      <w:r>
        <w:fldChar w:fldCharType="begin"/>
      </w:r>
      <w:r w:rsidRPr="00E71630">
        <w:instrText xml:space="preserve"> LINK Excel.Sheet.12 "C:\\Users\\franc\\Dropbox\\Documenti\\+++Documenti\\RAHH\\D-Dust\\Review D-DUST\\Agri\\Review D.DUST_PORCO.xlsx" Sheet1!R1C1:R24C7 \a \f 4 \h  \* MERGEFORMAT </w:instrText>
      </w:r>
      <w:r>
        <w:fldChar w:fldCharType="separate"/>
      </w:r>
    </w:p>
    <w:tbl>
      <w:tblPr>
        <w:tblW w:w="13568" w:type="dxa"/>
        <w:tblLook w:val="04A0" w:firstRow="1" w:lastRow="0" w:firstColumn="1" w:lastColumn="0" w:noHBand="0" w:noVBand="1"/>
      </w:tblPr>
      <w:tblGrid>
        <w:gridCol w:w="3389"/>
        <w:gridCol w:w="4232"/>
        <w:gridCol w:w="1958"/>
        <w:gridCol w:w="1435"/>
        <w:gridCol w:w="2554"/>
      </w:tblGrid>
      <w:tr w:rsidR="00060AC2" w:rsidRPr="00E71630" w14:paraId="219DAA3F" w14:textId="77777777" w:rsidTr="007B09C1">
        <w:trPr>
          <w:trHeight w:val="241"/>
        </w:trPr>
        <w:tc>
          <w:tcPr>
            <w:tcW w:w="3389" w:type="dxa"/>
            <w:tcBorders>
              <w:top w:val="single" w:sz="8" w:space="0" w:color="auto"/>
              <w:left w:val="nil"/>
              <w:bottom w:val="single" w:sz="8" w:space="0" w:color="auto"/>
              <w:right w:val="nil"/>
            </w:tcBorders>
            <w:shd w:val="clear" w:color="auto" w:fill="auto"/>
            <w:vAlign w:val="center"/>
            <w:hideMark/>
          </w:tcPr>
          <w:p w14:paraId="59A851B4" w14:textId="77777777" w:rsidR="00060AC2" w:rsidRPr="00E71630" w:rsidRDefault="00060AC2" w:rsidP="00E71630">
            <w:pPr>
              <w:spacing w:after="0" w:line="240" w:lineRule="auto"/>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Reference</w:t>
            </w:r>
          </w:p>
        </w:tc>
        <w:tc>
          <w:tcPr>
            <w:tcW w:w="4232" w:type="dxa"/>
            <w:tcBorders>
              <w:top w:val="single" w:sz="8" w:space="0" w:color="auto"/>
              <w:left w:val="nil"/>
              <w:bottom w:val="single" w:sz="8" w:space="0" w:color="auto"/>
              <w:right w:val="nil"/>
            </w:tcBorders>
            <w:shd w:val="clear" w:color="auto" w:fill="auto"/>
            <w:vAlign w:val="center"/>
            <w:hideMark/>
          </w:tcPr>
          <w:p w14:paraId="2953591C" w14:textId="77777777" w:rsidR="00060AC2" w:rsidRPr="00E71630" w:rsidRDefault="00060AC2" w:rsidP="00E71630">
            <w:pPr>
              <w:spacing w:after="0" w:line="240" w:lineRule="auto"/>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Cultivation type</w:t>
            </w:r>
          </w:p>
        </w:tc>
        <w:tc>
          <w:tcPr>
            <w:tcW w:w="1958" w:type="dxa"/>
            <w:tcBorders>
              <w:top w:val="single" w:sz="8" w:space="0" w:color="auto"/>
              <w:left w:val="nil"/>
              <w:bottom w:val="single" w:sz="8" w:space="0" w:color="auto"/>
              <w:right w:val="nil"/>
            </w:tcBorders>
            <w:shd w:val="clear" w:color="auto" w:fill="auto"/>
            <w:vAlign w:val="center"/>
            <w:hideMark/>
          </w:tcPr>
          <w:p w14:paraId="7D8E3E2A" w14:textId="77777777" w:rsidR="00060AC2" w:rsidRPr="00E71630" w:rsidRDefault="00060AC2" w:rsidP="00E71630">
            <w:pPr>
              <w:spacing w:after="0" w:line="240" w:lineRule="auto"/>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Activity</w:t>
            </w:r>
          </w:p>
        </w:tc>
        <w:tc>
          <w:tcPr>
            <w:tcW w:w="1435" w:type="dxa"/>
            <w:tcBorders>
              <w:top w:val="single" w:sz="8" w:space="0" w:color="auto"/>
              <w:left w:val="nil"/>
              <w:bottom w:val="single" w:sz="8" w:space="0" w:color="auto"/>
              <w:right w:val="nil"/>
            </w:tcBorders>
            <w:shd w:val="clear" w:color="auto" w:fill="auto"/>
            <w:vAlign w:val="center"/>
            <w:hideMark/>
          </w:tcPr>
          <w:p w14:paraId="54F3DDE6" w14:textId="77777777" w:rsidR="00060AC2" w:rsidRPr="00E71630" w:rsidRDefault="00060AC2" w:rsidP="00E71630">
            <w:pPr>
              <w:spacing w:after="0" w:line="240" w:lineRule="auto"/>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Farm</w:t>
            </w:r>
          </w:p>
        </w:tc>
        <w:tc>
          <w:tcPr>
            <w:tcW w:w="2554" w:type="dxa"/>
            <w:tcBorders>
              <w:top w:val="single" w:sz="8" w:space="0" w:color="auto"/>
              <w:left w:val="nil"/>
              <w:bottom w:val="single" w:sz="8" w:space="0" w:color="auto"/>
              <w:right w:val="nil"/>
            </w:tcBorders>
            <w:shd w:val="clear" w:color="auto" w:fill="auto"/>
            <w:vAlign w:val="center"/>
            <w:hideMark/>
          </w:tcPr>
          <w:p w14:paraId="2A949826" w14:textId="77777777" w:rsidR="00060AC2" w:rsidRPr="00E71630" w:rsidRDefault="00060AC2" w:rsidP="00E71630">
            <w:pPr>
              <w:spacing w:after="0" w:line="240" w:lineRule="auto"/>
              <w:rPr>
                <w:rFonts w:ascii="Garamond" w:eastAsia="Times New Roman" w:hAnsi="Garamond" w:cs="Calibri"/>
                <w:b/>
                <w:bCs/>
                <w:color w:val="000000"/>
                <w:sz w:val="16"/>
                <w:szCs w:val="16"/>
                <w:lang w:eastAsia="en-GB"/>
              </w:rPr>
            </w:pPr>
            <w:r w:rsidRPr="00E71630">
              <w:rPr>
                <w:rFonts w:ascii="Garamond" w:eastAsia="Times New Roman" w:hAnsi="Garamond" w:cs="Calibri"/>
                <w:b/>
                <w:bCs/>
                <w:color w:val="000000"/>
                <w:sz w:val="16"/>
                <w:szCs w:val="16"/>
                <w:lang w:eastAsia="en-GB"/>
              </w:rPr>
              <w:t>Use of pesticides and fertilizers</w:t>
            </w:r>
          </w:p>
        </w:tc>
      </w:tr>
      <w:tr w:rsidR="00060AC2" w:rsidRPr="00E71630" w14:paraId="476FBEFF" w14:textId="77777777" w:rsidTr="007B09C1">
        <w:trPr>
          <w:trHeight w:val="241"/>
        </w:trPr>
        <w:tc>
          <w:tcPr>
            <w:tcW w:w="3389" w:type="dxa"/>
            <w:tcBorders>
              <w:top w:val="nil"/>
              <w:left w:val="nil"/>
              <w:bottom w:val="dotted" w:sz="4" w:space="0" w:color="auto"/>
              <w:right w:val="nil"/>
            </w:tcBorders>
            <w:shd w:val="clear" w:color="auto" w:fill="auto"/>
            <w:vAlign w:val="center"/>
          </w:tcPr>
          <w:p w14:paraId="3898EE75" w14:textId="388A96EC"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sz w:val="16"/>
                <w:szCs w:val="16"/>
                <w:lang w:eastAsia="en-GB"/>
              </w:rPr>
              <w:fldChar w:fldCharType="begin" w:fldLock="1"/>
            </w:r>
            <w:r w:rsidR="00A84515">
              <w:rPr>
                <w:rFonts w:ascii="Garamond" w:eastAsia="Times New Roman" w:hAnsi="Garamond" w:cs="Calibri"/>
                <w:sz w:val="16"/>
                <w:szCs w:val="16"/>
                <w:lang w:eastAsia="en-GB"/>
              </w:rPr>
              <w:instrText>ADDIN CSL_CITATION {"citationItems":[{"id":"ITEM-1","itemData":{"DOI":"10.24953/turkjped.2021.02.010","ISSN":"2791-6421 (Electronic)","PMID":"33929116","abstract":"BACKGROUND: In recent years, many studies have evaluated the increasing incidence  of asthma and chronic respiratory diseases among children living close to rural areas with pesticide application. Pesticide exposure in 266 children (126 girls and 140 boys) in Şanlıurfa, a cotton-producing province in Turkey, was explored in this work. Four different villages spread over 40 km2 were included. METHODS: Measurements of peak expiratory flow (PEF) in 266 children were conducted in late June, before intensive pesticide applications in the cotton-producing fields. The measurements were repeated for 72 of 266 children after pesticide application in late August. PEF, particulate matter with diameter less than 2.5 μm (PM &lt; sub &gt; 2.5 &lt; /sub &gt; ), particulate matter with diameter less than 10 μm (PM &lt; sub &gt; 10 &lt; /sub &gt; ), temperature, humidity, and wind speed were measured. RESULTS: After pesticide application, mean PM &lt; sub &gt; 2.5 &lt; /sub &gt; and PM &lt; sub &gt; 10 &lt; /sub &gt; values were significantly increased compared to before pesticide application (p &lt; 0.001 for both parameters). After pesticide exposure, nasal discharge, sneezing, burning and itching in the eyes, cough, sputum production, wheezing, shortness of breath and chest tightness were significantly increased (p &lt; 0.001). The mean PEF value was demonstrated to decrease significantly after pesticide application (p &lt; 0.001). Moreover, significant negative correlations were noted between PEF and PM &lt; sub &gt; 10 &lt; /sub &gt; and between PEF and PM &lt; sub &gt; 2.5 &lt; /sub &gt; (p &lt; 0.001). CONCLUSIONS: Intensive pesticide application causes respiratory dysfunction and increased respiratory complaints in children living near the affected agricultural areas, and impacts quality of life adversely. The results of this work can be used to develop an early warning system and methods to prevent respiratory disorders in children residing in the study area.","author":[{"dropping-particle":"","family":"Ali-Sak","given":"Zafer Hasan","non-dropping-particle":"","parse-names":false,"suffix":""},{"dropping-particle":"","family":"Kurtuluş","given":"Şerif","non-dropping-particle":"","parse-names":false,"suffix":""},{"dropping-particle":"","family":"Ocaklı","given":"Birsen","non-dropping-particle":"","parse-names":false,"suffix":""},{"dropping-particle":"","family":"Töreyin","given":"Zehra Nur","non-dropping-particle":"","parse-names":false,"suffix":""},{"dropping-particle":"","family":"Bayhan","given":"İbrahim","non-dropping-particle":"","parse-names":false,"suffix":""},{"dropping-particle":"","family":"Yeşilnacar","given":"M İrfan","non-dropping-particle":"","parse-names":false,"suffix":""},{"dropping-particle":"","family":"Akgün","given":"Metin","non-dropping-particle":"","parse-names":false,"suffix":""},{"dropping-particle":"","family":"Arslanoğlu","given":"İlknur","non-dropping-particle":"","parse-names":false,"suffix":""},{"dropping-particle":"","family":"Arbak","given":"Peri Meram","non-dropping-particle":"","parse-names":false,"suffix":""}],"container-title":"The Turkish journal of pediatrics","id":"ITEM-1","issue":"2","issued":{"date-parts":[["2021"]]},"language":"eng","page":"263-272","publisher-place":"Turkey","title":"The relationship between particulate matter and childhood respiratory complaints  and peak expiratory flows in Harran agricultural area.","type":"article-journal","volume":"63"},"uris":["http://www.mendeley.com/documents/?uuid=7b3aaeb0-28d6-42b6-9367-71615d6c5387"]}],"mendeley":{"formattedCitation":"(Ali-Sak et al. 2021)","plainTextFormattedCitation":"(Ali-Sak et al. 2021)","previouslyFormattedCitation":"(Ali-Sak et al. 2021)"},"properties":{"noteIndex":0},"schema":"https://github.com/citation-style-language/schema/raw/master/csl-citation.json"}</w:instrText>
            </w:r>
            <w:r w:rsidRPr="00E71630">
              <w:rPr>
                <w:rFonts w:ascii="Garamond" w:eastAsia="Times New Roman" w:hAnsi="Garamond" w:cs="Calibri"/>
                <w:sz w:val="16"/>
                <w:szCs w:val="16"/>
                <w:lang w:eastAsia="en-GB"/>
              </w:rPr>
              <w:fldChar w:fldCharType="separate"/>
            </w:r>
            <w:r w:rsidRPr="00E71630">
              <w:rPr>
                <w:rFonts w:ascii="Garamond" w:eastAsia="Times New Roman" w:hAnsi="Garamond" w:cs="Calibri"/>
                <w:noProof/>
                <w:sz w:val="16"/>
                <w:szCs w:val="16"/>
                <w:lang w:val="it-IT" w:eastAsia="en-GB"/>
              </w:rPr>
              <w:t>(Ali-Sak et al. 2021)</w:t>
            </w:r>
            <w:r w:rsidRPr="00E71630">
              <w:rPr>
                <w:rFonts w:ascii="Garamond" w:eastAsia="Times New Roman" w:hAnsi="Garamond" w:cs="Calibri"/>
                <w:sz w:val="16"/>
                <w:szCs w:val="16"/>
                <w:lang w:eastAsia="en-GB"/>
              </w:rPr>
              <w:fldChar w:fldCharType="end"/>
            </w:r>
          </w:p>
        </w:tc>
        <w:tc>
          <w:tcPr>
            <w:tcW w:w="4232" w:type="dxa"/>
            <w:tcBorders>
              <w:top w:val="nil"/>
              <w:left w:val="nil"/>
              <w:bottom w:val="dotted" w:sz="4" w:space="0" w:color="auto"/>
              <w:right w:val="nil"/>
            </w:tcBorders>
            <w:shd w:val="clear" w:color="auto" w:fill="auto"/>
            <w:vAlign w:val="center"/>
            <w:hideMark/>
          </w:tcPr>
          <w:p w14:paraId="5E00C17D"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Cotton</w:t>
            </w:r>
          </w:p>
        </w:tc>
        <w:tc>
          <w:tcPr>
            <w:tcW w:w="1958" w:type="dxa"/>
            <w:tcBorders>
              <w:top w:val="nil"/>
              <w:left w:val="nil"/>
              <w:bottom w:val="dotted" w:sz="4" w:space="0" w:color="auto"/>
              <w:right w:val="nil"/>
            </w:tcBorders>
            <w:shd w:val="clear" w:color="auto" w:fill="auto"/>
            <w:vAlign w:val="center"/>
            <w:hideMark/>
          </w:tcPr>
          <w:p w14:paraId="5E0BC115"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Application of pesticides</w:t>
            </w:r>
          </w:p>
        </w:tc>
        <w:tc>
          <w:tcPr>
            <w:tcW w:w="1435" w:type="dxa"/>
            <w:tcBorders>
              <w:top w:val="nil"/>
              <w:left w:val="nil"/>
              <w:bottom w:val="dotted" w:sz="4" w:space="0" w:color="auto"/>
              <w:right w:val="nil"/>
            </w:tcBorders>
            <w:shd w:val="clear" w:color="auto" w:fill="auto"/>
            <w:vAlign w:val="center"/>
            <w:hideMark/>
          </w:tcPr>
          <w:p w14:paraId="03FB3952"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57D2A779"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Yes</w:t>
            </w:r>
          </w:p>
        </w:tc>
      </w:tr>
      <w:tr w:rsidR="00060AC2" w:rsidRPr="00E71630" w14:paraId="4EB0EDF2"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24FF2803"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(Barnig et al. 2012)</w:t>
            </w:r>
          </w:p>
        </w:tc>
        <w:tc>
          <w:tcPr>
            <w:tcW w:w="4232" w:type="dxa"/>
            <w:tcBorders>
              <w:top w:val="nil"/>
              <w:left w:val="nil"/>
              <w:bottom w:val="dotted" w:sz="4" w:space="0" w:color="auto"/>
              <w:right w:val="nil"/>
            </w:tcBorders>
            <w:shd w:val="clear" w:color="auto" w:fill="auto"/>
            <w:vAlign w:val="center"/>
            <w:hideMark/>
          </w:tcPr>
          <w:p w14:paraId="6BAEB9BA"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58" w:type="dxa"/>
            <w:tcBorders>
              <w:top w:val="nil"/>
              <w:left w:val="nil"/>
              <w:bottom w:val="dotted" w:sz="4" w:space="0" w:color="auto"/>
              <w:right w:val="nil"/>
            </w:tcBorders>
            <w:shd w:val="clear" w:color="auto" w:fill="auto"/>
            <w:vAlign w:val="center"/>
            <w:hideMark/>
          </w:tcPr>
          <w:p w14:paraId="29180F14"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35" w:type="dxa"/>
            <w:tcBorders>
              <w:top w:val="nil"/>
              <w:left w:val="nil"/>
              <w:bottom w:val="dotted" w:sz="4" w:space="0" w:color="auto"/>
              <w:right w:val="nil"/>
            </w:tcBorders>
            <w:shd w:val="clear" w:color="auto" w:fill="auto"/>
            <w:vAlign w:val="center"/>
            <w:hideMark/>
          </w:tcPr>
          <w:p w14:paraId="1B074B82"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Swineries</w:t>
            </w:r>
          </w:p>
        </w:tc>
        <w:tc>
          <w:tcPr>
            <w:tcW w:w="2554" w:type="dxa"/>
            <w:tcBorders>
              <w:top w:val="nil"/>
              <w:left w:val="nil"/>
              <w:bottom w:val="dotted" w:sz="4" w:space="0" w:color="auto"/>
              <w:right w:val="nil"/>
            </w:tcBorders>
            <w:shd w:val="clear" w:color="auto" w:fill="auto"/>
            <w:vAlign w:val="center"/>
            <w:hideMark/>
          </w:tcPr>
          <w:p w14:paraId="01E87A85"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06CF21B7"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74A54E81"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(Blanes-vidal et al. 2012)</w:t>
            </w:r>
          </w:p>
        </w:tc>
        <w:tc>
          <w:tcPr>
            <w:tcW w:w="4232" w:type="dxa"/>
            <w:tcBorders>
              <w:top w:val="nil"/>
              <w:left w:val="nil"/>
              <w:bottom w:val="dotted" w:sz="4" w:space="0" w:color="auto"/>
              <w:right w:val="nil"/>
            </w:tcBorders>
            <w:shd w:val="clear" w:color="auto" w:fill="auto"/>
            <w:vAlign w:val="center"/>
            <w:hideMark/>
          </w:tcPr>
          <w:p w14:paraId="04C1A9CC"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58" w:type="dxa"/>
            <w:tcBorders>
              <w:top w:val="nil"/>
              <w:left w:val="nil"/>
              <w:bottom w:val="dotted" w:sz="4" w:space="0" w:color="auto"/>
              <w:right w:val="nil"/>
            </w:tcBorders>
            <w:shd w:val="clear" w:color="auto" w:fill="auto"/>
            <w:vAlign w:val="center"/>
            <w:hideMark/>
          </w:tcPr>
          <w:p w14:paraId="149B9F33"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35" w:type="dxa"/>
            <w:tcBorders>
              <w:top w:val="nil"/>
              <w:left w:val="nil"/>
              <w:bottom w:val="dotted" w:sz="4" w:space="0" w:color="auto"/>
              <w:right w:val="nil"/>
            </w:tcBorders>
            <w:shd w:val="clear" w:color="auto" w:fill="auto"/>
            <w:vAlign w:val="center"/>
            <w:hideMark/>
          </w:tcPr>
          <w:p w14:paraId="313721D3"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Swine</w:t>
            </w:r>
            <w:r w:rsidRPr="00E71630">
              <w:rPr>
                <w:rFonts w:ascii="Garamond" w:eastAsia="Times New Roman" w:hAnsi="Garamond" w:cs="Calibri"/>
                <w:color w:val="000000"/>
                <w:sz w:val="16"/>
                <w:szCs w:val="16"/>
                <w:lang w:eastAsia="en-GB"/>
              </w:rPr>
              <w:t>; Cattle</w:t>
            </w:r>
          </w:p>
        </w:tc>
        <w:tc>
          <w:tcPr>
            <w:tcW w:w="2554" w:type="dxa"/>
            <w:tcBorders>
              <w:top w:val="nil"/>
              <w:left w:val="nil"/>
              <w:bottom w:val="dotted" w:sz="4" w:space="0" w:color="auto"/>
              <w:right w:val="nil"/>
            </w:tcBorders>
            <w:shd w:val="clear" w:color="auto" w:fill="auto"/>
            <w:vAlign w:val="center"/>
            <w:hideMark/>
          </w:tcPr>
          <w:p w14:paraId="2B195B45"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0BDA47A9"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534D0D12"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(Buczaj et al. 2014)</w:t>
            </w:r>
          </w:p>
        </w:tc>
        <w:tc>
          <w:tcPr>
            <w:tcW w:w="4232" w:type="dxa"/>
            <w:tcBorders>
              <w:top w:val="nil"/>
              <w:left w:val="nil"/>
              <w:bottom w:val="dotted" w:sz="4" w:space="0" w:color="auto"/>
              <w:right w:val="nil"/>
            </w:tcBorders>
            <w:shd w:val="clear" w:color="auto" w:fill="auto"/>
            <w:vAlign w:val="center"/>
            <w:hideMark/>
          </w:tcPr>
          <w:p w14:paraId="4DFB5018"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58" w:type="dxa"/>
            <w:tcBorders>
              <w:top w:val="nil"/>
              <w:left w:val="nil"/>
              <w:bottom w:val="dotted" w:sz="4" w:space="0" w:color="auto"/>
              <w:right w:val="nil"/>
            </w:tcBorders>
            <w:shd w:val="clear" w:color="auto" w:fill="auto"/>
            <w:vAlign w:val="center"/>
            <w:hideMark/>
          </w:tcPr>
          <w:p w14:paraId="3D3C796B"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35" w:type="dxa"/>
            <w:tcBorders>
              <w:top w:val="nil"/>
              <w:left w:val="nil"/>
              <w:bottom w:val="dotted" w:sz="4" w:space="0" w:color="auto"/>
              <w:right w:val="nil"/>
            </w:tcBorders>
            <w:shd w:val="clear" w:color="auto" w:fill="auto"/>
            <w:vAlign w:val="center"/>
            <w:hideMark/>
          </w:tcPr>
          <w:p w14:paraId="540AC966"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3CDD2B7E"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49DA4A51"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4FFBCB6D"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(Campos-ramos and Arago 2009)</w:t>
            </w:r>
          </w:p>
        </w:tc>
        <w:tc>
          <w:tcPr>
            <w:tcW w:w="4232" w:type="dxa"/>
            <w:tcBorders>
              <w:top w:val="nil"/>
              <w:left w:val="nil"/>
              <w:bottom w:val="dotted" w:sz="4" w:space="0" w:color="auto"/>
              <w:right w:val="nil"/>
            </w:tcBorders>
            <w:shd w:val="clear" w:color="auto" w:fill="auto"/>
            <w:vAlign w:val="center"/>
            <w:hideMark/>
          </w:tcPr>
          <w:p w14:paraId="09B7F4CF"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Sugarcane </w:t>
            </w:r>
          </w:p>
        </w:tc>
        <w:tc>
          <w:tcPr>
            <w:tcW w:w="1958" w:type="dxa"/>
            <w:tcBorders>
              <w:top w:val="nil"/>
              <w:left w:val="nil"/>
              <w:bottom w:val="dotted" w:sz="4" w:space="0" w:color="auto"/>
              <w:right w:val="nil"/>
            </w:tcBorders>
            <w:shd w:val="clear" w:color="auto" w:fill="auto"/>
            <w:vAlign w:val="center"/>
            <w:hideMark/>
          </w:tcPr>
          <w:p w14:paraId="7137655D"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35" w:type="dxa"/>
            <w:tcBorders>
              <w:top w:val="nil"/>
              <w:left w:val="nil"/>
              <w:bottom w:val="dotted" w:sz="4" w:space="0" w:color="auto"/>
              <w:right w:val="nil"/>
            </w:tcBorders>
            <w:shd w:val="clear" w:color="auto" w:fill="auto"/>
            <w:vAlign w:val="center"/>
            <w:hideMark/>
          </w:tcPr>
          <w:p w14:paraId="75389B84"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17B3052D"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28290E4C"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5661DD64"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(de Assuncao et al. 2014)</w:t>
            </w:r>
          </w:p>
        </w:tc>
        <w:tc>
          <w:tcPr>
            <w:tcW w:w="4232" w:type="dxa"/>
            <w:tcBorders>
              <w:top w:val="nil"/>
              <w:left w:val="nil"/>
              <w:bottom w:val="dotted" w:sz="4" w:space="0" w:color="auto"/>
              <w:right w:val="nil"/>
            </w:tcBorders>
            <w:shd w:val="clear" w:color="auto" w:fill="auto"/>
            <w:vAlign w:val="center"/>
            <w:hideMark/>
          </w:tcPr>
          <w:p w14:paraId="0377289D"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Sugarcane</w:t>
            </w:r>
          </w:p>
        </w:tc>
        <w:tc>
          <w:tcPr>
            <w:tcW w:w="1958" w:type="dxa"/>
            <w:tcBorders>
              <w:top w:val="nil"/>
              <w:left w:val="nil"/>
              <w:bottom w:val="dotted" w:sz="4" w:space="0" w:color="auto"/>
              <w:right w:val="nil"/>
            </w:tcBorders>
            <w:shd w:val="clear" w:color="auto" w:fill="auto"/>
            <w:vAlign w:val="center"/>
            <w:hideMark/>
          </w:tcPr>
          <w:p w14:paraId="0D5DB600"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Agricultural burning</w:t>
            </w:r>
          </w:p>
        </w:tc>
        <w:tc>
          <w:tcPr>
            <w:tcW w:w="1435" w:type="dxa"/>
            <w:tcBorders>
              <w:top w:val="nil"/>
              <w:left w:val="nil"/>
              <w:bottom w:val="dotted" w:sz="4" w:space="0" w:color="auto"/>
              <w:right w:val="nil"/>
            </w:tcBorders>
            <w:shd w:val="clear" w:color="auto" w:fill="auto"/>
            <w:vAlign w:val="center"/>
            <w:hideMark/>
          </w:tcPr>
          <w:p w14:paraId="5F1BE2DC"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4BDAE8FD"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64E2B33F"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4A165206"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(Green et al. 1990)</w:t>
            </w:r>
          </w:p>
        </w:tc>
        <w:tc>
          <w:tcPr>
            <w:tcW w:w="4232" w:type="dxa"/>
            <w:tcBorders>
              <w:top w:val="nil"/>
              <w:left w:val="nil"/>
              <w:bottom w:val="dotted" w:sz="4" w:space="0" w:color="auto"/>
              <w:right w:val="nil"/>
            </w:tcBorders>
            <w:shd w:val="clear" w:color="auto" w:fill="auto"/>
            <w:vAlign w:val="center"/>
            <w:hideMark/>
          </w:tcPr>
          <w:p w14:paraId="555596E8"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Barley; Wheat; Oats; Forage (alfalfa); Potatoes; Corn; Canola</w:t>
            </w:r>
          </w:p>
        </w:tc>
        <w:tc>
          <w:tcPr>
            <w:tcW w:w="1958" w:type="dxa"/>
            <w:tcBorders>
              <w:top w:val="nil"/>
              <w:left w:val="nil"/>
              <w:bottom w:val="dotted" w:sz="4" w:space="0" w:color="auto"/>
              <w:right w:val="nil"/>
            </w:tcBorders>
            <w:shd w:val="clear" w:color="auto" w:fill="auto"/>
            <w:vAlign w:val="center"/>
            <w:hideMark/>
          </w:tcPr>
          <w:p w14:paraId="4F8B1D3E"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Harvesting</w:t>
            </w:r>
          </w:p>
        </w:tc>
        <w:tc>
          <w:tcPr>
            <w:tcW w:w="1435" w:type="dxa"/>
            <w:tcBorders>
              <w:top w:val="nil"/>
              <w:left w:val="nil"/>
              <w:bottom w:val="dotted" w:sz="4" w:space="0" w:color="auto"/>
              <w:right w:val="nil"/>
            </w:tcBorders>
            <w:shd w:val="clear" w:color="auto" w:fill="auto"/>
            <w:vAlign w:val="center"/>
            <w:hideMark/>
          </w:tcPr>
          <w:p w14:paraId="26EDC0FF"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0A11B894"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Yes</w:t>
            </w:r>
          </w:p>
        </w:tc>
      </w:tr>
      <w:tr w:rsidR="00060AC2" w:rsidRPr="00E71630" w14:paraId="6B3652D0"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68035B8A"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(Jimenez et al. 2006)</w:t>
            </w:r>
          </w:p>
        </w:tc>
        <w:tc>
          <w:tcPr>
            <w:tcW w:w="4232" w:type="dxa"/>
            <w:tcBorders>
              <w:top w:val="nil"/>
              <w:left w:val="nil"/>
              <w:bottom w:val="dotted" w:sz="4" w:space="0" w:color="auto"/>
              <w:right w:val="nil"/>
            </w:tcBorders>
            <w:shd w:val="clear" w:color="auto" w:fill="auto"/>
            <w:vAlign w:val="center"/>
            <w:hideMark/>
          </w:tcPr>
          <w:p w14:paraId="63DBAD4C"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58" w:type="dxa"/>
            <w:tcBorders>
              <w:top w:val="nil"/>
              <w:left w:val="nil"/>
              <w:bottom w:val="dotted" w:sz="4" w:space="0" w:color="auto"/>
              <w:right w:val="nil"/>
            </w:tcBorders>
            <w:shd w:val="clear" w:color="auto" w:fill="auto"/>
            <w:vAlign w:val="center"/>
            <w:hideMark/>
          </w:tcPr>
          <w:p w14:paraId="7D943996"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Agricultural burning</w:t>
            </w:r>
          </w:p>
        </w:tc>
        <w:tc>
          <w:tcPr>
            <w:tcW w:w="1435" w:type="dxa"/>
            <w:tcBorders>
              <w:top w:val="nil"/>
              <w:left w:val="nil"/>
              <w:bottom w:val="dotted" w:sz="4" w:space="0" w:color="auto"/>
              <w:right w:val="nil"/>
            </w:tcBorders>
            <w:shd w:val="clear" w:color="auto" w:fill="auto"/>
            <w:vAlign w:val="center"/>
            <w:hideMark/>
          </w:tcPr>
          <w:p w14:paraId="3A722ECC"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497A12F6"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5850B216"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1E13E189"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(Le Blond et al. 2017)</w:t>
            </w:r>
          </w:p>
        </w:tc>
        <w:tc>
          <w:tcPr>
            <w:tcW w:w="4232" w:type="dxa"/>
            <w:tcBorders>
              <w:top w:val="nil"/>
              <w:left w:val="nil"/>
              <w:bottom w:val="dotted" w:sz="4" w:space="0" w:color="auto"/>
              <w:right w:val="nil"/>
            </w:tcBorders>
            <w:shd w:val="clear" w:color="auto" w:fill="auto"/>
            <w:vAlign w:val="center"/>
            <w:hideMark/>
          </w:tcPr>
          <w:p w14:paraId="7BC014DD"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Sugarcane</w:t>
            </w:r>
          </w:p>
        </w:tc>
        <w:tc>
          <w:tcPr>
            <w:tcW w:w="1958" w:type="dxa"/>
            <w:tcBorders>
              <w:top w:val="nil"/>
              <w:left w:val="nil"/>
              <w:bottom w:val="dotted" w:sz="4" w:space="0" w:color="auto"/>
              <w:right w:val="nil"/>
            </w:tcBorders>
            <w:shd w:val="clear" w:color="auto" w:fill="auto"/>
            <w:vAlign w:val="center"/>
            <w:hideMark/>
          </w:tcPr>
          <w:p w14:paraId="12ED6929"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Harvesting</w:t>
            </w:r>
          </w:p>
        </w:tc>
        <w:tc>
          <w:tcPr>
            <w:tcW w:w="1435" w:type="dxa"/>
            <w:tcBorders>
              <w:top w:val="nil"/>
              <w:left w:val="nil"/>
              <w:bottom w:val="dotted" w:sz="4" w:space="0" w:color="auto"/>
              <w:right w:val="nil"/>
            </w:tcBorders>
            <w:shd w:val="clear" w:color="auto" w:fill="auto"/>
            <w:vAlign w:val="center"/>
            <w:hideMark/>
          </w:tcPr>
          <w:p w14:paraId="38E7FB93"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w:t>
            </w:r>
          </w:p>
        </w:tc>
        <w:tc>
          <w:tcPr>
            <w:tcW w:w="2554" w:type="dxa"/>
            <w:tcBorders>
              <w:top w:val="nil"/>
              <w:left w:val="nil"/>
              <w:bottom w:val="dotted" w:sz="4" w:space="0" w:color="auto"/>
              <w:right w:val="nil"/>
            </w:tcBorders>
            <w:shd w:val="clear" w:color="auto" w:fill="auto"/>
            <w:vAlign w:val="center"/>
            <w:hideMark/>
          </w:tcPr>
          <w:p w14:paraId="36AAFA4A" w14:textId="77777777" w:rsidR="00060AC2" w:rsidRPr="00E71630" w:rsidRDefault="00060AC2" w:rsidP="00E71630">
            <w:pPr>
              <w:spacing w:after="0" w:line="240" w:lineRule="auto"/>
              <w:rPr>
                <w:rFonts w:ascii="Garamond" w:eastAsia="Times New Roman" w:hAnsi="Garamond" w:cs="Calibri"/>
                <w:color w:val="000000"/>
                <w:sz w:val="16"/>
                <w:szCs w:val="16"/>
                <w:lang w:val="it-IT" w:eastAsia="en-GB"/>
              </w:rPr>
            </w:pPr>
            <w:r w:rsidRPr="00E71630">
              <w:rPr>
                <w:rFonts w:ascii="Garamond" w:eastAsia="Times New Roman" w:hAnsi="Garamond" w:cs="Calibri"/>
                <w:color w:val="000000"/>
                <w:sz w:val="16"/>
                <w:szCs w:val="16"/>
                <w:lang w:val="it-IT" w:eastAsia="en-GB"/>
              </w:rPr>
              <w:t>-</w:t>
            </w:r>
          </w:p>
        </w:tc>
      </w:tr>
      <w:tr w:rsidR="00060AC2" w:rsidRPr="00E71630" w14:paraId="440D99E5"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2ACCE197"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(Loftus et al. 2016)</w:t>
            </w:r>
          </w:p>
        </w:tc>
        <w:tc>
          <w:tcPr>
            <w:tcW w:w="4232" w:type="dxa"/>
            <w:tcBorders>
              <w:top w:val="nil"/>
              <w:left w:val="nil"/>
              <w:bottom w:val="dotted" w:sz="4" w:space="0" w:color="auto"/>
              <w:right w:val="nil"/>
            </w:tcBorders>
            <w:shd w:val="clear" w:color="auto" w:fill="auto"/>
            <w:vAlign w:val="center"/>
            <w:hideMark/>
          </w:tcPr>
          <w:p w14:paraId="10F73167"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Tree fruit orchards</w:t>
            </w:r>
          </w:p>
        </w:tc>
        <w:tc>
          <w:tcPr>
            <w:tcW w:w="1958" w:type="dxa"/>
            <w:tcBorders>
              <w:top w:val="nil"/>
              <w:left w:val="nil"/>
              <w:bottom w:val="dotted" w:sz="4" w:space="0" w:color="auto"/>
              <w:right w:val="nil"/>
            </w:tcBorders>
            <w:shd w:val="clear" w:color="auto" w:fill="auto"/>
            <w:vAlign w:val="center"/>
            <w:hideMark/>
          </w:tcPr>
          <w:p w14:paraId="762F0432"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35" w:type="dxa"/>
            <w:tcBorders>
              <w:top w:val="nil"/>
              <w:left w:val="nil"/>
              <w:bottom w:val="dotted" w:sz="4" w:space="0" w:color="auto"/>
              <w:right w:val="nil"/>
            </w:tcBorders>
            <w:shd w:val="clear" w:color="auto" w:fill="auto"/>
            <w:vAlign w:val="center"/>
            <w:hideMark/>
          </w:tcPr>
          <w:p w14:paraId="04C0F2D2"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Cattle</w:t>
            </w:r>
          </w:p>
        </w:tc>
        <w:tc>
          <w:tcPr>
            <w:tcW w:w="2554" w:type="dxa"/>
            <w:tcBorders>
              <w:top w:val="nil"/>
              <w:left w:val="nil"/>
              <w:bottom w:val="dotted" w:sz="4" w:space="0" w:color="auto"/>
              <w:right w:val="nil"/>
            </w:tcBorders>
            <w:shd w:val="clear" w:color="auto" w:fill="auto"/>
            <w:vAlign w:val="center"/>
            <w:hideMark/>
          </w:tcPr>
          <w:p w14:paraId="7930111E"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39CD9141"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58D5B28B" w14:textId="63C398F8"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{"citationItems":[{"id":"ITEM-1","itemData":{"author":[{"dropping-particle":"","family":"Maesano","given":"Cara Nichole","non-dropping-particle":"","parse-names":false,"suffix":""},{"dropping-particle":"","family":"Caillaud","given":"Denis","non-dropping-particle":"","parse-names":false,"suffix":""},{"dropping-particle":"","family":"Youssouf","given":"Hassani","non-dropping-particle":"","parse-names":false,"suffix":""},{"dropping-particle":"","family":"Banerjee","given":"Soutrik","non-dropping-particle":"","parse-names":false,"suffix":""},{"dropping-particle":"","family":"Homme","given":"Julie Prud","non-dropping-particle":"","parse-names":false,"suffix":""},{"dropping-particle":"","family":"Audi","given":"Christelle","non-dropping-particle":"","parse-names":false,"suffix":""},{"dropping-particle":"","family":"Horo","given":"Kigninlman","non-dropping-particle":"","parse-names":false,"suffix":""},{"dropping-particle":"","family":"Toloba","given":"Yacouba","non-dropping-particle":"","parse-names":false,"suffix":""},{"dropping-particle":"","family":"Ramousse","given":"Ollivier","non-dropping-particle":"","parse-names":false,"suffix":""},{"dropping-particle":"","family":"Annesi-maesano","given":"Isabella","non-dropping-particle":"","parse-names":false,"suffix":""}],"id":"ITEM-1","issued":{"date-parts":[["2019"]]},"page":"1-12","publisher":"Multidisciplinary Respiratory Medicine","title":"Indoor exposure to particulate matter and volatile organic compounds in dwellings and workplaces and respiratory health in French farmers","type":"article-journal","volume":"3"},"uris":["http://www.mendeley.com/documents/?uuid=3302d214-8260-4393-8e8c-11f89ab06164"]}],"mendeley":{"formattedCitation":"(Maesano et al. 2019)","plainTextFormattedCitation":"(Maesano et al. 2019)","previouslyFormattedCitation":"(Maesano et al. 2019)"},"properties":{"noteIndex":0},"schema":"https://github.com/citation-style-language/schema/raw/master/csl-citation.json"}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(Maesano et al. 2019)</w:t>
            </w:r>
            <w:r w:rsidRPr="00E71630">
              <w:rPr>
                <w:rFonts w:ascii="Garamond" w:eastAsia="Times New Roman" w:hAnsi="Garamond" w:cs="Calibri"/>
                <w:color w:val="000000"/>
                <w:sz w:val="16"/>
                <w:szCs w:val="16"/>
                <w:lang w:eastAsia="en-GB"/>
              </w:rPr>
              <w:fldChar w:fldCharType="end"/>
            </w:r>
          </w:p>
        </w:tc>
        <w:tc>
          <w:tcPr>
            <w:tcW w:w="4232" w:type="dxa"/>
            <w:tcBorders>
              <w:top w:val="nil"/>
              <w:left w:val="nil"/>
              <w:bottom w:val="dotted" w:sz="4" w:space="0" w:color="auto"/>
              <w:right w:val="nil"/>
            </w:tcBorders>
            <w:shd w:val="clear" w:color="auto" w:fill="auto"/>
            <w:vAlign w:val="center"/>
            <w:hideMark/>
          </w:tcPr>
          <w:p w14:paraId="192F5BDC"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58" w:type="dxa"/>
            <w:tcBorders>
              <w:top w:val="nil"/>
              <w:left w:val="nil"/>
              <w:bottom w:val="dotted" w:sz="4" w:space="0" w:color="auto"/>
              <w:right w:val="nil"/>
            </w:tcBorders>
            <w:shd w:val="clear" w:color="auto" w:fill="auto"/>
            <w:vAlign w:val="center"/>
            <w:hideMark/>
          </w:tcPr>
          <w:p w14:paraId="48E3C6D6"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35" w:type="dxa"/>
            <w:tcBorders>
              <w:top w:val="nil"/>
              <w:left w:val="nil"/>
              <w:bottom w:val="dotted" w:sz="4" w:space="0" w:color="auto"/>
              <w:right w:val="nil"/>
            </w:tcBorders>
            <w:shd w:val="clear" w:color="auto" w:fill="auto"/>
            <w:vAlign w:val="center"/>
            <w:hideMark/>
          </w:tcPr>
          <w:p w14:paraId="654FD742"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4301DECF"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41657F66"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1E4A2D3A" w14:textId="03C2D7AE" w:rsidR="00060AC2" w:rsidRPr="00E71630" w:rsidRDefault="00CE7C36" w:rsidP="00E71630">
            <w:pPr>
              <w:spacing w:after="0" w:line="240" w:lineRule="auto"/>
              <w:rPr>
                <w:rFonts w:ascii="Garamond" w:eastAsia="Times New Roman" w:hAnsi="Garamond" w:cs="Calibri"/>
                <w:color w:val="000000"/>
                <w:sz w:val="16"/>
                <w:szCs w:val="16"/>
                <w:lang w:eastAsia="en-GB"/>
              </w:rPr>
            </w:pPr>
            <w:r>
              <w:rPr>
                <w:rFonts w:ascii="Garamond" w:eastAsia="Times New Roman" w:hAnsi="Garamond" w:cs="Calibri"/>
                <w:noProof/>
                <w:color w:val="000000"/>
                <w:sz w:val="16"/>
                <w:szCs w:val="16"/>
                <w:lang w:eastAsia="en-GB"/>
              </w:rPr>
              <w:fldChar w:fldCharType="begin" w:fldLock="1"/>
            </w:r>
            <w:r w:rsidR="00A84515">
              <w:rPr>
                <w:rFonts w:ascii="Garamond" w:eastAsia="Times New Roman" w:hAnsi="Garamond" w:cs="Calibri"/>
                <w:noProof/>
                <w:color w:val="000000"/>
                <w:sz w:val="16"/>
                <w:szCs w:val="16"/>
                <w:lang w:eastAsia="en-GB"/>
              </w:rPr>
              <w:instrText>ADDIN CSL_CITATION {"citationItems":[{"id":"ITEM-1","itemData":{"DOI":"10.1023/a:1014227504369","ISSN":"0167-6369 (Print)","PMID":"11944794","abstract":"The evolution of NOx from grass and maize silages was measured using  chemiluminescence in samples kept in airtight containers, in the silos and in a 750 kg mass removed to a mixer waggon. Measurements were made on the grass and maize silos in two consecutive years. The results show that there is continuous evolution of NOx after silos have been opened and that high concentrations persist in the mass which are rapidly released on agitation at the feed-out. The maximum recorded concentrations of NO and NO2 were 1985 and 152 ppbv respectively. These values are orders of magnitude greater than for rural background levels and exceed the maximum hourly exposure of 50 ppbv for NO2 recommended by the UK expert panel for quality standards.","author":[{"dropping-particle":"","family":"Maw","given":"S J","non-dropping-particle":"","parse-names":false,"suffix":""},{"dropping-particle":"","family":"Johnson","given":"C L","non-dropping-particle":"","parse-names":false,"suffix":""},{"dropping-particle":"","family":"Lewis","given":"A C","non-dropping-particle":"","parse-names":false,"suffix":""},{"dropping-particle":"","family":"McQuaid","given":"J B","non-dropping-particle":"","parse-names":false,"suffix":""}],"container-title":"Environmental monitoring and assessment","id":"ITEM-1","issue":"3","issued":{"date-parts":[["2002","3"]]},"language":"eng","page":"209-215","publisher-place":"Netherlands","title":"A note on the emission of nitrogen oxides from silage in opened bunker silos.","type":"article-journal","volume":"74"},"uris":["http://www.mendeley.com/documents/?uuid=cfea500a-a7a5-4690-abfe-6013eb735891"]}],"mendeley":{"formattedCitation":"(Maw et al. 2002)","plainTextFormattedCitation":"(Maw et al. 2002)","previouslyFormattedCitation":"(Maw et al. 2002)"},"properties":{"noteIndex":0},"schema":"https://github.com/citation-style-language/schema/raw/master/csl-citation.json"}</w:instrText>
            </w:r>
            <w:r>
              <w:rPr>
                <w:rFonts w:ascii="Garamond" w:eastAsia="Times New Roman" w:hAnsi="Garamond" w:cs="Calibri"/>
                <w:noProof/>
                <w:color w:val="000000"/>
                <w:sz w:val="16"/>
                <w:szCs w:val="16"/>
                <w:lang w:eastAsia="en-GB"/>
              </w:rPr>
              <w:fldChar w:fldCharType="separate"/>
            </w:r>
            <w:r w:rsidRPr="00CE7C36">
              <w:rPr>
                <w:rFonts w:ascii="Garamond" w:eastAsia="Times New Roman" w:hAnsi="Garamond" w:cs="Calibri"/>
                <w:noProof/>
                <w:color w:val="000000"/>
                <w:sz w:val="16"/>
                <w:szCs w:val="16"/>
                <w:lang w:eastAsia="en-GB"/>
              </w:rPr>
              <w:t>(Maw et al. 2002)</w:t>
            </w:r>
            <w:r>
              <w:rPr>
                <w:rFonts w:ascii="Garamond" w:eastAsia="Times New Roman" w:hAnsi="Garamond" w:cs="Calibri"/>
                <w:noProof/>
                <w:color w:val="000000"/>
                <w:sz w:val="16"/>
                <w:szCs w:val="16"/>
                <w:lang w:eastAsia="en-GB"/>
              </w:rPr>
              <w:fldChar w:fldCharType="end"/>
            </w:r>
          </w:p>
        </w:tc>
        <w:tc>
          <w:tcPr>
            <w:tcW w:w="4232" w:type="dxa"/>
            <w:tcBorders>
              <w:top w:val="nil"/>
              <w:left w:val="nil"/>
              <w:bottom w:val="dotted" w:sz="4" w:space="0" w:color="auto"/>
              <w:right w:val="nil"/>
            </w:tcBorders>
            <w:shd w:val="clear" w:color="auto" w:fill="auto"/>
            <w:vAlign w:val="center"/>
            <w:hideMark/>
          </w:tcPr>
          <w:p w14:paraId="1EB5CFE8"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Grass; Maize </w:t>
            </w:r>
          </w:p>
        </w:tc>
        <w:tc>
          <w:tcPr>
            <w:tcW w:w="1958" w:type="dxa"/>
            <w:tcBorders>
              <w:top w:val="nil"/>
              <w:left w:val="nil"/>
              <w:bottom w:val="dotted" w:sz="4" w:space="0" w:color="auto"/>
              <w:right w:val="nil"/>
            </w:tcBorders>
            <w:shd w:val="clear" w:color="auto" w:fill="auto"/>
            <w:vAlign w:val="center"/>
            <w:hideMark/>
          </w:tcPr>
          <w:p w14:paraId="3FF5B5D9"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 xml:space="preserve">Silages </w:t>
            </w:r>
          </w:p>
        </w:tc>
        <w:tc>
          <w:tcPr>
            <w:tcW w:w="1435" w:type="dxa"/>
            <w:tcBorders>
              <w:top w:val="nil"/>
              <w:left w:val="nil"/>
              <w:bottom w:val="dotted" w:sz="4" w:space="0" w:color="auto"/>
              <w:right w:val="nil"/>
            </w:tcBorders>
            <w:shd w:val="clear" w:color="auto" w:fill="auto"/>
            <w:vAlign w:val="center"/>
            <w:hideMark/>
          </w:tcPr>
          <w:p w14:paraId="504E1302"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5E3C1103"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21FC7BEA"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6DD547B1" w14:textId="1EBDEBDF" w:rsidR="00060AC2" w:rsidRPr="00E71630" w:rsidRDefault="003E28C8" w:rsidP="00E71630">
            <w:pPr>
              <w:spacing w:after="0" w:line="240" w:lineRule="auto"/>
              <w:rPr>
                <w:rFonts w:ascii="Garamond" w:eastAsia="Times New Roman" w:hAnsi="Garamond" w:cs="Calibri"/>
                <w:color w:val="000000"/>
                <w:sz w:val="16"/>
                <w:szCs w:val="16"/>
                <w:lang w:eastAsia="en-GB"/>
              </w:rPr>
            </w:pPr>
            <w:r>
              <w:rPr>
                <w:rFonts w:ascii="Garamond" w:eastAsia="Times New Roman" w:hAnsi="Garamond" w:cs="Calibri"/>
                <w:noProof/>
                <w:color w:val="000000"/>
                <w:sz w:val="16"/>
                <w:szCs w:val="16"/>
                <w:lang w:eastAsia="en-GB"/>
              </w:rPr>
              <w:fldChar w:fldCharType="begin" w:fldLock="1"/>
            </w:r>
            <w:r w:rsidR="00A84515">
              <w:rPr>
                <w:rFonts w:ascii="Garamond" w:eastAsia="Times New Roman" w:hAnsi="Garamond" w:cs="Calibri"/>
                <w:noProof/>
                <w:color w:val="000000"/>
                <w:sz w:val="16"/>
                <w:szCs w:val="16"/>
                <w:lang w:eastAsia="en-GB"/>
              </w:rPr>
              <w:instrText>ADDIN CSL_CITATION {"citationItems":[{"id":"ITEM-1","itemData":{"DOI":"10.1038/jes.2012.123","author":[{"dropping-particle":"","family":"Pavilonis","given":"Brian T","non-dropping-particle":"","parse-names":false,"suffix":""},{"dropping-particle":"","family":"Anthony","given":"T Renee","non-dropping-particle":"","parse-names":false,"suffix":""},{"dropping-particle":"","family":"Shaughnessy","given":"Patrick T O","non-dropping-particle":"","parse-names":false,"suffix":""},{"dropping-particle":"","family":"Humann","given":"Michael J","non-dropping-particle":"","parse-names":false,"suffix":""},{"dropping-particle":"","family":"Merchant","given":"James A","non-dropping-particle":"","parse-names":false,"suffix":""},{"dropping-particle":"","family":"Moore","given":"Genna","non-dropping-particle":"","parse-names":false,"suffix":""},{"dropping-particle":"","family":"Thorne","given":"Peter S","non-dropping-particle":"","parse-names":false,"suffix":""},{"dropping-particle":"","family":"Weisel","given":"Clifford P","non-dropping-particle":"","parse-names":false,"suffix":""},{"dropping-particle":"","family":"Sanderson","given":"Wayne T","non-dropping-particle":"","parse-names":false,"suffix":""}],"id":"ITEM-1","issue":"January","issued":{"date-parts":[["2013"]]},"page":"299-305","title":"Indoor and outdoor particulate matter and endotoxin concentrations in an intensely agricultural county","type":"article-journal"},"uris":["http://www.mendeley.com/documents/?uuid=3e75ccb5-99a9-4232-a8d8-267787d87cab"]}],"mendeley":{"formattedCitation":"(Pavilonis et al. 2013)","plainTextFormattedCitation":"(Pavilonis et al. 2013)","previouslyFormattedCitation":"(Pavilonis et al. 2013)"},"properties":{"noteIndex":0},"schema":"https://github.com/citation-style-language/schema/raw/master/csl-citation.json"}</w:instrText>
            </w:r>
            <w:r>
              <w:rPr>
                <w:rFonts w:ascii="Garamond" w:eastAsia="Times New Roman" w:hAnsi="Garamond" w:cs="Calibri"/>
                <w:noProof/>
                <w:color w:val="000000"/>
                <w:sz w:val="16"/>
                <w:szCs w:val="16"/>
                <w:lang w:eastAsia="en-GB"/>
              </w:rPr>
              <w:fldChar w:fldCharType="separate"/>
            </w:r>
            <w:r w:rsidRPr="003E28C8">
              <w:rPr>
                <w:rFonts w:ascii="Garamond" w:eastAsia="Times New Roman" w:hAnsi="Garamond" w:cs="Calibri"/>
                <w:noProof/>
                <w:color w:val="000000"/>
                <w:sz w:val="16"/>
                <w:szCs w:val="16"/>
                <w:lang w:eastAsia="en-GB"/>
              </w:rPr>
              <w:t>(Pavilonis et al. 2013)</w:t>
            </w:r>
            <w:r>
              <w:rPr>
                <w:rFonts w:ascii="Garamond" w:eastAsia="Times New Roman" w:hAnsi="Garamond" w:cs="Calibri"/>
                <w:noProof/>
                <w:color w:val="000000"/>
                <w:sz w:val="16"/>
                <w:szCs w:val="16"/>
                <w:lang w:eastAsia="en-GB"/>
              </w:rPr>
              <w:fldChar w:fldCharType="end"/>
            </w:r>
          </w:p>
        </w:tc>
        <w:tc>
          <w:tcPr>
            <w:tcW w:w="4232" w:type="dxa"/>
            <w:tcBorders>
              <w:top w:val="nil"/>
              <w:left w:val="nil"/>
              <w:bottom w:val="dotted" w:sz="4" w:space="0" w:color="auto"/>
              <w:right w:val="nil"/>
            </w:tcBorders>
            <w:shd w:val="clear" w:color="auto" w:fill="auto"/>
            <w:vAlign w:val="center"/>
            <w:hideMark/>
          </w:tcPr>
          <w:p w14:paraId="2A2C30C3"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58" w:type="dxa"/>
            <w:tcBorders>
              <w:top w:val="nil"/>
              <w:left w:val="nil"/>
              <w:bottom w:val="dotted" w:sz="4" w:space="0" w:color="auto"/>
              <w:right w:val="nil"/>
            </w:tcBorders>
            <w:shd w:val="clear" w:color="auto" w:fill="auto"/>
            <w:vAlign w:val="center"/>
            <w:hideMark/>
          </w:tcPr>
          <w:p w14:paraId="7C576C32"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35" w:type="dxa"/>
            <w:tcBorders>
              <w:top w:val="nil"/>
              <w:left w:val="nil"/>
              <w:bottom w:val="dotted" w:sz="4" w:space="0" w:color="auto"/>
              <w:right w:val="nil"/>
            </w:tcBorders>
            <w:shd w:val="clear" w:color="auto" w:fill="auto"/>
            <w:vAlign w:val="center"/>
            <w:hideMark/>
          </w:tcPr>
          <w:p w14:paraId="40DEC5AE"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3D528671"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w:t>
            </w:r>
          </w:p>
        </w:tc>
      </w:tr>
      <w:tr w:rsidR="00060AC2" w:rsidRPr="00E71630" w14:paraId="373C98C0"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6E2A71D5" w14:textId="4D103B96" w:rsidR="00060AC2" w:rsidRPr="00E71630" w:rsidRDefault="00DA370C" w:rsidP="00E71630">
            <w:pPr>
              <w:spacing w:after="0" w:line="240" w:lineRule="auto"/>
              <w:rPr>
                <w:rFonts w:ascii="Garamond" w:eastAsia="Times New Roman" w:hAnsi="Garamond" w:cs="Calibri"/>
                <w:color w:val="000000"/>
                <w:sz w:val="16"/>
                <w:szCs w:val="16"/>
                <w:lang w:eastAsia="en-GB"/>
              </w:rPr>
            </w:pPr>
            <w:r>
              <w:rPr>
                <w:rFonts w:ascii="Garamond" w:eastAsia="Times New Roman" w:hAnsi="Garamond" w:cs="Calibri"/>
                <w:noProof/>
                <w:color w:val="000000"/>
                <w:sz w:val="16"/>
                <w:szCs w:val="16"/>
                <w:lang w:eastAsia="en-GB"/>
              </w:rPr>
              <w:fldChar w:fldCharType="begin" w:fldLock="1"/>
            </w:r>
            <w:r w:rsidR="00A84515">
              <w:rPr>
                <w:rFonts w:ascii="Garamond" w:eastAsia="Times New Roman" w:hAnsi="Garamond" w:cs="Calibri"/>
                <w:noProof/>
                <w:color w:val="000000"/>
                <w:sz w:val="16"/>
                <w:szCs w:val="16"/>
                <w:lang w:eastAsia="en-GB"/>
              </w:rPr>
              <w:instrText>ADDIN CSL_CITATION {"citationItems":[{"id":"ITEM-1","itemData":{"author":[{"dropping-particle":"","family":"Ramli","given":"Nur Amanina","non-dropping-particle":"","parse-names":false,"suffix":""},{"dropping-particle":"","family":"Faizah","given":"Noor","non-dropping-particle":"","parse-names":false,"suffix":""},{"dropping-particle":"","family":"Yusof","given":"Fitri","non-dropping-particle":"","parse-names":false,"suffix":""},{"dropping-particle":"","family":"Zarkasi","given":"Kamarul Zaman","non-dropping-particle":"","parse-names":false,"suffix":""},{"dropping-particle":"","family":"Suroto","given":"Azrin","non-dropping-particle":"","parse-names":false,"suffix":""}],"id":"ITEM-1","issued":{"date-parts":[["2021"]]},"title":"Chemical , Biological and Morphological Properties of Fine Particles during Local Rice Straw Burning Activities","type":"article-journal"},"uris":["http://www.mendeley.com/documents/?uuid=1d841327-6c22-4df5-9a04-19711817ff6b"]}],"mendeley":{"formattedCitation":"(Ramli et al. 2021)","plainTextFormattedCitation":"(Ramli et al. 2021)","previouslyFormattedCitation":"(Ramli et al. 2021)"},"properties":{"noteIndex":0},"schema":"https://github.com/citation-style-language/schema/raw/master/csl-citation.json"}</w:instrText>
            </w:r>
            <w:r>
              <w:rPr>
                <w:rFonts w:ascii="Garamond" w:eastAsia="Times New Roman" w:hAnsi="Garamond" w:cs="Calibri"/>
                <w:noProof/>
                <w:color w:val="000000"/>
                <w:sz w:val="16"/>
                <w:szCs w:val="16"/>
                <w:lang w:eastAsia="en-GB"/>
              </w:rPr>
              <w:fldChar w:fldCharType="separate"/>
            </w:r>
            <w:r w:rsidRPr="00DA370C">
              <w:rPr>
                <w:rFonts w:ascii="Garamond" w:eastAsia="Times New Roman" w:hAnsi="Garamond" w:cs="Calibri"/>
                <w:noProof/>
                <w:color w:val="000000"/>
                <w:sz w:val="16"/>
                <w:szCs w:val="16"/>
                <w:lang w:eastAsia="en-GB"/>
              </w:rPr>
              <w:t>(Ramli et al. 2021)</w:t>
            </w:r>
            <w:r>
              <w:rPr>
                <w:rFonts w:ascii="Garamond" w:eastAsia="Times New Roman" w:hAnsi="Garamond" w:cs="Calibri"/>
                <w:noProof/>
                <w:color w:val="000000"/>
                <w:sz w:val="16"/>
                <w:szCs w:val="16"/>
                <w:lang w:eastAsia="en-GB"/>
              </w:rPr>
              <w:fldChar w:fldCharType="end"/>
            </w:r>
          </w:p>
        </w:tc>
        <w:tc>
          <w:tcPr>
            <w:tcW w:w="4232" w:type="dxa"/>
            <w:tcBorders>
              <w:top w:val="nil"/>
              <w:left w:val="nil"/>
              <w:bottom w:val="dotted" w:sz="4" w:space="0" w:color="auto"/>
              <w:right w:val="nil"/>
            </w:tcBorders>
            <w:shd w:val="clear" w:color="auto" w:fill="auto"/>
            <w:vAlign w:val="center"/>
            <w:hideMark/>
          </w:tcPr>
          <w:p w14:paraId="6D5DF090"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58" w:type="dxa"/>
            <w:tcBorders>
              <w:top w:val="nil"/>
              <w:left w:val="nil"/>
              <w:bottom w:val="dotted" w:sz="4" w:space="0" w:color="auto"/>
              <w:right w:val="nil"/>
            </w:tcBorders>
            <w:shd w:val="clear" w:color="auto" w:fill="auto"/>
            <w:vAlign w:val="center"/>
            <w:hideMark/>
          </w:tcPr>
          <w:p w14:paraId="47E2ABA3"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Agricultural burning</w:t>
            </w:r>
          </w:p>
        </w:tc>
        <w:tc>
          <w:tcPr>
            <w:tcW w:w="1435" w:type="dxa"/>
            <w:tcBorders>
              <w:top w:val="nil"/>
              <w:left w:val="nil"/>
              <w:bottom w:val="dotted" w:sz="4" w:space="0" w:color="auto"/>
              <w:right w:val="nil"/>
            </w:tcBorders>
            <w:shd w:val="clear" w:color="auto" w:fill="auto"/>
            <w:vAlign w:val="center"/>
            <w:hideMark/>
          </w:tcPr>
          <w:p w14:paraId="5DDF78A2"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6123D8AF"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3C826117"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2ABCDC29"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(Reinhardt et al. 2011)</w:t>
            </w:r>
          </w:p>
        </w:tc>
        <w:tc>
          <w:tcPr>
            <w:tcW w:w="4232" w:type="dxa"/>
            <w:tcBorders>
              <w:top w:val="nil"/>
              <w:left w:val="nil"/>
              <w:bottom w:val="dotted" w:sz="4" w:space="0" w:color="auto"/>
              <w:right w:val="nil"/>
            </w:tcBorders>
            <w:shd w:val="clear" w:color="auto" w:fill="auto"/>
            <w:vAlign w:val="center"/>
            <w:hideMark/>
          </w:tcPr>
          <w:p w14:paraId="2A56E5A4"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58" w:type="dxa"/>
            <w:tcBorders>
              <w:top w:val="nil"/>
              <w:left w:val="nil"/>
              <w:bottom w:val="dotted" w:sz="4" w:space="0" w:color="auto"/>
              <w:right w:val="nil"/>
            </w:tcBorders>
            <w:shd w:val="clear" w:color="auto" w:fill="auto"/>
            <w:vAlign w:val="center"/>
            <w:hideMark/>
          </w:tcPr>
          <w:p w14:paraId="62B488C3"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Agricultural burning</w:t>
            </w:r>
          </w:p>
        </w:tc>
        <w:tc>
          <w:tcPr>
            <w:tcW w:w="1435" w:type="dxa"/>
            <w:tcBorders>
              <w:top w:val="nil"/>
              <w:left w:val="nil"/>
              <w:bottom w:val="dotted" w:sz="4" w:space="0" w:color="auto"/>
              <w:right w:val="nil"/>
            </w:tcBorders>
            <w:shd w:val="clear" w:color="auto" w:fill="auto"/>
            <w:vAlign w:val="center"/>
            <w:hideMark/>
          </w:tcPr>
          <w:p w14:paraId="42EF85EB"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79F1637B"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525BAEBB"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70D38F7C"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(Ryu et al. 2007)</w:t>
            </w:r>
          </w:p>
        </w:tc>
        <w:tc>
          <w:tcPr>
            <w:tcW w:w="4232" w:type="dxa"/>
            <w:tcBorders>
              <w:top w:val="nil"/>
              <w:left w:val="nil"/>
              <w:bottom w:val="dotted" w:sz="4" w:space="0" w:color="auto"/>
              <w:right w:val="nil"/>
            </w:tcBorders>
            <w:shd w:val="clear" w:color="auto" w:fill="auto"/>
            <w:vAlign w:val="center"/>
            <w:hideMark/>
          </w:tcPr>
          <w:p w14:paraId="7F3489F8"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Barley</w:t>
            </w:r>
          </w:p>
        </w:tc>
        <w:tc>
          <w:tcPr>
            <w:tcW w:w="1958" w:type="dxa"/>
            <w:tcBorders>
              <w:top w:val="nil"/>
              <w:left w:val="nil"/>
              <w:bottom w:val="dotted" w:sz="4" w:space="0" w:color="auto"/>
              <w:right w:val="nil"/>
            </w:tcBorders>
            <w:shd w:val="clear" w:color="auto" w:fill="auto"/>
            <w:vAlign w:val="center"/>
            <w:hideMark/>
          </w:tcPr>
          <w:p w14:paraId="1D9DEE1A"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Agricultural burning</w:t>
            </w:r>
          </w:p>
        </w:tc>
        <w:tc>
          <w:tcPr>
            <w:tcW w:w="1435" w:type="dxa"/>
            <w:tcBorders>
              <w:top w:val="nil"/>
              <w:left w:val="nil"/>
              <w:bottom w:val="dotted" w:sz="4" w:space="0" w:color="auto"/>
              <w:right w:val="nil"/>
            </w:tcBorders>
            <w:shd w:val="clear" w:color="auto" w:fill="auto"/>
            <w:vAlign w:val="center"/>
            <w:hideMark/>
          </w:tcPr>
          <w:p w14:paraId="4EC40A6D"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51D0CD2A"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Yes</w:t>
            </w:r>
          </w:p>
        </w:tc>
      </w:tr>
      <w:tr w:rsidR="00060AC2" w:rsidRPr="00E71630" w14:paraId="72356AF9"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224B1A0C"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(Sevimoglu and Rogge 2016)</w:t>
            </w:r>
          </w:p>
        </w:tc>
        <w:tc>
          <w:tcPr>
            <w:tcW w:w="4232" w:type="dxa"/>
            <w:tcBorders>
              <w:top w:val="nil"/>
              <w:left w:val="nil"/>
              <w:bottom w:val="dotted" w:sz="4" w:space="0" w:color="auto"/>
              <w:right w:val="nil"/>
            </w:tcBorders>
            <w:shd w:val="clear" w:color="auto" w:fill="auto"/>
            <w:vAlign w:val="center"/>
            <w:hideMark/>
          </w:tcPr>
          <w:p w14:paraId="3632F73B"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Sugarcane</w:t>
            </w:r>
          </w:p>
        </w:tc>
        <w:tc>
          <w:tcPr>
            <w:tcW w:w="1958" w:type="dxa"/>
            <w:tcBorders>
              <w:top w:val="nil"/>
              <w:left w:val="nil"/>
              <w:bottom w:val="dotted" w:sz="4" w:space="0" w:color="auto"/>
              <w:right w:val="nil"/>
            </w:tcBorders>
            <w:shd w:val="clear" w:color="auto" w:fill="auto"/>
            <w:vAlign w:val="center"/>
            <w:hideMark/>
          </w:tcPr>
          <w:p w14:paraId="5C43671A"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Agricultural burning</w:t>
            </w:r>
          </w:p>
        </w:tc>
        <w:tc>
          <w:tcPr>
            <w:tcW w:w="1435" w:type="dxa"/>
            <w:tcBorders>
              <w:top w:val="nil"/>
              <w:left w:val="nil"/>
              <w:bottom w:val="dotted" w:sz="4" w:space="0" w:color="auto"/>
              <w:right w:val="nil"/>
            </w:tcBorders>
            <w:shd w:val="clear" w:color="auto" w:fill="auto"/>
            <w:vAlign w:val="center"/>
            <w:hideMark/>
          </w:tcPr>
          <w:p w14:paraId="20D73407"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7AF3B360"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599EC054"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0655D177" w14:textId="7C348C3F"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fldChar w:fldCharType="begin" w:fldLock="1"/>
            </w:r>
            <w:r w:rsidR="00A84515">
              <w:rPr>
                <w:rFonts w:ascii="Garamond" w:eastAsia="Times New Roman" w:hAnsi="Garamond" w:cs="Calibri"/>
                <w:color w:val="000000"/>
                <w:sz w:val="16"/>
                <w:szCs w:val="16"/>
                <w:lang w:eastAsia="en-GB"/>
              </w:rPr>
              <w:instrText>ADDIN CSL_CITATION {"citationItems":[{"id":"ITEM-1","itemData":{"DOI":"10.1093/annhyg/mer025","author":[{"dropping-particle":"","family":"Swanepoel","given":"Andrew J","non-dropping-particle":"","parse-names":false,"suffix":""},{"dropping-particle":"","family":"Kromhout","given":"Hans","non-dropping-particle":"","parse-names":false,"suffix":""},{"dropping-particle":"","family":"Portengen","given":"Tzen","non-dropping-particle":"","parse-names":false,"suffix":""},{"dropping-particle":"","family":"Renton","given":"Kevin","non-dropping-particle":"","parse-names":false,"suffix":""},{"dropping-particle":"","family":"Jinnah","given":"Zubair A","non-dropping-particle":"","parse-names":false,"suffix":""},{"dropping-particle":"","family":"Gardiner","given":"Kerry","non-dropping-particle":"","parse-names":false,"suffix":""},{"dropping-particle":"","family":"Rees","given":"David","non-dropping-particle":"","parse-names":false,"suffix":""}],"id":"ITEM-1","issue":"6","issued":{"date-parts":[["2011"]]},"page":"634-643","title":"Respirable Dust and Quartz Exposure from Three South African Farms with Sandy , Sandy Loam , and Clay Soils","type":"article-journal","volume":"55"},"uris":["http://www.mendeley.com/documents/?uuid=b7be029c-187f-4a5f-b6a1-a6ecc292a73e"]}],"mendeley":{"formattedCitation":"(Swanepoel et al. 2011)","plainTextFormattedCitation":"(Swanepoel et al. 2011)","previouslyFormattedCitation":"(Swanepoel et al. 2011)"},"properties":{"noteIndex":0},"schema":"https://github.com/citation-style-language/schema/raw/master/csl-citation.json"}</w:instrText>
            </w:r>
            <w:r w:rsidRPr="00E71630">
              <w:rPr>
                <w:rFonts w:ascii="Garamond" w:eastAsia="Times New Roman" w:hAnsi="Garamond" w:cs="Calibri"/>
                <w:color w:val="000000"/>
                <w:sz w:val="16"/>
                <w:szCs w:val="16"/>
                <w:lang w:eastAsia="en-GB"/>
              </w:rPr>
              <w:fldChar w:fldCharType="separate"/>
            </w:r>
            <w:r w:rsidRPr="00E71630">
              <w:rPr>
                <w:rFonts w:ascii="Garamond" w:eastAsia="Times New Roman" w:hAnsi="Garamond" w:cs="Calibri"/>
                <w:noProof/>
                <w:color w:val="000000"/>
                <w:sz w:val="16"/>
                <w:szCs w:val="16"/>
                <w:lang w:eastAsia="en-GB"/>
              </w:rPr>
              <w:t>(Swanepoel et al. 2011)</w:t>
            </w:r>
            <w:r w:rsidRPr="00E71630">
              <w:rPr>
                <w:rFonts w:ascii="Garamond" w:eastAsia="Times New Roman" w:hAnsi="Garamond" w:cs="Calibri"/>
                <w:color w:val="000000"/>
                <w:sz w:val="16"/>
                <w:szCs w:val="16"/>
                <w:lang w:eastAsia="en-GB"/>
              </w:rPr>
              <w:fldChar w:fldCharType="end"/>
            </w:r>
          </w:p>
        </w:tc>
        <w:tc>
          <w:tcPr>
            <w:tcW w:w="4232" w:type="dxa"/>
            <w:tcBorders>
              <w:top w:val="nil"/>
              <w:left w:val="nil"/>
              <w:bottom w:val="dotted" w:sz="4" w:space="0" w:color="auto"/>
              <w:right w:val="nil"/>
            </w:tcBorders>
            <w:shd w:val="clear" w:color="auto" w:fill="auto"/>
            <w:vAlign w:val="center"/>
            <w:hideMark/>
          </w:tcPr>
          <w:p w14:paraId="25517136"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Maize; Sunflowers</w:t>
            </w:r>
          </w:p>
        </w:tc>
        <w:tc>
          <w:tcPr>
            <w:tcW w:w="1958" w:type="dxa"/>
            <w:tcBorders>
              <w:top w:val="nil"/>
              <w:left w:val="nil"/>
              <w:bottom w:val="dotted" w:sz="4" w:space="0" w:color="auto"/>
              <w:right w:val="nil"/>
            </w:tcBorders>
            <w:shd w:val="clear" w:color="auto" w:fill="auto"/>
            <w:vAlign w:val="center"/>
            <w:hideMark/>
          </w:tcPr>
          <w:p w14:paraId="4070FA30"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Planting; Harvesting</w:t>
            </w:r>
          </w:p>
        </w:tc>
        <w:tc>
          <w:tcPr>
            <w:tcW w:w="1435" w:type="dxa"/>
            <w:tcBorders>
              <w:top w:val="nil"/>
              <w:left w:val="nil"/>
              <w:bottom w:val="dotted" w:sz="4" w:space="0" w:color="auto"/>
              <w:right w:val="nil"/>
            </w:tcBorders>
            <w:shd w:val="clear" w:color="auto" w:fill="auto"/>
            <w:vAlign w:val="center"/>
            <w:hideMark/>
          </w:tcPr>
          <w:p w14:paraId="493AC78C"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6F0623F7"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5C9CC79D"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3A452B43"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(Wei et al. 2019)</w:t>
            </w:r>
          </w:p>
        </w:tc>
        <w:tc>
          <w:tcPr>
            <w:tcW w:w="4232" w:type="dxa"/>
            <w:tcBorders>
              <w:top w:val="nil"/>
              <w:left w:val="nil"/>
              <w:bottom w:val="dotted" w:sz="4" w:space="0" w:color="auto"/>
              <w:right w:val="nil"/>
            </w:tcBorders>
            <w:shd w:val="clear" w:color="auto" w:fill="auto"/>
            <w:vAlign w:val="center"/>
            <w:hideMark/>
          </w:tcPr>
          <w:p w14:paraId="0A996D87"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Wheat</w:t>
            </w:r>
          </w:p>
        </w:tc>
        <w:tc>
          <w:tcPr>
            <w:tcW w:w="1958" w:type="dxa"/>
            <w:tcBorders>
              <w:top w:val="nil"/>
              <w:left w:val="nil"/>
              <w:bottom w:val="dotted" w:sz="4" w:space="0" w:color="auto"/>
              <w:right w:val="nil"/>
            </w:tcBorders>
            <w:shd w:val="clear" w:color="auto" w:fill="auto"/>
            <w:vAlign w:val="center"/>
            <w:hideMark/>
          </w:tcPr>
          <w:p w14:paraId="3B0B92C2"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Agricultural burning</w:t>
            </w:r>
          </w:p>
        </w:tc>
        <w:tc>
          <w:tcPr>
            <w:tcW w:w="1435" w:type="dxa"/>
            <w:tcBorders>
              <w:top w:val="nil"/>
              <w:left w:val="nil"/>
              <w:bottom w:val="dotted" w:sz="4" w:space="0" w:color="auto"/>
              <w:right w:val="nil"/>
            </w:tcBorders>
            <w:shd w:val="clear" w:color="auto" w:fill="auto"/>
            <w:vAlign w:val="center"/>
            <w:hideMark/>
          </w:tcPr>
          <w:p w14:paraId="4609F797"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076C30E7"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717747ED"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05A2A6A2"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(Xing et al. 2020)</w:t>
            </w:r>
          </w:p>
        </w:tc>
        <w:tc>
          <w:tcPr>
            <w:tcW w:w="4232" w:type="dxa"/>
            <w:tcBorders>
              <w:top w:val="nil"/>
              <w:left w:val="nil"/>
              <w:bottom w:val="dotted" w:sz="4" w:space="0" w:color="auto"/>
              <w:right w:val="nil"/>
            </w:tcBorders>
            <w:shd w:val="clear" w:color="auto" w:fill="auto"/>
            <w:vAlign w:val="center"/>
            <w:hideMark/>
          </w:tcPr>
          <w:p w14:paraId="4BDF4B19"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n.a.</w:t>
            </w:r>
          </w:p>
        </w:tc>
        <w:tc>
          <w:tcPr>
            <w:tcW w:w="1958" w:type="dxa"/>
            <w:tcBorders>
              <w:top w:val="nil"/>
              <w:left w:val="nil"/>
              <w:bottom w:val="dotted" w:sz="4" w:space="0" w:color="auto"/>
              <w:right w:val="nil"/>
            </w:tcBorders>
            <w:shd w:val="clear" w:color="auto" w:fill="auto"/>
            <w:vAlign w:val="center"/>
            <w:hideMark/>
          </w:tcPr>
          <w:p w14:paraId="5050EB67"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35" w:type="dxa"/>
            <w:tcBorders>
              <w:top w:val="nil"/>
              <w:left w:val="nil"/>
              <w:bottom w:val="dotted" w:sz="4" w:space="0" w:color="auto"/>
              <w:right w:val="nil"/>
            </w:tcBorders>
            <w:shd w:val="clear" w:color="auto" w:fill="auto"/>
            <w:vAlign w:val="center"/>
            <w:hideMark/>
          </w:tcPr>
          <w:p w14:paraId="4B63A8C8"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494EDCBE"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1BCF45C2"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080F4650" w14:textId="5616E2BE" w:rsidR="00060AC2" w:rsidRPr="00E71630" w:rsidRDefault="00CE7C36"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(You et al. 2008)</w:t>
            </w:r>
          </w:p>
        </w:tc>
        <w:tc>
          <w:tcPr>
            <w:tcW w:w="4232" w:type="dxa"/>
            <w:tcBorders>
              <w:top w:val="nil"/>
              <w:left w:val="nil"/>
              <w:bottom w:val="dotted" w:sz="4" w:space="0" w:color="auto"/>
              <w:right w:val="nil"/>
            </w:tcBorders>
            <w:shd w:val="clear" w:color="auto" w:fill="auto"/>
            <w:vAlign w:val="center"/>
            <w:hideMark/>
          </w:tcPr>
          <w:p w14:paraId="4D091E3D"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58" w:type="dxa"/>
            <w:tcBorders>
              <w:top w:val="nil"/>
              <w:left w:val="nil"/>
              <w:bottom w:val="dotted" w:sz="4" w:space="0" w:color="auto"/>
              <w:right w:val="nil"/>
            </w:tcBorders>
            <w:shd w:val="clear" w:color="auto" w:fill="auto"/>
            <w:vAlign w:val="center"/>
            <w:hideMark/>
          </w:tcPr>
          <w:p w14:paraId="71D9E652"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35" w:type="dxa"/>
            <w:tcBorders>
              <w:top w:val="nil"/>
              <w:left w:val="nil"/>
              <w:bottom w:val="dotted" w:sz="4" w:space="0" w:color="auto"/>
              <w:right w:val="nil"/>
            </w:tcBorders>
            <w:shd w:val="clear" w:color="auto" w:fill="auto"/>
            <w:vAlign w:val="center"/>
            <w:hideMark/>
          </w:tcPr>
          <w:p w14:paraId="4F65C1AA"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Cow</w:t>
            </w:r>
          </w:p>
        </w:tc>
        <w:tc>
          <w:tcPr>
            <w:tcW w:w="2554" w:type="dxa"/>
            <w:tcBorders>
              <w:top w:val="nil"/>
              <w:left w:val="nil"/>
              <w:bottom w:val="dotted" w:sz="4" w:space="0" w:color="auto"/>
              <w:right w:val="nil"/>
            </w:tcBorders>
            <w:shd w:val="clear" w:color="auto" w:fill="auto"/>
            <w:vAlign w:val="center"/>
            <w:hideMark/>
          </w:tcPr>
          <w:p w14:paraId="0DC36390"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Yes</w:t>
            </w:r>
          </w:p>
        </w:tc>
      </w:tr>
      <w:tr w:rsidR="00060AC2" w:rsidRPr="00E71630" w14:paraId="1A28B8BF" w14:textId="77777777" w:rsidTr="007B09C1">
        <w:trPr>
          <w:trHeight w:val="241"/>
        </w:trPr>
        <w:tc>
          <w:tcPr>
            <w:tcW w:w="3389" w:type="dxa"/>
            <w:tcBorders>
              <w:top w:val="nil"/>
              <w:left w:val="nil"/>
              <w:bottom w:val="dotted" w:sz="4" w:space="0" w:color="auto"/>
              <w:right w:val="nil"/>
            </w:tcBorders>
            <w:shd w:val="clear" w:color="auto" w:fill="auto"/>
            <w:vAlign w:val="center"/>
            <w:hideMark/>
          </w:tcPr>
          <w:p w14:paraId="79B3F106" w14:textId="67FDBD84" w:rsidR="00060AC2" w:rsidRPr="00E71630" w:rsidRDefault="006C6224" w:rsidP="00E71630">
            <w:pPr>
              <w:spacing w:after="0" w:line="240" w:lineRule="auto"/>
              <w:rPr>
                <w:rFonts w:ascii="Garamond" w:eastAsia="Times New Roman" w:hAnsi="Garamond" w:cs="Calibri"/>
                <w:color w:val="000000"/>
                <w:sz w:val="16"/>
                <w:szCs w:val="16"/>
                <w:lang w:eastAsia="en-GB"/>
              </w:rPr>
            </w:pPr>
            <w:r>
              <w:rPr>
                <w:rFonts w:ascii="Garamond" w:eastAsia="Times New Roman" w:hAnsi="Garamond" w:cs="Calibri"/>
                <w:noProof/>
                <w:color w:val="000000"/>
                <w:sz w:val="16"/>
                <w:szCs w:val="16"/>
                <w:lang w:eastAsia="en-GB"/>
              </w:rPr>
              <w:fldChar w:fldCharType="begin" w:fldLock="1"/>
            </w:r>
            <w:r w:rsidR="00A84515">
              <w:rPr>
                <w:rFonts w:ascii="Garamond" w:eastAsia="Times New Roman" w:hAnsi="Garamond" w:cs="Calibri"/>
                <w:noProof/>
                <w:color w:val="000000"/>
                <w:sz w:val="16"/>
                <w:szCs w:val="16"/>
                <w:lang w:eastAsia="en-GB"/>
              </w:rPr>
              <w:instrText>ADDIN CSL_CITATION {"citationItems":[{"id":"ITEM-1","itemData":{"DOI":"10.1016/j.atmosenv.2012.08.040","ISSN":"1352-2310","author":[{"dropping-particle":"","family":"Zbieranowski","given":"Antoni L","non-dropping-particle":"","parse-names":false,"suffix":""},{"dropping-particle":"","family":"Aherne","given":"Julian","non-dropping-particle":"","parse-names":false,"suffix":""}],"container-title":"Atmospheric Environment","id":"ITEM-1","issued":{"date-parts":[["2012"]]},"page":"481-491","publisher":"Elsevier Ltd","title":"Ambient concentrations of atmospheric ammonia , nitrogen dioxide and nitric acid across a rural e urban e agricultural transect in southern Ontario , Canada","type":"article-journal","volume":"62"},"uris":["http://www.mendeley.com/documents/?uuid=90bd5c00-de65-42bd-a2c9-0579897c2287"]}],"mendeley":{"formattedCitation":"(Zbieranowski and Aherne 2012)","plainTextFormattedCitation":"(Zbieranowski and Aherne 2012)","previouslyFormattedCitation":"(Zbieranowski and Aherne 2012)"},"properties":{"noteIndex":0},"schema":"https://github.com/citation-style-language/schema/raw/master/csl-citation.json"}</w:instrText>
            </w:r>
            <w:r>
              <w:rPr>
                <w:rFonts w:ascii="Garamond" w:eastAsia="Times New Roman" w:hAnsi="Garamond" w:cs="Calibri"/>
                <w:noProof/>
                <w:color w:val="000000"/>
                <w:sz w:val="16"/>
                <w:szCs w:val="16"/>
                <w:lang w:eastAsia="en-GB"/>
              </w:rPr>
              <w:fldChar w:fldCharType="separate"/>
            </w:r>
            <w:r w:rsidRPr="006C6224">
              <w:rPr>
                <w:rFonts w:ascii="Garamond" w:eastAsia="Times New Roman" w:hAnsi="Garamond" w:cs="Calibri"/>
                <w:noProof/>
                <w:color w:val="000000"/>
                <w:sz w:val="16"/>
                <w:szCs w:val="16"/>
                <w:lang w:eastAsia="en-GB"/>
              </w:rPr>
              <w:t>(Zbieranowski and Aherne 2012)</w:t>
            </w:r>
            <w:r>
              <w:rPr>
                <w:rFonts w:ascii="Garamond" w:eastAsia="Times New Roman" w:hAnsi="Garamond" w:cs="Calibri"/>
                <w:noProof/>
                <w:color w:val="000000"/>
                <w:sz w:val="16"/>
                <w:szCs w:val="16"/>
                <w:lang w:eastAsia="en-GB"/>
              </w:rPr>
              <w:fldChar w:fldCharType="end"/>
            </w:r>
          </w:p>
        </w:tc>
        <w:tc>
          <w:tcPr>
            <w:tcW w:w="4232" w:type="dxa"/>
            <w:tcBorders>
              <w:top w:val="nil"/>
              <w:left w:val="nil"/>
              <w:bottom w:val="dotted" w:sz="4" w:space="0" w:color="auto"/>
              <w:right w:val="nil"/>
            </w:tcBorders>
            <w:shd w:val="clear" w:color="auto" w:fill="auto"/>
            <w:vAlign w:val="center"/>
            <w:hideMark/>
          </w:tcPr>
          <w:p w14:paraId="07327350"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58" w:type="dxa"/>
            <w:tcBorders>
              <w:top w:val="nil"/>
              <w:left w:val="nil"/>
              <w:bottom w:val="dotted" w:sz="4" w:space="0" w:color="auto"/>
              <w:right w:val="nil"/>
            </w:tcBorders>
            <w:shd w:val="clear" w:color="auto" w:fill="auto"/>
            <w:vAlign w:val="center"/>
            <w:hideMark/>
          </w:tcPr>
          <w:p w14:paraId="357E688E"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35" w:type="dxa"/>
            <w:tcBorders>
              <w:top w:val="nil"/>
              <w:left w:val="nil"/>
              <w:bottom w:val="dotted" w:sz="4" w:space="0" w:color="auto"/>
              <w:right w:val="nil"/>
            </w:tcBorders>
            <w:shd w:val="clear" w:color="auto" w:fill="auto"/>
            <w:vAlign w:val="center"/>
            <w:hideMark/>
          </w:tcPr>
          <w:p w14:paraId="4D7DD4AB"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dotted" w:sz="4" w:space="0" w:color="auto"/>
              <w:right w:val="nil"/>
            </w:tcBorders>
            <w:shd w:val="clear" w:color="auto" w:fill="auto"/>
            <w:vAlign w:val="center"/>
            <w:hideMark/>
          </w:tcPr>
          <w:p w14:paraId="6F549017"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r>
      <w:tr w:rsidR="00060AC2" w:rsidRPr="00E71630" w14:paraId="52D54DDE" w14:textId="77777777" w:rsidTr="007B09C1">
        <w:trPr>
          <w:trHeight w:val="241"/>
        </w:trPr>
        <w:tc>
          <w:tcPr>
            <w:tcW w:w="3389" w:type="dxa"/>
            <w:tcBorders>
              <w:top w:val="nil"/>
              <w:left w:val="nil"/>
              <w:bottom w:val="single" w:sz="8" w:space="0" w:color="auto"/>
              <w:right w:val="nil"/>
            </w:tcBorders>
            <w:shd w:val="clear" w:color="auto" w:fill="auto"/>
            <w:vAlign w:val="center"/>
            <w:hideMark/>
          </w:tcPr>
          <w:p w14:paraId="27442A91" w14:textId="52D7D3C3"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noProof/>
                <w:color w:val="000000"/>
                <w:sz w:val="16"/>
                <w:szCs w:val="16"/>
                <w:lang w:eastAsia="en-GB"/>
              </w:rPr>
              <w:t>(Zhuo et al.</w:t>
            </w:r>
            <w:r w:rsidR="00497CED">
              <w:rPr>
                <w:rFonts w:ascii="Garamond" w:eastAsia="Times New Roman" w:hAnsi="Garamond" w:cs="Calibri"/>
                <w:noProof/>
                <w:color w:val="000000"/>
                <w:sz w:val="16"/>
                <w:szCs w:val="16"/>
                <w:lang w:eastAsia="en-GB"/>
              </w:rPr>
              <w:fldChar w:fldCharType="begin" w:fldLock="1"/>
            </w:r>
            <w:r w:rsidR="00A84515">
              <w:rPr>
                <w:rFonts w:ascii="Garamond" w:eastAsia="Times New Roman" w:hAnsi="Garamond" w:cs="Calibri"/>
                <w:noProof/>
                <w:color w:val="000000"/>
                <w:sz w:val="16"/>
                <w:szCs w:val="16"/>
                <w:lang w:eastAsia="en-GB"/>
              </w:rPr>
              <w:instrText>ADDIN CSL_CITATION {"citationItems":[{"id":"ITEM-1","itemData":{"DOI":"10.1007/s11356-017-0118-8","author":[{"dropping-particle":"","family":"Zhuo","given":"Dong","non-dropping-particle":"","parse-names":false,"suffix":""},{"dropping-particle":"","family":"Liu","given":"Liming","non-dropping-particle":"","parse-names":false,"suffix":""},{"dropping-particle":"","family":"Yu","given":"Huirong","non-dropping-particle":"","parse-names":false,"suffix":""},{"dropping-particle":"","family":"Yuan","given":"Chengcheng","non-dropping-particle":"","parse-names":false,"suffix":""}],"id":"ITEM-1","issue":"2","issued":{"date-parts":[["2018"]]},"page":"1683-1705","publisher":"Environmental Science and Pollution Research","title":"RESEARCH ARTICLE A national assessment of the effect of intensive agro-land use practices on nonpoint source pollution using emission scenarios and geo-spatial data","type":"article-journal"},"uris":["http://www.mendeley.com/documents/?uuid=66b98e51-ac7c-4f77-a7cc-3fd0bc4c2192"]}],"mendeley":{"formattedCitation":"(Zhuo et al. 2018)","plainTextFormattedCitation":"(Zhuo et al. 2018)","previouslyFormattedCitation":"(Zhuo et al. 2018)"},"properties":{"noteIndex":0},"schema":"https://github.com/citation-style-language/schema/raw/master/csl-citation.json"}</w:instrText>
            </w:r>
            <w:r w:rsidR="00497CED">
              <w:rPr>
                <w:rFonts w:ascii="Garamond" w:eastAsia="Times New Roman" w:hAnsi="Garamond" w:cs="Calibri"/>
                <w:noProof/>
                <w:color w:val="000000"/>
                <w:sz w:val="16"/>
                <w:szCs w:val="16"/>
                <w:lang w:eastAsia="en-GB"/>
              </w:rPr>
              <w:fldChar w:fldCharType="separate"/>
            </w:r>
            <w:r w:rsidR="00497CED" w:rsidRPr="00497CED">
              <w:rPr>
                <w:rFonts w:ascii="Garamond" w:eastAsia="Times New Roman" w:hAnsi="Garamond" w:cs="Calibri"/>
                <w:noProof/>
                <w:color w:val="000000"/>
                <w:sz w:val="16"/>
                <w:szCs w:val="16"/>
                <w:lang w:eastAsia="en-GB"/>
              </w:rPr>
              <w:t>(Zhuo et al. 2018)</w:t>
            </w:r>
            <w:r w:rsidR="00497CED">
              <w:rPr>
                <w:rFonts w:ascii="Garamond" w:eastAsia="Times New Roman" w:hAnsi="Garamond" w:cs="Calibri"/>
                <w:noProof/>
                <w:color w:val="000000"/>
                <w:sz w:val="16"/>
                <w:szCs w:val="16"/>
                <w:lang w:eastAsia="en-GB"/>
              </w:rPr>
              <w:fldChar w:fldCharType="end"/>
            </w:r>
            <w:r w:rsidRPr="00E71630">
              <w:rPr>
                <w:rFonts w:ascii="Garamond" w:eastAsia="Times New Roman" w:hAnsi="Garamond" w:cs="Calibri"/>
                <w:noProof/>
                <w:color w:val="000000"/>
                <w:sz w:val="16"/>
                <w:szCs w:val="16"/>
                <w:lang w:eastAsia="en-GB"/>
              </w:rPr>
              <w:t xml:space="preserve"> 2018)</w:t>
            </w:r>
          </w:p>
        </w:tc>
        <w:tc>
          <w:tcPr>
            <w:tcW w:w="4232" w:type="dxa"/>
            <w:tcBorders>
              <w:top w:val="nil"/>
              <w:left w:val="nil"/>
              <w:bottom w:val="single" w:sz="8" w:space="0" w:color="auto"/>
              <w:right w:val="nil"/>
            </w:tcBorders>
            <w:shd w:val="clear" w:color="auto" w:fill="auto"/>
            <w:vAlign w:val="center"/>
            <w:hideMark/>
          </w:tcPr>
          <w:p w14:paraId="7D21B279" w14:textId="77777777" w:rsidR="00060AC2" w:rsidRPr="00E71630" w:rsidRDefault="00060AC2" w:rsidP="00E71630">
            <w:pPr>
              <w:spacing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958" w:type="dxa"/>
            <w:tcBorders>
              <w:top w:val="nil"/>
              <w:left w:val="nil"/>
              <w:bottom w:val="single" w:sz="8" w:space="0" w:color="auto"/>
              <w:right w:val="nil"/>
            </w:tcBorders>
            <w:shd w:val="clear" w:color="auto" w:fill="auto"/>
            <w:vAlign w:val="center"/>
            <w:hideMark/>
          </w:tcPr>
          <w:p w14:paraId="10C8B5D5"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1435" w:type="dxa"/>
            <w:tcBorders>
              <w:top w:val="nil"/>
              <w:left w:val="nil"/>
              <w:bottom w:val="single" w:sz="8" w:space="0" w:color="auto"/>
              <w:right w:val="nil"/>
            </w:tcBorders>
            <w:shd w:val="clear" w:color="auto" w:fill="auto"/>
            <w:vAlign w:val="center"/>
            <w:hideMark/>
          </w:tcPr>
          <w:p w14:paraId="7EF4792D"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eastAsia="en-GB"/>
              </w:rPr>
              <w:t>-</w:t>
            </w:r>
          </w:p>
        </w:tc>
        <w:tc>
          <w:tcPr>
            <w:tcW w:w="2554" w:type="dxa"/>
            <w:tcBorders>
              <w:top w:val="nil"/>
              <w:left w:val="nil"/>
              <w:bottom w:val="single" w:sz="8" w:space="0" w:color="auto"/>
              <w:right w:val="nil"/>
            </w:tcBorders>
            <w:shd w:val="clear" w:color="auto" w:fill="auto"/>
            <w:vAlign w:val="center"/>
            <w:hideMark/>
          </w:tcPr>
          <w:p w14:paraId="03D9BA86" w14:textId="77777777" w:rsidR="00060AC2" w:rsidRPr="00E71630" w:rsidRDefault="00060AC2" w:rsidP="00E71630">
            <w:pPr>
              <w:spacing w:after="0" w:line="240" w:lineRule="auto"/>
              <w:rPr>
                <w:rFonts w:ascii="Garamond" w:eastAsia="Times New Roman" w:hAnsi="Garamond" w:cs="Calibri"/>
                <w:color w:val="000000"/>
                <w:sz w:val="16"/>
                <w:szCs w:val="16"/>
                <w:lang w:eastAsia="en-GB"/>
              </w:rPr>
            </w:pPr>
            <w:r w:rsidRPr="00E71630">
              <w:rPr>
                <w:rFonts w:ascii="Garamond" w:eastAsia="Times New Roman" w:hAnsi="Garamond" w:cs="Calibri"/>
                <w:color w:val="000000"/>
                <w:sz w:val="16"/>
                <w:szCs w:val="16"/>
                <w:lang w:val="it-IT" w:eastAsia="en-GB"/>
              </w:rPr>
              <w:t>Yes</w:t>
            </w:r>
          </w:p>
        </w:tc>
      </w:tr>
    </w:tbl>
    <w:p w14:paraId="20FD1183" w14:textId="381DBB43" w:rsidR="00B71442" w:rsidRPr="00E71630" w:rsidRDefault="00060AC2" w:rsidP="00E71630">
      <w:pPr>
        <w:spacing w:line="240" w:lineRule="auto"/>
        <w:jc w:val="both"/>
        <w:rPr>
          <w:rFonts w:ascii="Garamond" w:eastAsia="Times New Roman" w:hAnsi="Garamond" w:cs="Calibri"/>
          <w:lang w:eastAsia="en-GB"/>
        </w:rPr>
      </w:pPr>
      <w:r>
        <w:rPr>
          <w:rFonts w:ascii="Garamond" w:hAnsi="Garamond"/>
        </w:rPr>
        <w:lastRenderedPageBreak/>
        <w:fldChar w:fldCharType="end"/>
      </w:r>
      <w:r w:rsidR="00B71442" w:rsidRPr="00E71630">
        <w:rPr>
          <w:rFonts w:ascii="Garamond" w:eastAsia="Times New Roman" w:hAnsi="Garamond" w:cs="Calibri"/>
          <w:b/>
          <w:bCs/>
          <w:lang w:eastAsia="en-GB"/>
        </w:rPr>
        <w:t>Figure SM</w:t>
      </w:r>
      <w:r w:rsidR="00E96319" w:rsidRPr="00E71630">
        <w:rPr>
          <w:rFonts w:ascii="Garamond" w:eastAsia="Times New Roman" w:hAnsi="Garamond" w:cs="Calibri"/>
          <w:b/>
          <w:bCs/>
          <w:lang w:eastAsia="en-GB"/>
        </w:rPr>
        <w:t>1</w:t>
      </w:r>
      <w:r w:rsidR="00B71442" w:rsidRPr="00E71630">
        <w:rPr>
          <w:rFonts w:ascii="Garamond" w:eastAsia="Times New Roman" w:hAnsi="Garamond" w:cs="Calibri"/>
          <w:lang w:eastAsia="en-GB"/>
        </w:rPr>
        <w:t>. Spatial distribution of the evaluated papers. The number of studies is given by the grayscale.</w:t>
      </w:r>
    </w:p>
    <w:p w14:paraId="35125B6E" w14:textId="77777777" w:rsidR="00471A0C" w:rsidRDefault="00471A0C" w:rsidP="00750A46">
      <w:pPr>
        <w:spacing w:line="360" w:lineRule="auto"/>
        <w:jc w:val="both"/>
        <w:rPr>
          <w:rFonts w:ascii="Garamond" w:hAnsi="Garamond"/>
          <w:b/>
          <w:bCs/>
          <w:highlight w:val="yellow"/>
        </w:rPr>
      </w:pPr>
    </w:p>
    <w:p w14:paraId="1C4A5837" w14:textId="77777777" w:rsidR="00B71442" w:rsidRDefault="00B71442" w:rsidP="00B71442">
      <w:pPr>
        <w:spacing w:after="0" w:line="360" w:lineRule="auto"/>
        <w:jc w:val="both"/>
        <w:rPr>
          <w:rFonts w:ascii="Open Sans" w:hAnsi="Open Sans" w:cs="Open Sans"/>
          <w:color w:val="003B43"/>
          <w:sz w:val="20"/>
          <w:szCs w:val="20"/>
        </w:rPr>
      </w:pPr>
    </w:p>
    <w:p w14:paraId="6B26F3DE" w14:textId="77777777" w:rsidR="00B71442" w:rsidRDefault="00B71442" w:rsidP="00B71442">
      <w:pPr>
        <w:spacing w:after="0" w:line="360" w:lineRule="auto"/>
        <w:jc w:val="center"/>
        <w:rPr>
          <w:rFonts w:ascii="Garamond" w:eastAsia="Times New Roman" w:hAnsi="Garamond" w:cs="Calibri"/>
          <w:lang w:eastAsia="en-GB"/>
        </w:rPr>
      </w:pPr>
      <w:r w:rsidRPr="00702D07">
        <w:rPr>
          <w:rFonts w:ascii="Garamond" w:eastAsia="Times New Roman" w:hAnsi="Garamond" w:cs="Calibri"/>
          <w:noProof/>
          <w:lang w:eastAsia="en-GB"/>
        </w:rPr>
        <w:drawing>
          <wp:inline distT="0" distB="0" distL="0" distR="0" wp14:anchorId="06349EF2" wp14:editId="349C4DDB">
            <wp:extent cx="4784798" cy="272796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7"/>
                    <a:stretch>
                      <a:fillRect/>
                    </a:stretch>
                  </pic:blipFill>
                  <pic:spPr>
                    <a:xfrm>
                      <a:off x="0" y="0"/>
                      <a:ext cx="4826698" cy="2751848"/>
                    </a:xfrm>
                    <a:prstGeom prst="rect">
                      <a:avLst/>
                    </a:prstGeom>
                  </pic:spPr>
                </pic:pic>
              </a:graphicData>
            </a:graphic>
          </wp:inline>
        </w:drawing>
      </w:r>
    </w:p>
    <w:p w14:paraId="48D7718E" w14:textId="6830D96F" w:rsidR="00B71442" w:rsidRDefault="00B71442" w:rsidP="00750A46">
      <w:pPr>
        <w:spacing w:line="360" w:lineRule="auto"/>
        <w:jc w:val="both"/>
        <w:rPr>
          <w:rFonts w:ascii="Garamond" w:hAnsi="Garamond"/>
          <w:b/>
          <w:bCs/>
          <w:highlight w:val="yellow"/>
        </w:rPr>
        <w:sectPr w:rsidR="00B71442" w:rsidSect="000F7A7A">
          <w:pgSz w:w="16838" w:h="11906" w:orient="landscape"/>
          <w:pgMar w:top="1440" w:right="1440" w:bottom="1440" w:left="1440" w:header="709" w:footer="709" w:gutter="0"/>
          <w:cols w:space="708"/>
          <w:docGrid w:linePitch="360"/>
        </w:sectPr>
      </w:pPr>
    </w:p>
    <w:p w14:paraId="3BD549C8" w14:textId="77777777" w:rsidR="00344FB7" w:rsidRDefault="00344FB7" w:rsidP="00344FB7">
      <w:pPr>
        <w:spacing w:after="0" w:line="480" w:lineRule="auto"/>
        <w:jc w:val="both"/>
        <w:rPr>
          <w:rFonts w:ascii="Garamond" w:eastAsia="Times New Roman" w:hAnsi="Garamond" w:cs="Calibri"/>
          <w:b/>
          <w:bCs/>
          <w:color w:val="000000"/>
          <w:lang w:eastAsia="en-GB"/>
        </w:rPr>
      </w:pPr>
      <w:r>
        <w:rPr>
          <w:rFonts w:ascii="Garamond" w:eastAsia="Times New Roman" w:hAnsi="Garamond" w:cs="Calibri"/>
          <w:b/>
          <w:bCs/>
          <w:color w:val="000000"/>
          <w:lang w:eastAsia="en-GB"/>
        </w:rPr>
        <w:lastRenderedPageBreak/>
        <w:t>Acknowledgments</w:t>
      </w:r>
    </w:p>
    <w:p w14:paraId="386745F3" w14:textId="77777777" w:rsidR="00DB023D" w:rsidRDefault="00DB023D" w:rsidP="00DB023D">
      <w:pPr>
        <w:spacing w:after="0" w:line="480" w:lineRule="auto"/>
        <w:jc w:val="both"/>
        <w:rPr>
          <w:rFonts w:ascii="Garamond" w:eastAsia="Times New Roman" w:hAnsi="Garamond" w:cs="Calibri"/>
          <w:color w:val="000000"/>
          <w:lang w:eastAsia="en-GB"/>
        </w:rPr>
      </w:pPr>
      <w:r w:rsidRPr="00EF2D80">
        <w:rPr>
          <w:rFonts w:ascii="Garamond" w:eastAsia="Times New Roman" w:hAnsi="Garamond" w:cs="Calibri"/>
          <w:color w:val="000000"/>
          <w:lang w:eastAsia="en-GB"/>
        </w:rPr>
        <w:t>This study was performed within the framework of the D</w:t>
      </w:r>
      <w:r>
        <w:rPr>
          <w:rFonts w:ascii="Garamond" w:eastAsia="Times New Roman" w:hAnsi="Garamond" w:cs="Calibri"/>
          <w:color w:val="000000"/>
          <w:lang w:eastAsia="en-GB"/>
        </w:rPr>
        <w:t>-</w:t>
      </w:r>
      <w:r w:rsidRPr="00EF2D80">
        <w:rPr>
          <w:rFonts w:ascii="Garamond" w:eastAsia="Times New Roman" w:hAnsi="Garamond" w:cs="Calibri"/>
          <w:color w:val="000000"/>
          <w:lang w:eastAsia="en-GB"/>
        </w:rPr>
        <w:t>DUST project (</w:t>
      </w:r>
      <w:r w:rsidRPr="00EF2D80">
        <w:rPr>
          <w:rFonts w:ascii="Garamond" w:eastAsia="Times New Roman" w:hAnsi="Garamond" w:cs="Calibri"/>
          <w:i/>
          <w:iCs/>
          <w:color w:val="000000"/>
          <w:lang w:eastAsia="en-GB"/>
        </w:rPr>
        <w:t>Data-driven moDelling of particUlate with Satellite Technology aid</w:t>
      </w:r>
      <w:r w:rsidRPr="00EF2D80">
        <w:rPr>
          <w:rFonts w:ascii="Garamond" w:eastAsia="Times New Roman" w:hAnsi="Garamond" w:cs="Calibri"/>
          <w:color w:val="000000"/>
          <w:lang w:eastAsia="en-GB"/>
        </w:rPr>
        <w:t>)</w:t>
      </w:r>
      <w:r>
        <w:rPr>
          <w:rFonts w:ascii="Garamond" w:eastAsia="Times New Roman" w:hAnsi="Garamond" w:cs="Calibri"/>
          <w:color w:val="000000"/>
          <w:lang w:eastAsia="en-GB"/>
        </w:rPr>
        <w:t>.</w:t>
      </w:r>
      <w:r w:rsidRPr="00DA176F">
        <w:rPr>
          <w:rFonts w:ascii="Garamond" w:eastAsia="Times New Roman" w:hAnsi="Garamond" w:cs="Calibri"/>
          <w:color w:val="000000"/>
          <w:lang w:eastAsia="en-GB"/>
        </w:rPr>
        <w:t xml:space="preserve"> </w:t>
      </w:r>
    </w:p>
    <w:p w14:paraId="6CF341EF" w14:textId="77777777" w:rsidR="00DB023D" w:rsidRDefault="00DB023D" w:rsidP="00DB023D">
      <w:pPr>
        <w:spacing w:after="0" w:line="480" w:lineRule="auto"/>
        <w:jc w:val="both"/>
        <w:rPr>
          <w:rFonts w:ascii="Garamond" w:eastAsia="Times New Roman" w:hAnsi="Garamond" w:cs="Calibri"/>
          <w:color w:val="000000"/>
          <w:lang w:eastAsia="en-GB"/>
        </w:rPr>
      </w:pPr>
      <w:r w:rsidRPr="00DA176F">
        <w:rPr>
          <w:rFonts w:ascii="Garamond" w:eastAsia="Times New Roman" w:hAnsi="Garamond" w:cs="Calibri"/>
          <w:color w:val="000000"/>
          <w:lang w:eastAsia="en-GB"/>
        </w:rPr>
        <w:t xml:space="preserve">This work has been supported by Fondazione Cariplo, grant n° </w:t>
      </w:r>
      <w:r w:rsidRPr="00EF2D80">
        <w:rPr>
          <w:rFonts w:ascii="Garamond" w:eastAsia="Times New Roman" w:hAnsi="Garamond" w:cs="Calibri"/>
          <w:color w:val="000000"/>
          <w:lang w:eastAsia="en-GB"/>
        </w:rPr>
        <w:t>2020-4022</w:t>
      </w:r>
      <w:r>
        <w:rPr>
          <w:rFonts w:ascii="Garamond" w:eastAsia="Times New Roman" w:hAnsi="Garamond" w:cs="Calibri"/>
          <w:color w:val="000000"/>
          <w:lang w:eastAsia="en-GB"/>
        </w:rPr>
        <w:t>.</w:t>
      </w:r>
    </w:p>
    <w:p w14:paraId="49490529" w14:textId="77777777" w:rsidR="00344FB7" w:rsidRDefault="00344FB7" w:rsidP="00344FB7">
      <w:pPr>
        <w:widowControl w:val="0"/>
        <w:autoSpaceDE w:val="0"/>
        <w:autoSpaceDN w:val="0"/>
        <w:adjustRightInd w:val="0"/>
        <w:spacing w:line="360" w:lineRule="auto"/>
        <w:rPr>
          <w:rFonts w:ascii="Garamond" w:hAnsi="Garamond"/>
          <w:b/>
          <w:bCs/>
        </w:rPr>
      </w:pPr>
    </w:p>
    <w:p w14:paraId="6786213C" w14:textId="5B7F9A23" w:rsidR="00D54E35" w:rsidRDefault="00D54E35" w:rsidP="00EB4804">
      <w:pPr>
        <w:widowControl w:val="0"/>
        <w:autoSpaceDE w:val="0"/>
        <w:autoSpaceDN w:val="0"/>
        <w:adjustRightInd w:val="0"/>
        <w:spacing w:line="360" w:lineRule="auto"/>
        <w:ind w:left="480" w:hanging="480"/>
        <w:rPr>
          <w:rFonts w:ascii="Garamond" w:hAnsi="Garamond"/>
          <w:b/>
          <w:bCs/>
        </w:rPr>
      </w:pPr>
      <w:r>
        <w:rPr>
          <w:rFonts w:ascii="Garamond" w:hAnsi="Garamond"/>
          <w:b/>
          <w:bCs/>
        </w:rPr>
        <w:t>References</w:t>
      </w:r>
    </w:p>
    <w:p w14:paraId="38308A47" w14:textId="147BAB19" w:rsidR="00A84515" w:rsidRPr="00A84515" w:rsidRDefault="0090574A" w:rsidP="00A84515">
      <w:pPr>
        <w:widowControl w:val="0"/>
        <w:autoSpaceDE w:val="0"/>
        <w:autoSpaceDN w:val="0"/>
        <w:adjustRightInd w:val="0"/>
        <w:spacing w:line="360" w:lineRule="auto"/>
        <w:ind w:left="480" w:hanging="480"/>
        <w:rPr>
          <w:rFonts w:ascii="Garamond" w:hAnsi="Garamond" w:cs="Times New Roman"/>
          <w:noProof/>
          <w:szCs w:val="24"/>
        </w:rPr>
      </w:pPr>
      <w:r>
        <w:rPr>
          <w:rFonts w:ascii="Garamond" w:hAnsi="Garamond"/>
          <w:b/>
          <w:bCs/>
        </w:rPr>
        <w:fldChar w:fldCharType="begin" w:fldLock="1"/>
      </w:r>
      <w:r>
        <w:rPr>
          <w:rFonts w:ascii="Garamond" w:hAnsi="Garamond"/>
          <w:b/>
          <w:bCs/>
        </w:rPr>
        <w:instrText xml:space="preserve">ADDIN Mendeley Bibliography CSL_BIBLIOGRAPHY </w:instrText>
      </w:r>
      <w:r>
        <w:rPr>
          <w:rFonts w:ascii="Garamond" w:hAnsi="Garamond"/>
          <w:b/>
          <w:bCs/>
        </w:rPr>
        <w:fldChar w:fldCharType="separate"/>
      </w:r>
      <w:r w:rsidR="00A84515" w:rsidRPr="00A84515">
        <w:rPr>
          <w:rFonts w:ascii="Garamond" w:hAnsi="Garamond" w:cs="Times New Roman"/>
          <w:noProof/>
          <w:szCs w:val="24"/>
        </w:rPr>
        <w:t xml:space="preserve">Ali-Sak, Z. H., Kurtuluş, Ş., Ocaklı, B., Töreyin, Z. N., Bayhan, İ., Yeşilnacar, M. İ., et al. (2021). The relationship between particulate matter and childhood respiratory complaints  and peak expiratory flows in Harran agricultural area. </w:t>
      </w:r>
      <w:r w:rsidR="00A84515" w:rsidRPr="00A84515">
        <w:rPr>
          <w:rFonts w:ascii="Garamond" w:hAnsi="Garamond" w:cs="Times New Roman"/>
          <w:i/>
          <w:iCs/>
          <w:noProof/>
          <w:szCs w:val="24"/>
        </w:rPr>
        <w:t>The Turkish journal of pediatrics</w:t>
      </w:r>
      <w:r w:rsidR="00A84515" w:rsidRPr="00A84515">
        <w:rPr>
          <w:rFonts w:ascii="Garamond" w:hAnsi="Garamond" w:cs="Times New Roman"/>
          <w:noProof/>
          <w:szCs w:val="24"/>
        </w:rPr>
        <w:t xml:space="preserve">, </w:t>
      </w:r>
      <w:r w:rsidR="00A84515" w:rsidRPr="00A84515">
        <w:rPr>
          <w:rFonts w:ascii="Garamond" w:hAnsi="Garamond" w:cs="Times New Roman"/>
          <w:i/>
          <w:iCs/>
          <w:noProof/>
          <w:szCs w:val="24"/>
        </w:rPr>
        <w:t>63</w:t>
      </w:r>
      <w:r w:rsidR="00A84515" w:rsidRPr="00A84515">
        <w:rPr>
          <w:rFonts w:ascii="Garamond" w:hAnsi="Garamond" w:cs="Times New Roman"/>
          <w:noProof/>
          <w:szCs w:val="24"/>
        </w:rPr>
        <w:t>(2), 263–272. https://doi.org/10.24953/turkjped.2021.02.010</w:t>
      </w:r>
    </w:p>
    <w:p w14:paraId="39359777"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Barnig, C., Reboux, G., Roussel, S., Casset, A., Sohy, C., Dalphin, J., &amp; Blay, F. De. (2012). Indoor dust and air concentrations of endotoxin in urban and rural environments, 161–167. https://doi.org/10.1111/lam.12024</w:t>
      </w:r>
    </w:p>
    <w:p w14:paraId="5800899E"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Blanes-vidal, V., Nadimi, E. S., Ellermann, T., Andersen, H. V, &amp; Løfstrøm, P. (2012). Perceived annoyance from environmental odors and association with atmospheric ammonia levels in non-urban residential communities</w:t>
      </w:r>
      <w:r w:rsidRPr="00A84515">
        <w:rPr>
          <w:rFonts w:ascii="Times New Roman" w:hAnsi="Times New Roman" w:cs="Times New Roman"/>
          <w:noProof/>
          <w:szCs w:val="24"/>
        </w:rPr>
        <w:t> </w:t>
      </w:r>
      <w:r w:rsidRPr="00A84515">
        <w:rPr>
          <w:rFonts w:ascii="Garamond" w:hAnsi="Garamond" w:cs="Times New Roman"/>
          <w:noProof/>
          <w:szCs w:val="24"/>
        </w:rPr>
        <w:t>: a cross-sectional study, 1–10.</w:t>
      </w:r>
    </w:p>
    <w:p w14:paraId="27AC66FD"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 xml:space="preserve">Buczaj, A., Brzana, W., Tarasińska, J., Buczaj, M., &amp; Choina, P. (2014). Study on the concentration of airbone respirable asbestos fibres in rural areas of the Lublin region in south-east Poland, </w:t>
      </w:r>
      <w:r w:rsidRPr="00A84515">
        <w:rPr>
          <w:rFonts w:ascii="Garamond" w:hAnsi="Garamond" w:cs="Times New Roman"/>
          <w:i/>
          <w:iCs/>
          <w:noProof/>
          <w:szCs w:val="24"/>
        </w:rPr>
        <w:t>21</w:t>
      </w:r>
      <w:r w:rsidRPr="00A84515">
        <w:rPr>
          <w:rFonts w:ascii="Garamond" w:hAnsi="Garamond" w:cs="Times New Roman"/>
          <w:noProof/>
          <w:szCs w:val="24"/>
        </w:rPr>
        <w:t>(3), 639–643. https://doi.org/10.5604/12321966.1120617</w:t>
      </w:r>
    </w:p>
    <w:p w14:paraId="1BF7C3AA"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 xml:space="preserve">Campos-Ramos, A., &amp; Arago, A. (2009). Characterization of atmospheric aerosols by SEM in a rural area in the western ´ xico and its relation with different pollution sources part of Me, </w:t>
      </w:r>
      <w:r w:rsidRPr="00A84515">
        <w:rPr>
          <w:rFonts w:ascii="Garamond" w:hAnsi="Garamond" w:cs="Times New Roman"/>
          <w:i/>
          <w:iCs/>
          <w:noProof/>
          <w:szCs w:val="24"/>
        </w:rPr>
        <w:t>43</w:t>
      </w:r>
      <w:r w:rsidRPr="00A84515">
        <w:rPr>
          <w:rFonts w:ascii="Garamond" w:hAnsi="Garamond" w:cs="Times New Roman"/>
          <w:noProof/>
          <w:szCs w:val="24"/>
        </w:rPr>
        <w:t>, 6159–6167. https://doi.org/10.1016/j.atmosenv.2009.09.004</w:t>
      </w:r>
    </w:p>
    <w:p w14:paraId="0B1A1CBD"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 xml:space="preserve">de Assuncao, J. V, Pesquero, C. R., Nardocci, A. C., Francisco, A. P., Soares, N. S., &amp; Ribeiro, H. (2014). Airborne polycyclic aromatic hydrocarbons in a medium-sized city affected by preharvest sugarcane burning and inhalation risk for human health. </w:t>
      </w:r>
      <w:r w:rsidRPr="00A84515">
        <w:rPr>
          <w:rFonts w:ascii="Garamond" w:hAnsi="Garamond" w:cs="Times New Roman"/>
          <w:i/>
          <w:iCs/>
          <w:noProof/>
          <w:szCs w:val="24"/>
        </w:rPr>
        <w:t>Journal of the Air &amp; Waste Management Association</w:t>
      </w:r>
      <w:r w:rsidRPr="00A84515">
        <w:rPr>
          <w:rFonts w:ascii="Garamond" w:hAnsi="Garamond" w:cs="Times New Roman"/>
          <w:noProof/>
          <w:szCs w:val="24"/>
        </w:rPr>
        <w:t xml:space="preserve">, </w:t>
      </w:r>
      <w:r w:rsidRPr="00A84515">
        <w:rPr>
          <w:rFonts w:ascii="Garamond" w:hAnsi="Garamond" w:cs="Times New Roman"/>
          <w:i/>
          <w:iCs/>
          <w:noProof/>
          <w:szCs w:val="24"/>
        </w:rPr>
        <w:t>64</w:t>
      </w:r>
      <w:r w:rsidRPr="00A84515">
        <w:rPr>
          <w:rFonts w:ascii="Garamond" w:hAnsi="Garamond" w:cs="Times New Roman"/>
          <w:noProof/>
          <w:szCs w:val="24"/>
        </w:rPr>
        <w:t>(10), 1130–1139. https://doi.org/10.1080/10962247.2014.928242</w:t>
      </w:r>
    </w:p>
    <w:p w14:paraId="03CD392F"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Green, F. H. Y., Yoshida, K., Fick, G., Paul, J., Hugh, A., &amp; Green, W. F. (1990). Oeupatinfa l Environmental Health Characterization of airborne mineral dusts associated with farming activities in rural Alberta , Canada, (Mumpton 1978), 423–430.</w:t>
      </w:r>
    </w:p>
    <w:p w14:paraId="73176E3A"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Jimenez, J., Wu, C., Claiborn, C., Gould, T., Simpson, C. D., Larson, T., &amp; Liu, L. S. (2006). Agricultural burning smoke in eastern Washington — part I</w:t>
      </w:r>
      <w:r w:rsidRPr="00A84515">
        <w:rPr>
          <w:rFonts w:ascii="Times New Roman" w:hAnsi="Times New Roman" w:cs="Times New Roman"/>
          <w:noProof/>
          <w:szCs w:val="24"/>
        </w:rPr>
        <w:t> </w:t>
      </w:r>
      <w:r w:rsidRPr="00A84515">
        <w:rPr>
          <w:rFonts w:ascii="Garamond" w:hAnsi="Garamond" w:cs="Times New Roman"/>
          <w:noProof/>
          <w:szCs w:val="24"/>
        </w:rPr>
        <w:t xml:space="preserve">: Atmospheric characterization, </w:t>
      </w:r>
      <w:r w:rsidRPr="00A84515">
        <w:rPr>
          <w:rFonts w:ascii="Garamond" w:hAnsi="Garamond" w:cs="Times New Roman"/>
          <w:i/>
          <w:iCs/>
          <w:noProof/>
          <w:szCs w:val="24"/>
        </w:rPr>
        <w:t>40</w:t>
      </w:r>
      <w:r w:rsidRPr="00A84515">
        <w:rPr>
          <w:rFonts w:ascii="Garamond" w:hAnsi="Garamond" w:cs="Times New Roman"/>
          <w:noProof/>
          <w:szCs w:val="24"/>
        </w:rPr>
        <w:t>, 639–650. https://doi.org/10.1016/j.atmosenv.2005.09.071</w:t>
      </w:r>
    </w:p>
    <w:p w14:paraId="64ECA313"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lastRenderedPageBreak/>
        <w:t xml:space="preserve">Le Blond, J. S., Woskie, S., Horwell, C. J., &amp; Williamson, B. J. (2017). Particulate matter produced during commercial sugarcane harvesting and processing: A respiratory health hazard? </w:t>
      </w:r>
      <w:r w:rsidRPr="00A84515">
        <w:rPr>
          <w:rFonts w:ascii="Garamond" w:hAnsi="Garamond" w:cs="Times New Roman"/>
          <w:i/>
          <w:iCs/>
          <w:noProof/>
          <w:szCs w:val="24"/>
        </w:rPr>
        <w:t>Atmospheric Environment</w:t>
      </w:r>
      <w:r w:rsidRPr="00A84515">
        <w:rPr>
          <w:rFonts w:ascii="Garamond" w:hAnsi="Garamond" w:cs="Times New Roman"/>
          <w:noProof/>
          <w:szCs w:val="24"/>
        </w:rPr>
        <w:t xml:space="preserve">, </w:t>
      </w:r>
      <w:r w:rsidRPr="00A84515">
        <w:rPr>
          <w:rFonts w:ascii="Garamond" w:hAnsi="Garamond" w:cs="Times New Roman"/>
          <w:i/>
          <w:iCs/>
          <w:noProof/>
          <w:szCs w:val="24"/>
        </w:rPr>
        <w:t>149</w:t>
      </w:r>
      <w:r w:rsidRPr="00A84515">
        <w:rPr>
          <w:rFonts w:ascii="Garamond" w:hAnsi="Garamond" w:cs="Times New Roman"/>
          <w:noProof/>
          <w:szCs w:val="24"/>
        </w:rPr>
        <w:t>, 34–46. https://doi.org/https://doi.org/10.1016/j.atmosenv.2016.11.012</w:t>
      </w:r>
    </w:p>
    <w:p w14:paraId="6539016B"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 xml:space="preserve">Loftus, C., Yost, M., Sampson, P., Torres, E., Arias, G., Vasquez, V. B., et al. (2016). HHS Public Access, </w:t>
      </w:r>
      <w:r w:rsidRPr="00A84515">
        <w:rPr>
          <w:rFonts w:ascii="Garamond" w:hAnsi="Garamond" w:cs="Times New Roman"/>
          <w:i/>
          <w:iCs/>
          <w:noProof/>
          <w:szCs w:val="24"/>
        </w:rPr>
        <w:t>i</w:t>
      </w:r>
      <w:r w:rsidRPr="00A84515">
        <w:rPr>
          <w:rFonts w:ascii="Garamond" w:hAnsi="Garamond" w:cs="Times New Roman"/>
          <w:noProof/>
          <w:szCs w:val="24"/>
        </w:rPr>
        <w:t>(6), 794–801. https://doi.org/10.1097/EDE.0000000000000368.Ambient</w:t>
      </w:r>
    </w:p>
    <w:p w14:paraId="56F846D4"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 xml:space="preserve">Maesano, C. N., Caillaud, D., Youssouf, H., Banerjee, S., Homme, J. P., Audi, C., et al. (2019). Indoor exposure to particulate matter and volatile organic compounds in dwellings and workplaces and respiratory health in French farmers, </w:t>
      </w:r>
      <w:r w:rsidRPr="00A84515">
        <w:rPr>
          <w:rFonts w:ascii="Garamond" w:hAnsi="Garamond" w:cs="Times New Roman"/>
          <w:i/>
          <w:iCs/>
          <w:noProof/>
          <w:szCs w:val="24"/>
        </w:rPr>
        <w:t>3</w:t>
      </w:r>
      <w:r w:rsidRPr="00A84515">
        <w:rPr>
          <w:rFonts w:ascii="Garamond" w:hAnsi="Garamond" w:cs="Times New Roman"/>
          <w:noProof/>
          <w:szCs w:val="24"/>
        </w:rPr>
        <w:t>, 1–12.</w:t>
      </w:r>
    </w:p>
    <w:p w14:paraId="0DC20E82"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 xml:space="preserve">Maw, S. J., Johnson, C. L., Lewis, A. C., &amp; McQuaid, J. B. (2002). A note on the emission of nitrogen oxides from silage in opened bunker silos. </w:t>
      </w:r>
      <w:r w:rsidRPr="00A84515">
        <w:rPr>
          <w:rFonts w:ascii="Garamond" w:hAnsi="Garamond" w:cs="Times New Roman"/>
          <w:i/>
          <w:iCs/>
          <w:noProof/>
          <w:szCs w:val="24"/>
        </w:rPr>
        <w:t>Environmental monitoring and assessment</w:t>
      </w:r>
      <w:r w:rsidRPr="00A84515">
        <w:rPr>
          <w:rFonts w:ascii="Garamond" w:hAnsi="Garamond" w:cs="Times New Roman"/>
          <w:noProof/>
          <w:szCs w:val="24"/>
        </w:rPr>
        <w:t xml:space="preserve">, </w:t>
      </w:r>
      <w:r w:rsidRPr="00A84515">
        <w:rPr>
          <w:rFonts w:ascii="Garamond" w:hAnsi="Garamond" w:cs="Times New Roman"/>
          <w:i/>
          <w:iCs/>
          <w:noProof/>
          <w:szCs w:val="24"/>
        </w:rPr>
        <w:t>74</w:t>
      </w:r>
      <w:r w:rsidRPr="00A84515">
        <w:rPr>
          <w:rFonts w:ascii="Garamond" w:hAnsi="Garamond" w:cs="Times New Roman"/>
          <w:noProof/>
          <w:szCs w:val="24"/>
        </w:rPr>
        <w:t>(3), 209–215. https://doi.org/10.1023/a:1014227504369</w:t>
      </w:r>
    </w:p>
    <w:p w14:paraId="68B33C62"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Pavilonis, B. T., Anthony, T. R., Shaughnessy, P. T. O., Humann, M. J., Merchant, J. A., Moore, G., et al. (2013). Indoor and outdoor particulate matter and endotoxin concentrations in an intensely agricultural county, (January), 299–305. https://doi.org/10.1038/jes.2012.123</w:t>
      </w:r>
    </w:p>
    <w:p w14:paraId="3F206D6B"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Ramli, N. A., Faizah, N., Yusof, F., Zarkasi, K. Z., &amp; Suroto, A. (2021). Chemical , Biological and Morphological Properties of Fine Particles during Local Rice Straw Burning Activities.</w:t>
      </w:r>
    </w:p>
    <w:p w14:paraId="5A127856"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 xml:space="preserve">Reinhardt, T. E., Ottmar, R. D., Castilla, C., Reinhardt, T. E., Ottmar, R. D., Smoke, C. C., et al. (2011). Smoke Impacts from Agricultural Burning in a Rural Brazilian Town Smoke Impacts from Agricultural Burning in a Rural Brazilian Town, </w:t>
      </w:r>
      <w:r w:rsidRPr="00A84515">
        <w:rPr>
          <w:rFonts w:ascii="Garamond" w:hAnsi="Garamond" w:cs="Times New Roman"/>
          <w:i/>
          <w:iCs/>
          <w:noProof/>
          <w:szCs w:val="24"/>
        </w:rPr>
        <w:t>2247</w:t>
      </w:r>
      <w:r w:rsidRPr="00A84515">
        <w:rPr>
          <w:rFonts w:ascii="Garamond" w:hAnsi="Garamond" w:cs="Times New Roman"/>
          <w:noProof/>
          <w:szCs w:val="24"/>
        </w:rPr>
        <w:t>. https://doi.org/10.1080/10473289.2001.10464280</w:t>
      </w:r>
    </w:p>
    <w:p w14:paraId="119F6C9D"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 xml:space="preserve">Ryu, S. Y., Kwon, B. G., Kim, Y. J., Kim, H. H., &amp; Chun, K. J. (2007). Characteristics of biomass burning aerosol and its impact on regional air quality in the summer of 2003 at Gwangju , Korea, </w:t>
      </w:r>
      <w:r w:rsidRPr="00A84515">
        <w:rPr>
          <w:rFonts w:ascii="Garamond" w:hAnsi="Garamond" w:cs="Times New Roman"/>
          <w:i/>
          <w:iCs/>
          <w:noProof/>
          <w:szCs w:val="24"/>
        </w:rPr>
        <w:t>84</w:t>
      </w:r>
      <w:r w:rsidRPr="00A84515">
        <w:rPr>
          <w:rFonts w:ascii="Garamond" w:hAnsi="Garamond" w:cs="Times New Roman"/>
          <w:noProof/>
          <w:szCs w:val="24"/>
        </w:rPr>
        <w:t>, 362–373. https://doi.org/10.1016/j.atmosres.2006.09.007</w:t>
      </w:r>
    </w:p>
    <w:p w14:paraId="2C166FB2"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 xml:space="preserve">Sevimoglu, O., &amp; Rogge, W. F. (2016). Particuology Seasonal size-segregated PM 10 and PAH concentrations in a rural area of sugarcane agriculture versus a coastal urban area in Southeastern. </w:t>
      </w:r>
      <w:r w:rsidRPr="00A84515">
        <w:rPr>
          <w:rFonts w:ascii="Garamond" w:hAnsi="Garamond" w:cs="Times New Roman"/>
          <w:i/>
          <w:iCs/>
          <w:noProof/>
          <w:szCs w:val="24"/>
        </w:rPr>
        <w:t>Particuology</w:t>
      </w:r>
      <w:r w:rsidRPr="00A84515">
        <w:rPr>
          <w:rFonts w:ascii="Garamond" w:hAnsi="Garamond" w:cs="Times New Roman"/>
          <w:noProof/>
          <w:szCs w:val="24"/>
        </w:rPr>
        <w:t xml:space="preserve">, </w:t>
      </w:r>
      <w:r w:rsidRPr="00A84515">
        <w:rPr>
          <w:rFonts w:ascii="Garamond" w:hAnsi="Garamond" w:cs="Times New Roman"/>
          <w:i/>
          <w:iCs/>
          <w:noProof/>
          <w:szCs w:val="24"/>
        </w:rPr>
        <w:t>28</w:t>
      </w:r>
      <w:r w:rsidRPr="00A84515">
        <w:rPr>
          <w:rFonts w:ascii="Garamond" w:hAnsi="Garamond" w:cs="Times New Roman"/>
          <w:noProof/>
          <w:szCs w:val="24"/>
        </w:rPr>
        <w:t>, 52–59. https://doi.org/10.1016/j.partic.2015.09.013</w:t>
      </w:r>
    </w:p>
    <w:p w14:paraId="73C7BD07"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 xml:space="preserve">Swanepoel, A. J., Kromhout, H., Portengen, T., Renton, K., Jinnah, Z. A., Gardiner, K., &amp; Rees, D. (2011). Respirable Dust and Quartz Exposure from Three South African Farms with Sandy , Sandy Loam , and Clay Soils, </w:t>
      </w:r>
      <w:r w:rsidRPr="00A84515">
        <w:rPr>
          <w:rFonts w:ascii="Garamond" w:hAnsi="Garamond" w:cs="Times New Roman"/>
          <w:i/>
          <w:iCs/>
          <w:noProof/>
          <w:szCs w:val="24"/>
        </w:rPr>
        <w:t>55</w:t>
      </w:r>
      <w:r w:rsidRPr="00A84515">
        <w:rPr>
          <w:rFonts w:ascii="Garamond" w:hAnsi="Garamond" w:cs="Times New Roman"/>
          <w:noProof/>
          <w:szCs w:val="24"/>
        </w:rPr>
        <w:t>(6), 634–643. https://doi.org/10.1093/annhyg/mer025</w:t>
      </w:r>
    </w:p>
    <w:p w14:paraId="50ABACAE"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 xml:space="preserve">Wei, M., Xu, C., Xu, X., Zhu, C., Li, J., &amp; Lv, G. (2019). Science of the Total Environment Characteristics of atmospheric bacterial and fungal communities in PM 2 . 5 following biomass burning disturbance in a rural area of North China Plain. </w:t>
      </w:r>
      <w:r w:rsidRPr="00A84515">
        <w:rPr>
          <w:rFonts w:ascii="Garamond" w:hAnsi="Garamond" w:cs="Times New Roman"/>
          <w:i/>
          <w:iCs/>
          <w:noProof/>
          <w:szCs w:val="24"/>
        </w:rPr>
        <w:t>Science of the Total Environment</w:t>
      </w:r>
      <w:r w:rsidRPr="00A84515">
        <w:rPr>
          <w:rFonts w:ascii="Garamond" w:hAnsi="Garamond" w:cs="Times New Roman"/>
          <w:noProof/>
          <w:szCs w:val="24"/>
        </w:rPr>
        <w:t xml:space="preserve">, </w:t>
      </w:r>
      <w:r w:rsidRPr="00A84515">
        <w:rPr>
          <w:rFonts w:ascii="Garamond" w:hAnsi="Garamond" w:cs="Times New Roman"/>
          <w:i/>
          <w:iCs/>
          <w:noProof/>
          <w:szCs w:val="24"/>
        </w:rPr>
        <w:t>651</w:t>
      </w:r>
      <w:r w:rsidRPr="00A84515">
        <w:rPr>
          <w:rFonts w:ascii="Garamond" w:hAnsi="Garamond" w:cs="Times New Roman"/>
          <w:noProof/>
          <w:szCs w:val="24"/>
        </w:rPr>
        <w:t>, 2727–2739. https://doi.org/10.1016/j.scitotenv.2018.09.399</w:t>
      </w:r>
    </w:p>
    <w:p w14:paraId="650C61DB"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lastRenderedPageBreak/>
        <w:t xml:space="preserve">Xing, X., Chen, Z., Tian, Q., Mao, Y., Liu, W., &amp; Shi, M. (2020). Ecotoxicology and Environmental Safety Characterization and source identi fi cation of PM 2 . 5 -bound polycyclic aromatic hydrocarbons in urban , suburban , and rural ambient air , central China during summer harvest. </w:t>
      </w:r>
      <w:r w:rsidRPr="00A84515">
        <w:rPr>
          <w:rFonts w:ascii="Garamond" w:hAnsi="Garamond" w:cs="Times New Roman"/>
          <w:i/>
          <w:iCs/>
          <w:noProof/>
          <w:szCs w:val="24"/>
        </w:rPr>
        <w:t>Ecotoxicology and Environmental Safety</w:t>
      </w:r>
      <w:r w:rsidRPr="00A84515">
        <w:rPr>
          <w:rFonts w:ascii="Garamond" w:hAnsi="Garamond" w:cs="Times New Roman"/>
          <w:noProof/>
          <w:szCs w:val="24"/>
        </w:rPr>
        <w:t xml:space="preserve">, </w:t>
      </w:r>
      <w:r w:rsidRPr="00A84515">
        <w:rPr>
          <w:rFonts w:ascii="Garamond" w:hAnsi="Garamond" w:cs="Times New Roman"/>
          <w:i/>
          <w:iCs/>
          <w:noProof/>
          <w:szCs w:val="24"/>
        </w:rPr>
        <w:t>191</w:t>
      </w:r>
      <w:r w:rsidRPr="00A84515">
        <w:rPr>
          <w:rFonts w:ascii="Garamond" w:hAnsi="Garamond" w:cs="Times New Roman"/>
          <w:noProof/>
          <w:szCs w:val="24"/>
        </w:rPr>
        <w:t>(October 2019), 110219. https://doi.org/10.1016/j.ecoenv.2020.110219</w:t>
      </w:r>
    </w:p>
    <w:p w14:paraId="2712F5D0"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You, X. I., Senthilselvan, A., Cherry, N. M., &amp; Kim, H. (2008). Determinants of airborne concentrations of volatile organic compounds in rural areas of Western Canada Determinants of airborne concentrations of volatile organic compounds in rural areas of Western Canada, (November 2016). https://doi.org/10.1038/sj.jes.7500556</w:t>
      </w:r>
    </w:p>
    <w:p w14:paraId="1D6CEB94" w14:textId="77777777" w:rsidR="00A84515" w:rsidRPr="00A84515" w:rsidRDefault="00A84515" w:rsidP="00A84515">
      <w:pPr>
        <w:widowControl w:val="0"/>
        <w:autoSpaceDE w:val="0"/>
        <w:autoSpaceDN w:val="0"/>
        <w:adjustRightInd w:val="0"/>
        <w:spacing w:line="360" w:lineRule="auto"/>
        <w:ind w:left="480" w:hanging="480"/>
        <w:rPr>
          <w:rFonts w:ascii="Garamond" w:hAnsi="Garamond" w:cs="Times New Roman"/>
          <w:noProof/>
          <w:szCs w:val="24"/>
        </w:rPr>
      </w:pPr>
      <w:r w:rsidRPr="00A84515">
        <w:rPr>
          <w:rFonts w:ascii="Garamond" w:hAnsi="Garamond" w:cs="Times New Roman"/>
          <w:noProof/>
          <w:szCs w:val="24"/>
        </w:rPr>
        <w:t xml:space="preserve">Zbieranowski, A. L., &amp; Aherne, J. (2012). Ambient concentrations of atmospheric ammonia , nitrogen dioxide and nitric acid across a rural e urban e agricultural transect in southern Ontario , Canada. </w:t>
      </w:r>
      <w:r w:rsidRPr="00A84515">
        <w:rPr>
          <w:rFonts w:ascii="Garamond" w:hAnsi="Garamond" w:cs="Times New Roman"/>
          <w:i/>
          <w:iCs/>
          <w:noProof/>
          <w:szCs w:val="24"/>
        </w:rPr>
        <w:t>Atmospheric Environment</w:t>
      </w:r>
      <w:r w:rsidRPr="00A84515">
        <w:rPr>
          <w:rFonts w:ascii="Garamond" w:hAnsi="Garamond" w:cs="Times New Roman"/>
          <w:noProof/>
          <w:szCs w:val="24"/>
        </w:rPr>
        <w:t xml:space="preserve">, </w:t>
      </w:r>
      <w:r w:rsidRPr="00A84515">
        <w:rPr>
          <w:rFonts w:ascii="Garamond" w:hAnsi="Garamond" w:cs="Times New Roman"/>
          <w:i/>
          <w:iCs/>
          <w:noProof/>
          <w:szCs w:val="24"/>
        </w:rPr>
        <w:t>62</w:t>
      </w:r>
      <w:r w:rsidRPr="00A84515">
        <w:rPr>
          <w:rFonts w:ascii="Garamond" w:hAnsi="Garamond" w:cs="Times New Roman"/>
          <w:noProof/>
          <w:szCs w:val="24"/>
        </w:rPr>
        <w:t>, 481–491. https://doi.org/10.1016/j.atmosenv.2012.08.040</w:t>
      </w:r>
    </w:p>
    <w:p w14:paraId="76965D63" w14:textId="77777777" w:rsidR="00A84515" w:rsidRPr="00A84515" w:rsidRDefault="00A84515" w:rsidP="00A84515">
      <w:pPr>
        <w:widowControl w:val="0"/>
        <w:autoSpaceDE w:val="0"/>
        <w:autoSpaceDN w:val="0"/>
        <w:adjustRightInd w:val="0"/>
        <w:spacing w:line="360" w:lineRule="auto"/>
        <w:ind w:left="480" w:hanging="480"/>
        <w:rPr>
          <w:rFonts w:ascii="Garamond" w:hAnsi="Garamond"/>
          <w:noProof/>
        </w:rPr>
      </w:pPr>
      <w:r w:rsidRPr="00A84515">
        <w:rPr>
          <w:rFonts w:ascii="Garamond" w:hAnsi="Garamond" w:cs="Times New Roman"/>
          <w:noProof/>
          <w:szCs w:val="24"/>
        </w:rPr>
        <w:t>Zhuo, D., Liu, L., Yu, H., &amp; Yuan, C. (2018). RESEARCH ARTICLE A national assessment of the effect of intensive agro-land use practices on nonpoint source pollution using emission scenarios and geo-spatial data, (2), 1683–1705. https://doi.org/10.1007/s11356-017-0118-8</w:t>
      </w:r>
    </w:p>
    <w:p w14:paraId="185BC6A5" w14:textId="718620D1" w:rsidR="00260734" w:rsidRPr="00750A46" w:rsidRDefault="0090574A" w:rsidP="00262C79">
      <w:pPr>
        <w:spacing w:line="360" w:lineRule="auto"/>
        <w:jc w:val="both"/>
        <w:rPr>
          <w:rFonts w:ascii="Garamond" w:hAnsi="Garamond"/>
          <w:b/>
          <w:bCs/>
        </w:rPr>
      </w:pPr>
      <w:r>
        <w:rPr>
          <w:rFonts w:ascii="Garamond" w:hAnsi="Garamond"/>
          <w:b/>
          <w:bCs/>
        </w:rPr>
        <w:fldChar w:fldCharType="end"/>
      </w:r>
    </w:p>
    <w:p w14:paraId="6D422DFE" w14:textId="77777777" w:rsidR="000446BC" w:rsidRPr="00750A46" w:rsidRDefault="000446BC" w:rsidP="00750A46">
      <w:pPr>
        <w:spacing w:after="0" w:line="360" w:lineRule="auto"/>
        <w:jc w:val="both"/>
        <w:rPr>
          <w:rFonts w:ascii="Garamond" w:eastAsia="Times New Roman" w:hAnsi="Garamond" w:cs="Calibri"/>
          <w:lang w:eastAsia="en-GB"/>
        </w:rPr>
      </w:pPr>
    </w:p>
    <w:p w14:paraId="18EF3A43" w14:textId="77777777" w:rsidR="003A4FD0" w:rsidRPr="00750A46" w:rsidRDefault="003A4FD0" w:rsidP="00750A46">
      <w:pPr>
        <w:spacing w:after="0" w:line="360" w:lineRule="auto"/>
        <w:jc w:val="both"/>
        <w:rPr>
          <w:rFonts w:ascii="Garamond" w:hAnsi="Garamond"/>
        </w:rPr>
      </w:pPr>
    </w:p>
    <w:sectPr w:rsidR="003A4FD0" w:rsidRPr="00750A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28859" w14:textId="77777777" w:rsidR="00F4615A" w:rsidRDefault="00F4615A" w:rsidP="00101B42">
      <w:pPr>
        <w:spacing w:after="0" w:line="240" w:lineRule="auto"/>
      </w:pPr>
      <w:r>
        <w:separator/>
      </w:r>
    </w:p>
  </w:endnote>
  <w:endnote w:type="continuationSeparator" w:id="0">
    <w:p w14:paraId="06D1678E" w14:textId="77777777" w:rsidR="00F4615A" w:rsidRDefault="00F4615A" w:rsidP="00101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1DBA6" w14:textId="77777777" w:rsidR="00F4615A" w:rsidRDefault="00F4615A" w:rsidP="00101B42">
      <w:pPr>
        <w:spacing w:after="0" w:line="240" w:lineRule="auto"/>
      </w:pPr>
      <w:r>
        <w:separator/>
      </w:r>
    </w:p>
  </w:footnote>
  <w:footnote w:type="continuationSeparator" w:id="0">
    <w:p w14:paraId="322F2674" w14:textId="77777777" w:rsidR="00F4615A" w:rsidRDefault="00F4615A" w:rsidP="00101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143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8C2AF1"/>
    <w:multiLevelType w:val="hybridMultilevel"/>
    <w:tmpl w:val="0C9AB28A"/>
    <w:lvl w:ilvl="0" w:tplc="E10AD348">
      <w:start w:val="1"/>
      <w:numFmt w:val="lowerRoman"/>
      <w:lvlText w:val="(%1)"/>
      <w:lvlJc w:val="left"/>
      <w:pPr>
        <w:ind w:left="1080" w:hanging="72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8E7948"/>
    <w:multiLevelType w:val="hybridMultilevel"/>
    <w:tmpl w:val="19261C5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996762"/>
    <w:multiLevelType w:val="hybridMultilevel"/>
    <w:tmpl w:val="D9C8837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3B0730"/>
    <w:multiLevelType w:val="hybridMultilevel"/>
    <w:tmpl w:val="D9C8837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676FAA"/>
    <w:multiLevelType w:val="hybridMultilevel"/>
    <w:tmpl w:val="159EBABE"/>
    <w:lvl w:ilvl="0" w:tplc="586EF9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4A6419"/>
    <w:multiLevelType w:val="hybridMultilevel"/>
    <w:tmpl w:val="AA5E816E"/>
    <w:lvl w:ilvl="0" w:tplc="ABA4532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122D28"/>
    <w:multiLevelType w:val="hybridMultilevel"/>
    <w:tmpl w:val="B086A354"/>
    <w:lvl w:ilvl="0" w:tplc="0809001B">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0A4819"/>
    <w:multiLevelType w:val="hybridMultilevel"/>
    <w:tmpl w:val="AEB85F1E"/>
    <w:lvl w:ilvl="0" w:tplc="28ACBF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8C0A44"/>
    <w:multiLevelType w:val="hybridMultilevel"/>
    <w:tmpl w:val="9DC88984"/>
    <w:lvl w:ilvl="0" w:tplc="69124C3A">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6B1A0E21"/>
    <w:multiLevelType w:val="hybridMultilevel"/>
    <w:tmpl w:val="803ABD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752606"/>
    <w:multiLevelType w:val="hybridMultilevel"/>
    <w:tmpl w:val="BB1C9192"/>
    <w:lvl w:ilvl="0" w:tplc="79CC09D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9E4444"/>
    <w:multiLevelType w:val="hybridMultilevel"/>
    <w:tmpl w:val="631C8130"/>
    <w:lvl w:ilvl="0" w:tplc="6A7C89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FE74A2"/>
    <w:multiLevelType w:val="hybridMultilevel"/>
    <w:tmpl w:val="7682C618"/>
    <w:lvl w:ilvl="0" w:tplc="887C86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420D78"/>
    <w:multiLevelType w:val="hybridMultilevel"/>
    <w:tmpl w:val="83D27634"/>
    <w:lvl w:ilvl="0" w:tplc="1F8EDFE8">
      <w:start w:val="4"/>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3264948">
    <w:abstractNumId w:val="11"/>
  </w:num>
  <w:num w:numId="2" w16cid:durableId="686058743">
    <w:abstractNumId w:val="0"/>
  </w:num>
  <w:num w:numId="3" w16cid:durableId="1160267349">
    <w:abstractNumId w:val="6"/>
  </w:num>
  <w:num w:numId="4" w16cid:durableId="1088115695">
    <w:abstractNumId w:val="13"/>
  </w:num>
  <w:num w:numId="5" w16cid:durableId="1992784079">
    <w:abstractNumId w:val="10"/>
  </w:num>
  <w:num w:numId="6" w16cid:durableId="1931305350">
    <w:abstractNumId w:val="2"/>
  </w:num>
  <w:num w:numId="7" w16cid:durableId="1579439056">
    <w:abstractNumId w:val="5"/>
  </w:num>
  <w:num w:numId="8" w16cid:durableId="1081174174">
    <w:abstractNumId w:val="1"/>
  </w:num>
  <w:num w:numId="9" w16cid:durableId="1130854374">
    <w:abstractNumId w:val="8"/>
  </w:num>
  <w:num w:numId="10" w16cid:durableId="468786536">
    <w:abstractNumId w:val="7"/>
  </w:num>
  <w:num w:numId="11" w16cid:durableId="836966499">
    <w:abstractNumId w:val="12"/>
  </w:num>
  <w:num w:numId="12" w16cid:durableId="254166471">
    <w:abstractNumId w:val="9"/>
  </w:num>
  <w:num w:numId="13" w16cid:durableId="1906063196">
    <w:abstractNumId w:val="14"/>
  </w:num>
  <w:num w:numId="14" w16cid:durableId="1792505714">
    <w:abstractNumId w:val="3"/>
  </w:num>
  <w:num w:numId="15" w16cid:durableId="1511793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734"/>
    <w:rsid w:val="00004C54"/>
    <w:rsid w:val="0000638D"/>
    <w:rsid w:val="00016000"/>
    <w:rsid w:val="000171F2"/>
    <w:rsid w:val="0002146D"/>
    <w:rsid w:val="00032348"/>
    <w:rsid w:val="000336E5"/>
    <w:rsid w:val="0004367B"/>
    <w:rsid w:val="000446BC"/>
    <w:rsid w:val="00044963"/>
    <w:rsid w:val="000561C7"/>
    <w:rsid w:val="0006060B"/>
    <w:rsid w:val="00060AC2"/>
    <w:rsid w:val="000634F0"/>
    <w:rsid w:val="000A1276"/>
    <w:rsid w:val="000C402D"/>
    <w:rsid w:val="000C5C7B"/>
    <w:rsid w:val="000D1A2A"/>
    <w:rsid w:val="000D7DC7"/>
    <w:rsid w:val="000E2BB6"/>
    <w:rsid w:val="000E3219"/>
    <w:rsid w:val="000E7C60"/>
    <w:rsid w:val="000F0878"/>
    <w:rsid w:val="000F3ECF"/>
    <w:rsid w:val="000F7A7A"/>
    <w:rsid w:val="00101B42"/>
    <w:rsid w:val="001168E3"/>
    <w:rsid w:val="00122AF8"/>
    <w:rsid w:val="00130F01"/>
    <w:rsid w:val="001510E8"/>
    <w:rsid w:val="00154CA3"/>
    <w:rsid w:val="00160743"/>
    <w:rsid w:val="00180992"/>
    <w:rsid w:val="00181092"/>
    <w:rsid w:val="00183AF9"/>
    <w:rsid w:val="00186FC5"/>
    <w:rsid w:val="001938CA"/>
    <w:rsid w:val="0019417E"/>
    <w:rsid w:val="001A2690"/>
    <w:rsid w:val="001A2C3D"/>
    <w:rsid w:val="001A370B"/>
    <w:rsid w:val="001B184A"/>
    <w:rsid w:val="001B2B30"/>
    <w:rsid w:val="001C0EA3"/>
    <w:rsid w:val="001D11C8"/>
    <w:rsid w:val="001D5DFC"/>
    <w:rsid w:val="001D6285"/>
    <w:rsid w:val="001E1D1B"/>
    <w:rsid w:val="001E1D57"/>
    <w:rsid w:val="001E769C"/>
    <w:rsid w:val="001F01A8"/>
    <w:rsid w:val="001F1FA6"/>
    <w:rsid w:val="001F3892"/>
    <w:rsid w:val="001F6BC2"/>
    <w:rsid w:val="00212736"/>
    <w:rsid w:val="00235840"/>
    <w:rsid w:val="00246D01"/>
    <w:rsid w:val="00246D13"/>
    <w:rsid w:val="00247DA3"/>
    <w:rsid w:val="00260734"/>
    <w:rsid w:val="00260FFE"/>
    <w:rsid w:val="00262C79"/>
    <w:rsid w:val="00265DDA"/>
    <w:rsid w:val="0026692D"/>
    <w:rsid w:val="00277A11"/>
    <w:rsid w:val="002836A8"/>
    <w:rsid w:val="00285A3B"/>
    <w:rsid w:val="00295C2E"/>
    <w:rsid w:val="002A0404"/>
    <w:rsid w:val="002B0756"/>
    <w:rsid w:val="002B5763"/>
    <w:rsid w:val="002C101B"/>
    <w:rsid w:val="002C1B6F"/>
    <w:rsid w:val="002F28F0"/>
    <w:rsid w:val="002F2AB6"/>
    <w:rsid w:val="002F6A51"/>
    <w:rsid w:val="00313B39"/>
    <w:rsid w:val="0031481E"/>
    <w:rsid w:val="00317885"/>
    <w:rsid w:val="003219C1"/>
    <w:rsid w:val="00330BAF"/>
    <w:rsid w:val="00331269"/>
    <w:rsid w:val="0033448E"/>
    <w:rsid w:val="00344FB7"/>
    <w:rsid w:val="0034569E"/>
    <w:rsid w:val="0034638E"/>
    <w:rsid w:val="0035434A"/>
    <w:rsid w:val="00355934"/>
    <w:rsid w:val="00392D9A"/>
    <w:rsid w:val="003A4FD0"/>
    <w:rsid w:val="003C7A8F"/>
    <w:rsid w:val="003E28C8"/>
    <w:rsid w:val="003E41D1"/>
    <w:rsid w:val="003E7AD4"/>
    <w:rsid w:val="003F06BE"/>
    <w:rsid w:val="003F5170"/>
    <w:rsid w:val="003F593D"/>
    <w:rsid w:val="00400648"/>
    <w:rsid w:val="00444392"/>
    <w:rsid w:val="00444EFB"/>
    <w:rsid w:val="00452495"/>
    <w:rsid w:val="00460547"/>
    <w:rsid w:val="004605F4"/>
    <w:rsid w:val="00464B14"/>
    <w:rsid w:val="00471A0C"/>
    <w:rsid w:val="00475641"/>
    <w:rsid w:val="004941CD"/>
    <w:rsid w:val="00497CED"/>
    <w:rsid w:val="004A2403"/>
    <w:rsid w:val="004A7E42"/>
    <w:rsid w:val="004C132A"/>
    <w:rsid w:val="004C74C4"/>
    <w:rsid w:val="004C7898"/>
    <w:rsid w:val="004D678A"/>
    <w:rsid w:val="004D7192"/>
    <w:rsid w:val="004F4964"/>
    <w:rsid w:val="00500D89"/>
    <w:rsid w:val="00512E8B"/>
    <w:rsid w:val="0052140B"/>
    <w:rsid w:val="005263E6"/>
    <w:rsid w:val="005324B5"/>
    <w:rsid w:val="00533034"/>
    <w:rsid w:val="00534505"/>
    <w:rsid w:val="005461D7"/>
    <w:rsid w:val="00564831"/>
    <w:rsid w:val="0057639B"/>
    <w:rsid w:val="005771C9"/>
    <w:rsid w:val="005944CE"/>
    <w:rsid w:val="00597AE0"/>
    <w:rsid w:val="005A15F5"/>
    <w:rsid w:val="005A7E0B"/>
    <w:rsid w:val="005B2B69"/>
    <w:rsid w:val="005C1057"/>
    <w:rsid w:val="005D27A8"/>
    <w:rsid w:val="005D4B74"/>
    <w:rsid w:val="005E6481"/>
    <w:rsid w:val="005F1EE3"/>
    <w:rsid w:val="005F36D5"/>
    <w:rsid w:val="00600871"/>
    <w:rsid w:val="006019DF"/>
    <w:rsid w:val="006043B1"/>
    <w:rsid w:val="00606533"/>
    <w:rsid w:val="006069AD"/>
    <w:rsid w:val="00614CCF"/>
    <w:rsid w:val="006165F7"/>
    <w:rsid w:val="006269C7"/>
    <w:rsid w:val="00634B92"/>
    <w:rsid w:val="00657CE0"/>
    <w:rsid w:val="00661940"/>
    <w:rsid w:val="00663190"/>
    <w:rsid w:val="00681B40"/>
    <w:rsid w:val="00682A7D"/>
    <w:rsid w:val="00682ECF"/>
    <w:rsid w:val="006855AA"/>
    <w:rsid w:val="006A52D1"/>
    <w:rsid w:val="006A6D4C"/>
    <w:rsid w:val="006C1DE2"/>
    <w:rsid w:val="006C6224"/>
    <w:rsid w:val="006D5087"/>
    <w:rsid w:val="006D74E2"/>
    <w:rsid w:val="006E3D17"/>
    <w:rsid w:val="006E426F"/>
    <w:rsid w:val="006F52DF"/>
    <w:rsid w:val="00701C86"/>
    <w:rsid w:val="007026B0"/>
    <w:rsid w:val="00702D07"/>
    <w:rsid w:val="00711AB8"/>
    <w:rsid w:val="00712EBE"/>
    <w:rsid w:val="00715E12"/>
    <w:rsid w:val="00716213"/>
    <w:rsid w:val="00717EC1"/>
    <w:rsid w:val="007272AB"/>
    <w:rsid w:val="00750A46"/>
    <w:rsid w:val="00767BB3"/>
    <w:rsid w:val="0077019D"/>
    <w:rsid w:val="00770BCD"/>
    <w:rsid w:val="00776163"/>
    <w:rsid w:val="00785909"/>
    <w:rsid w:val="007B065D"/>
    <w:rsid w:val="007D3705"/>
    <w:rsid w:val="007D766C"/>
    <w:rsid w:val="007E7DEA"/>
    <w:rsid w:val="007F3737"/>
    <w:rsid w:val="007F7A93"/>
    <w:rsid w:val="008023EE"/>
    <w:rsid w:val="0080312B"/>
    <w:rsid w:val="0080490A"/>
    <w:rsid w:val="00813309"/>
    <w:rsid w:val="008140FF"/>
    <w:rsid w:val="00817441"/>
    <w:rsid w:val="008214C4"/>
    <w:rsid w:val="00823EF0"/>
    <w:rsid w:val="00825768"/>
    <w:rsid w:val="0083452E"/>
    <w:rsid w:val="00835A5A"/>
    <w:rsid w:val="00841E8A"/>
    <w:rsid w:val="008574B5"/>
    <w:rsid w:val="008604C5"/>
    <w:rsid w:val="008652A9"/>
    <w:rsid w:val="00867983"/>
    <w:rsid w:val="0088166E"/>
    <w:rsid w:val="008A3800"/>
    <w:rsid w:val="008A6952"/>
    <w:rsid w:val="008B574C"/>
    <w:rsid w:val="008B6507"/>
    <w:rsid w:val="008C4F30"/>
    <w:rsid w:val="008D2218"/>
    <w:rsid w:val="008D3F7B"/>
    <w:rsid w:val="008E3948"/>
    <w:rsid w:val="008F19D9"/>
    <w:rsid w:val="008F1F12"/>
    <w:rsid w:val="008F318A"/>
    <w:rsid w:val="008F33D7"/>
    <w:rsid w:val="008F7545"/>
    <w:rsid w:val="00900B05"/>
    <w:rsid w:val="00900C55"/>
    <w:rsid w:val="0090574A"/>
    <w:rsid w:val="00910D8A"/>
    <w:rsid w:val="00911249"/>
    <w:rsid w:val="00913003"/>
    <w:rsid w:val="00915687"/>
    <w:rsid w:val="0092054B"/>
    <w:rsid w:val="00920ECA"/>
    <w:rsid w:val="00926109"/>
    <w:rsid w:val="00936958"/>
    <w:rsid w:val="00942D96"/>
    <w:rsid w:val="00952412"/>
    <w:rsid w:val="0095515A"/>
    <w:rsid w:val="00975CB6"/>
    <w:rsid w:val="00977051"/>
    <w:rsid w:val="009826BD"/>
    <w:rsid w:val="00991C22"/>
    <w:rsid w:val="009A648B"/>
    <w:rsid w:val="009B44F0"/>
    <w:rsid w:val="009B7F86"/>
    <w:rsid w:val="009C399A"/>
    <w:rsid w:val="009C5370"/>
    <w:rsid w:val="009D5F54"/>
    <w:rsid w:val="009E0C19"/>
    <w:rsid w:val="009E3B46"/>
    <w:rsid w:val="009E5594"/>
    <w:rsid w:val="009E5F89"/>
    <w:rsid w:val="00A0032C"/>
    <w:rsid w:val="00A0393E"/>
    <w:rsid w:val="00A13E60"/>
    <w:rsid w:val="00A14841"/>
    <w:rsid w:val="00A23C41"/>
    <w:rsid w:val="00A27452"/>
    <w:rsid w:val="00A27A1E"/>
    <w:rsid w:val="00A27D09"/>
    <w:rsid w:val="00A36109"/>
    <w:rsid w:val="00A56577"/>
    <w:rsid w:val="00A5745F"/>
    <w:rsid w:val="00A6750B"/>
    <w:rsid w:val="00A71173"/>
    <w:rsid w:val="00A7398F"/>
    <w:rsid w:val="00A74D8D"/>
    <w:rsid w:val="00A84515"/>
    <w:rsid w:val="00A93EB0"/>
    <w:rsid w:val="00AA0CB8"/>
    <w:rsid w:val="00AA475E"/>
    <w:rsid w:val="00AA7D04"/>
    <w:rsid w:val="00AB4F6C"/>
    <w:rsid w:val="00AB516A"/>
    <w:rsid w:val="00AC5CBC"/>
    <w:rsid w:val="00AD10CE"/>
    <w:rsid w:val="00AD22CF"/>
    <w:rsid w:val="00AD24D7"/>
    <w:rsid w:val="00AD253E"/>
    <w:rsid w:val="00AE31F6"/>
    <w:rsid w:val="00AF3D5C"/>
    <w:rsid w:val="00AF46FF"/>
    <w:rsid w:val="00AF55FD"/>
    <w:rsid w:val="00B02709"/>
    <w:rsid w:val="00B21758"/>
    <w:rsid w:val="00B3483F"/>
    <w:rsid w:val="00B349B7"/>
    <w:rsid w:val="00B47766"/>
    <w:rsid w:val="00B612C3"/>
    <w:rsid w:val="00B71442"/>
    <w:rsid w:val="00B809DA"/>
    <w:rsid w:val="00B85A9C"/>
    <w:rsid w:val="00B958DD"/>
    <w:rsid w:val="00BA23E9"/>
    <w:rsid w:val="00BA4BB4"/>
    <w:rsid w:val="00BB2BED"/>
    <w:rsid w:val="00BC271B"/>
    <w:rsid w:val="00BC7859"/>
    <w:rsid w:val="00BD036E"/>
    <w:rsid w:val="00BE24D5"/>
    <w:rsid w:val="00BE30EB"/>
    <w:rsid w:val="00BF2622"/>
    <w:rsid w:val="00BF4C07"/>
    <w:rsid w:val="00C04E6D"/>
    <w:rsid w:val="00C11D1C"/>
    <w:rsid w:val="00C16C42"/>
    <w:rsid w:val="00C3766E"/>
    <w:rsid w:val="00C46FBC"/>
    <w:rsid w:val="00C55C3C"/>
    <w:rsid w:val="00C63664"/>
    <w:rsid w:val="00C83100"/>
    <w:rsid w:val="00C92B18"/>
    <w:rsid w:val="00C93B52"/>
    <w:rsid w:val="00CA2CD6"/>
    <w:rsid w:val="00CB1C92"/>
    <w:rsid w:val="00CC32E6"/>
    <w:rsid w:val="00CC3309"/>
    <w:rsid w:val="00CD0CF7"/>
    <w:rsid w:val="00CD245C"/>
    <w:rsid w:val="00CD29FF"/>
    <w:rsid w:val="00CE1426"/>
    <w:rsid w:val="00CE6711"/>
    <w:rsid w:val="00CE7C36"/>
    <w:rsid w:val="00CF5D02"/>
    <w:rsid w:val="00D101BB"/>
    <w:rsid w:val="00D105C5"/>
    <w:rsid w:val="00D2213B"/>
    <w:rsid w:val="00D22E36"/>
    <w:rsid w:val="00D4452F"/>
    <w:rsid w:val="00D54801"/>
    <w:rsid w:val="00D54E35"/>
    <w:rsid w:val="00D551E3"/>
    <w:rsid w:val="00D613FE"/>
    <w:rsid w:val="00D64944"/>
    <w:rsid w:val="00D64A1E"/>
    <w:rsid w:val="00D66B3D"/>
    <w:rsid w:val="00D77ACF"/>
    <w:rsid w:val="00D80A1F"/>
    <w:rsid w:val="00D90DB4"/>
    <w:rsid w:val="00D97210"/>
    <w:rsid w:val="00DA370C"/>
    <w:rsid w:val="00DA500A"/>
    <w:rsid w:val="00DB023D"/>
    <w:rsid w:val="00DB0731"/>
    <w:rsid w:val="00DB1E69"/>
    <w:rsid w:val="00DC196E"/>
    <w:rsid w:val="00DD5CB7"/>
    <w:rsid w:val="00DE2AC3"/>
    <w:rsid w:val="00DE48FB"/>
    <w:rsid w:val="00DF1737"/>
    <w:rsid w:val="00DF7D2C"/>
    <w:rsid w:val="00E03A01"/>
    <w:rsid w:val="00E14647"/>
    <w:rsid w:val="00E23E74"/>
    <w:rsid w:val="00E24DCE"/>
    <w:rsid w:val="00E30C97"/>
    <w:rsid w:val="00E31CD5"/>
    <w:rsid w:val="00E33F73"/>
    <w:rsid w:val="00E36914"/>
    <w:rsid w:val="00E414D6"/>
    <w:rsid w:val="00E54D0F"/>
    <w:rsid w:val="00E62AF7"/>
    <w:rsid w:val="00E65D0F"/>
    <w:rsid w:val="00E71630"/>
    <w:rsid w:val="00E72BC2"/>
    <w:rsid w:val="00E72CE3"/>
    <w:rsid w:val="00E77826"/>
    <w:rsid w:val="00E84C21"/>
    <w:rsid w:val="00E90BD4"/>
    <w:rsid w:val="00E96319"/>
    <w:rsid w:val="00EA021A"/>
    <w:rsid w:val="00EA1BAB"/>
    <w:rsid w:val="00EB1A69"/>
    <w:rsid w:val="00EB4804"/>
    <w:rsid w:val="00EF1094"/>
    <w:rsid w:val="00F0002D"/>
    <w:rsid w:val="00F13259"/>
    <w:rsid w:val="00F13821"/>
    <w:rsid w:val="00F14B45"/>
    <w:rsid w:val="00F25B18"/>
    <w:rsid w:val="00F4610C"/>
    <w:rsid w:val="00F4615A"/>
    <w:rsid w:val="00F63972"/>
    <w:rsid w:val="00F660B4"/>
    <w:rsid w:val="00F67C52"/>
    <w:rsid w:val="00F70EE2"/>
    <w:rsid w:val="00F80643"/>
    <w:rsid w:val="00F83FBF"/>
    <w:rsid w:val="00F86268"/>
    <w:rsid w:val="00F9640E"/>
    <w:rsid w:val="00FA1355"/>
    <w:rsid w:val="00FA6F8D"/>
    <w:rsid w:val="00FA752A"/>
    <w:rsid w:val="00FC22BE"/>
    <w:rsid w:val="00FD06FE"/>
    <w:rsid w:val="00FD557F"/>
    <w:rsid w:val="00FD5FF9"/>
    <w:rsid w:val="00FE20B7"/>
    <w:rsid w:val="00FE3A8B"/>
    <w:rsid w:val="00FF4220"/>
    <w:rsid w:val="00FF57B2"/>
    <w:rsid w:val="00FF6B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ACED1"/>
  <w15:chartTrackingRefBased/>
  <w15:docId w15:val="{8B92C052-130F-496A-96FB-F589BBE2F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53303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Titolo3">
    <w:name w:val="heading 3"/>
    <w:basedOn w:val="Normale"/>
    <w:next w:val="Normale"/>
    <w:link w:val="Titolo3Carattere"/>
    <w:uiPriority w:val="9"/>
    <w:unhideWhenUsed/>
    <w:qFormat/>
    <w:rsid w:val="009130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80992"/>
    <w:pPr>
      <w:ind w:left="720"/>
      <w:contextualSpacing/>
    </w:pPr>
  </w:style>
  <w:style w:type="character" w:styleId="Rimandocommento">
    <w:name w:val="annotation reference"/>
    <w:basedOn w:val="Carpredefinitoparagrafo"/>
    <w:uiPriority w:val="99"/>
    <w:semiHidden/>
    <w:unhideWhenUsed/>
    <w:rsid w:val="008F318A"/>
    <w:rPr>
      <w:sz w:val="16"/>
      <w:szCs w:val="16"/>
    </w:rPr>
  </w:style>
  <w:style w:type="paragraph" w:styleId="Testocommento">
    <w:name w:val="annotation text"/>
    <w:basedOn w:val="Normale"/>
    <w:link w:val="TestocommentoCarattere"/>
    <w:uiPriority w:val="99"/>
    <w:unhideWhenUsed/>
    <w:rsid w:val="008F318A"/>
    <w:pPr>
      <w:spacing w:line="240" w:lineRule="auto"/>
    </w:pPr>
    <w:rPr>
      <w:sz w:val="20"/>
      <w:szCs w:val="20"/>
    </w:rPr>
  </w:style>
  <w:style w:type="character" w:customStyle="1" w:styleId="TestocommentoCarattere">
    <w:name w:val="Testo commento Carattere"/>
    <w:basedOn w:val="Carpredefinitoparagrafo"/>
    <w:link w:val="Testocommento"/>
    <w:uiPriority w:val="99"/>
    <w:rsid w:val="008F318A"/>
    <w:rPr>
      <w:sz w:val="20"/>
      <w:szCs w:val="20"/>
    </w:rPr>
  </w:style>
  <w:style w:type="paragraph" w:styleId="Soggettocommento">
    <w:name w:val="annotation subject"/>
    <w:basedOn w:val="Testocommento"/>
    <w:next w:val="Testocommento"/>
    <w:link w:val="SoggettocommentoCarattere"/>
    <w:uiPriority w:val="99"/>
    <w:semiHidden/>
    <w:unhideWhenUsed/>
    <w:rsid w:val="008F318A"/>
    <w:rPr>
      <w:b/>
      <w:bCs/>
    </w:rPr>
  </w:style>
  <w:style w:type="character" w:customStyle="1" w:styleId="SoggettocommentoCarattere">
    <w:name w:val="Soggetto commento Carattere"/>
    <w:basedOn w:val="TestocommentoCarattere"/>
    <w:link w:val="Soggettocommento"/>
    <w:uiPriority w:val="99"/>
    <w:semiHidden/>
    <w:rsid w:val="008F318A"/>
    <w:rPr>
      <w:b/>
      <w:bCs/>
      <w:sz w:val="20"/>
      <w:szCs w:val="20"/>
    </w:rPr>
  </w:style>
  <w:style w:type="paragraph" w:styleId="Testonotaapidipagina">
    <w:name w:val="footnote text"/>
    <w:basedOn w:val="Normale"/>
    <w:link w:val="TestonotaapidipaginaCarattere"/>
    <w:uiPriority w:val="99"/>
    <w:semiHidden/>
    <w:unhideWhenUsed/>
    <w:rsid w:val="00101B4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01B42"/>
    <w:rPr>
      <w:sz w:val="20"/>
      <w:szCs w:val="20"/>
    </w:rPr>
  </w:style>
  <w:style w:type="character" w:styleId="Rimandonotaapidipagina">
    <w:name w:val="footnote reference"/>
    <w:basedOn w:val="Carpredefinitoparagrafo"/>
    <w:uiPriority w:val="99"/>
    <w:semiHidden/>
    <w:unhideWhenUsed/>
    <w:rsid w:val="00101B42"/>
    <w:rPr>
      <w:vertAlign w:val="superscript"/>
    </w:rPr>
  </w:style>
  <w:style w:type="table" w:styleId="Grigliatabella">
    <w:name w:val="Table Grid"/>
    <w:basedOn w:val="Tabellanormale"/>
    <w:uiPriority w:val="39"/>
    <w:rsid w:val="00991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A565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llegamentoipertestuale">
    <w:name w:val="Hyperlink"/>
    <w:basedOn w:val="Carpredefinitoparagrafo"/>
    <w:uiPriority w:val="99"/>
    <w:semiHidden/>
    <w:unhideWhenUsed/>
    <w:rsid w:val="00DF7D2C"/>
    <w:rPr>
      <w:color w:val="0000FF"/>
      <w:u w:val="single"/>
    </w:rPr>
  </w:style>
  <w:style w:type="character" w:customStyle="1" w:styleId="text">
    <w:name w:val="text"/>
    <w:basedOn w:val="Carpredefinitoparagrafo"/>
    <w:rsid w:val="00AD24D7"/>
  </w:style>
  <w:style w:type="character" w:customStyle="1" w:styleId="Titolo2Carattere">
    <w:name w:val="Titolo 2 Carattere"/>
    <w:basedOn w:val="Carpredefinitoparagrafo"/>
    <w:link w:val="Titolo2"/>
    <w:uiPriority w:val="9"/>
    <w:rsid w:val="00533034"/>
    <w:rPr>
      <w:rFonts w:ascii="Times New Roman" w:eastAsia="Times New Roman" w:hAnsi="Times New Roman" w:cs="Times New Roman"/>
      <w:b/>
      <w:bCs/>
      <w:sz w:val="36"/>
      <w:szCs w:val="36"/>
      <w:lang w:eastAsia="en-GB"/>
    </w:rPr>
  </w:style>
  <w:style w:type="character" w:customStyle="1" w:styleId="Titolo3Carattere">
    <w:name w:val="Titolo 3 Carattere"/>
    <w:basedOn w:val="Carpredefinitoparagrafo"/>
    <w:link w:val="Titolo3"/>
    <w:uiPriority w:val="9"/>
    <w:rsid w:val="00913003"/>
    <w:rPr>
      <w:rFonts w:asciiTheme="majorHAnsi" w:eastAsiaTheme="majorEastAsia" w:hAnsiTheme="majorHAnsi" w:cstheme="majorBidi"/>
      <w:color w:val="1F3763" w:themeColor="accent1" w:themeShade="7F"/>
      <w:sz w:val="24"/>
      <w:szCs w:val="24"/>
    </w:rPr>
  </w:style>
  <w:style w:type="character" w:customStyle="1" w:styleId="html-italic">
    <w:name w:val="html-italic"/>
    <w:basedOn w:val="Carpredefinitoparagrafo"/>
    <w:rsid w:val="00C92B18"/>
  </w:style>
  <w:style w:type="character" w:styleId="Enfasicorsivo">
    <w:name w:val="Emphasis"/>
    <w:basedOn w:val="Carpredefinitoparagrafo"/>
    <w:uiPriority w:val="20"/>
    <w:qFormat/>
    <w:rsid w:val="00DA500A"/>
    <w:rPr>
      <w:i/>
      <w:iCs/>
    </w:rPr>
  </w:style>
  <w:style w:type="paragraph" w:styleId="Revisione">
    <w:name w:val="Revision"/>
    <w:hidden/>
    <w:uiPriority w:val="99"/>
    <w:semiHidden/>
    <w:rsid w:val="003148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15301">
      <w:bodyDiv w:val="1"/>
      <w:marLeft w:val="0"/>
      <w:marRight w:val="0"/>
      <w:marTop w:val="0"/>
      <w:marBottom w:val="0"/>
      <w:divBdr>
        <w:top w:val="none" w:sz="0" w:space="0" w:color="auto"/>
        <w:left w:val="none" w:sz="0" w:space="0" w:color="auto"/>
        <w:bottom w:val="none" w:sz="0" w:space="0" w:color="auto"/>
        <w:right w:val="none" w:sz="0" w:space="0" w:color="auto"/>
      </w:divBdr>
    </w:div>
    <w:div w:id="208152022">
      <w:bodyDiv w:val="1"/>
      <w:marLeft w:val="0"/>
      <w:marRight w:val="0"/>
      <w:marTop w:val="0"/>
      <w:marBottom w:val="0"/>
      <w:divBdr>
        <w:top w:val="none" w:sz="0" w:space="0" w:color="auto"/>
        <w:left w:val="none" w:sz="0" w:space="0" w:color="auto"/>
        <w:bottom w:val="none" w:sz="0" w:space="0" w:color="auto"/>
        <w:right w:val="none" w:sz="0" w:space="0" w:color="auto"/>
      </w:divBdr>
    </w:div>
    <w:div w:id="262151727">
      <w:bodyDiv w:val="1"/>
      <w:marLeft w:val="0"/>
      <w:marRight w:val="0"/>
      <w:marTop w:val="0"/>
      <w:marBottom w:val="0"/>
      <w:divBdr>
        <w:top w:val="none" w:sz="0" w:space="0" w:color="auto"/>
        <w:left w:val="none" w:sz="0" w:space="0" w:color="auto"/>
        <w:bottom w:val="none" w:sz="0" w:space="0" w:color="auto"/>
        <w:right w:val="none" w:sz="0" w:space="0" w:color="auto"/>
      </w:divBdr>
    </w:div>
    <w:div w:id="276914093">
      <w:bodyDiv w:val="1"/>
      <w:marLeft w:val="0"/>
      <w:marRight w:val="0"/>
      <w:marTop w:val="0"/>
      <w:marBottom w:val="0"/>
      <w:divBdr>
        <w:top w:val="none" w:sz="0" w:space="0" w:color="auto"/>
        <w:left w:val="none" w:sz="0" w:space="0" w:color="auto"/>
        <w:bottom w:val="none" w:sz="0" w:space="0" w:color="auto"/>
        <w:right w:val="none" w:sz="0" w:space="0" w:color="auto"/>
      </w:divBdr>
    </w:div>
    <w:div w:id="287273819">
      <w:bodyDiv w:val="1"/>
      <w:marLeft w:val="0"/>
      <w:marRight w:val="0"/>
      <w:marTop w:val="0"/>
      <w:marBottom w:val="0"/>
      <w:divBdr>
        <w:top w:val="none" w:sz="0" w:space="0" w:color="auto"/>
        <w:left w:val="none" w:sz="0" w:space="0" w:color="auto"/>
        <w:bottom w:val="none" w:sz="0" w:space="0" w:color="auto"/>
        <w:right w:val="none" w:sz="0" w:space="0" w:color="auto"/>
      </w:divBdr>
    </w:div>
    <w:div w:id="309673046">
      <w:bodyDiv w:val="1"/>
      <w:marLeft w:val="0"/>
      <w:marRight w:val="0"/>
      <w:marTop w:val="0"/>
      <w:marBottom w:val="0"/>
      <w:divBdr>
        <w:top w:val="none" w:sz="0" w:space="0" w:color="auto"/>
        <w:left w:val="none" w:sz="0" w:space="0" w:color="auto"/>
        <w:bottom w:val="none" w:sz="0" w:space="0" w:color="auto"/>
        <w:right w:val="none" w:sz="0" w:space="0" w:color="auto"/>
      </w:divBdr>
    </w:div>
    <w:div w:id="315424997">
      <w:bodyDiv w:val="1"/>
      <w:marLeft w:val="0"/>
      <w:marRight w:val="0"/>
      <w:marTop w:val="0"/>
      <w:marBottom w:val="0"/>
      <w:divBdr>
        <w:top w:val="none" w:sz="0" w:space="0" w:color="auto"/>
        <w:left w:val="none" w:sz="0" w:space="0" w:color="auto"/>
        <w:bottom w:val="none" w:sz="0" w:space="0" w:color="auto"/>
        <w:right w:val="none" w:sz="0" w:space="0" w:color="auto"/>
      </w:divBdr>
    </w:div>
    <w:div w:id="391269423">
      <w:bodyDiv w:val="1"/>
      <w:marLeft w:val="0"/>
      <w:marRight w:val="0"/>
      <w:marTop w:val="0"/>
      <w:marBottom w:val="0"/>
      <w:divBdr>
        <w:top w:val="none" w:sz="0" w:space="0" w:color="auto"/>
        <w:left w:val="none" w:sz="0" w:space="0" w:color="auto"/>
        <w:bottom w:val="none" w:sz="0" w:space="0" w:color="auto"/>
        <w:right w:val="none" w:sz="0" w:space="0" w:color="auto"/>
      </w:divBdr>
    </w:div>
    <w:div w:id="405540723">
      <w:bodyDiv w:val="1"/>
      <w:marLeft w:val="0"/>
      <w:marRight w:val="0"/>
      <w:marTop w:val="0"/>
      <w:marBottom w:val="0"/>
      <w:divBdr>
        <w:top w:val="none" w:sz="0" w:space="0" w:color="auto"/>
        <w:left w:val="none" w:sz="0" w:space="0" w:color="auto"/>
        <w:bottom w:val="none" w:sz="0" w:space="0" w:color="auto"/>
        <w:right w:val="none" w:sz="0" w:space="0" w:color="auto"/>
      </w:divBdr>
    </w:div>
    <w:div w:id="410278754">
      <w:bodyDiv w:val="1"/>
      <w:marLeft w:val="0"/>
      <w:marRight w:val="0"/>
      <w:marTop w:val="0"/>
      <w:marBottom w:val="0"/>
      <w:divBdr>
        <w:top w:val="none" w:sz="0" w:space="0" w:color="auto"/>
        <w:left w:val="none" w:sz="0" w:space="0" w:color="auto"/>
        <w:bottom w:val="none" w:sz="0" w:space="0" w:color="auto"/>
        <w:right w:val="none" w:sz="0" w:space="0" w:color="auto"/>
      </w:divBdr>
    </w:div>
    <w:div w:id="430467545">
      <w:bodyDiv w:val="1"/>
      <w:marLeft w:val="0"/>
      <w:marRight w:val="0"/>
      <w:marTop w:val="0"/>
      <w:marBottom w:val="0"/>
      <w:divBdr>
        <w:top w:val="none" w:sz="0" w:space="0" w:color="auto"/>
        <w:left w:val="none" w:sz="0" w:space="0" w:color="auto"/>
        <w:bottom w:val="none" w:sz="0" w:space="0" w:color="auto"/>
        <w:right w:val="none" w:sz="0" w:space="0" w:color="auto"/>
      </w:divBdr>
    </w:div>
    <w:div w:id="446507348">
      <w:bodyDiv w:val="1"/>
      <w:marLeft w:val="0"/>
      <w:marRight w:val="0"/>
      <w:marTop w:val="0"/>
      <w:marBottom w:val="0"/>
      <w:divBdr>
        <w:top w:val="none" w:sz="0" w:space="0" w:color="auto"/>
        <w:left w:val="none" w:sz="0" w:space="0" w:color="auto"/>
        <w:bottom w:val="none" w:sz="0" w:space="0" w:color="auto"/>
        <w:right w:val="none" w:sz="0" w:space="0" w:color="auto"/>
      </w:divBdr>
    </w:div>
    <w:div w:id="493381545">
      <w:bodyDiv w:val="1"/>
      <w:marLeft w:val="0"/>
      <w:marRight w:val="0"/>
      <w:marTop w:val="0"/>
      <w:marBottom w:val="0"/>
      <w:divBdr>
        <w:top w:val="none" w:sz="0" w:space="0" w:color="auto"/>
        <w:left w:val="none" w:sz="0" w:space="0" w:color="auto"/>
        <w:bottom w:val="none" w:sz="0" w:space="0" w:color="auto"/>
        <w:right w:val="none" w:sz="0" w:space="0" w:color="auto"/>
      </w:divBdr>
    </w:div>
    <w:div w:id="504632302">
      <w:bodyDiv w:val="1"/>
      <w:marLeft w:val="0"/>
      <w:marRight w:val="0"/>
      <w:marTop w:val="0"/>
      <w:marBottom w:val="0"/>
      <w:divBdr>
        <w:top w:val="none" w:sz="0" w:space="0" w:color="auto"/>
        <w:left w:val="none" w:sz="0" w:space="0" w:color="auto"/>
        <w:bottom w:val="none" w:sz="0" w:space="0" w:color="auto"/>
        <w:right w:val="none" w:sz="0" w:space="0" w:color="auto"/>
      </w:divBdr>
    </w:div>
    <w:div w:id="510947122">
      <w:bodyDiv w:val="1"/>
      <w:marLeft w:val="0"/>
      <w:marRight w:val="0"/>
      <w:marTop w:val="0"/>
      <w:marBottom w:val="0"/>
      <w:divBdr>
        <w:top w:val="none" w:sz="0" w:space="0" w:color="auto"/>
        <w:left w:val="none" w:sz="0" w:space="0" w:color="auto"/>
        <w:bottom w:val="none" w:sz="0" w:space="0" w:color="auto"/>
        <w:right w:val="none" w:sz="0" w:space="0" w:color="auto"/>
      </w:divBdr>
    </w:div>
    <w:div w:id="527451558">
      <w:bodyDiv w:val="1"/>
      <w:marLeft w:val="0"/>
      <w:marRight w:val="0"/>
      <w:marTop w:val="0"/>
      <w:marBottom w:val="0"/>
      <w:divBdr>
        <w:top w:val="none" w:sz="0" w:space="0" w:color="auto"/>
        <w:left w:val="none" w:sz="0" w:space="0" w:color="auto"/>
        <w:bottom w:val="none" w:sz="0" w:space="0" w:color="auto"/>
        <w:right w:val="none" w:sz="0" w:space="0" w:color="auto"/>
      </w:divBdr>
    </w:div>
    <w:div w:id="580678457">
      <w:bodyDiv w:val="1"/>
      <w:marLeft w:val="0"/>
      <w:marRight w:val="0"/>
      <w:marTop w:val="0"/>
      <w:marBottom w:val="0"/>
      <w:divBdr>
        <w:top w:val="none" w:sz="0" w:space="0" w:color="auto"/>
        <w:left w:val="none" w:sz="0" w:space="0" w:color="auto"/>
        <w:bottom w:val="none" w:sz="0" w:space="0" w:color="auto"/>
        <w:right w:val="none" w:sz="0" w:space="0" w:color="auto"/>
      </w:divBdr>
      <w:divsChild>
        <w:div w:id="1438018169">
          <w:marLeft w:val="0"/>
          <w:marRight w:val="0"/>
          <w:marTop w:val="0"/>
          <w:marBottom w:val="0"/>
          <w:divBdr>
            <w:top w:val="none" w:sz="0" w:space="0" w:color="auto"/>
            <w:left w:val="none" w:sz="0" w:space="0" w:color="auto"/>
            <w:bottom w:val="none" w:sz="0" w:space="0" w:color="auto"/>
            <w:right w:val="none" w:sz="0" w:space="0" w:color="auto"/>
          </w:divBdr>
        </w:div>
        <w:div w:id="1798838184">
          <w:marLeft w:val="0"/>
          <w:marRight w:val="0"/>
          <w:marTop w:val="0"/>
          <w:marBottom w:val="0"/>
          <w:divBdr>
            <w:top w:val="none" w:sz="0" w:space="0" w:color="auto"/>
            <w:left w:val="none" w:sz="0" w:space="0" w:color="auto"/>
            <w:bottom w:val="none" w:sz="0" w:space="0" w:color="auto"/>
            <w:right w:val="none" w:sz="0" w:space="0" w:color="auto"/>
          </w:divBdr>
          <w:divsChild>
            <w:div w:id="1016542658">
              <w:marLeft w:val="0"/>
              <w:marRight w:val="165"/>
              <w:marTop w:val="150"/>
              <w:marBottom w:val="0"/>
              <w:divBdr>
                <w:top w:val="none" w:sz="0" w:space="0" w:color="auto"/>
                <w:left w:val="none" w:sz="0" w:space="0" w:color="auto"/>
                <w:bottom w:val="none" w:sz="0" w:space="0" w:color="auto"/>
                <w:right w:val="none" w:sz="0" w:space="0" w:color="auto"/>
              </w:divBdr>
              <w:divsChild>
                <w:div w:id="1912226452">
                  <w:marLeft w:val="0"/>
                  <w:marRight w:val="0"/>
                  <w:marTop w:val="0"/>
                  <w:marBottom w:val="0"/>
                  <w:divBdr>
                    <w:top w:val="none" w:sz="0" w:space="0" w:color="auto"/>
                    <w:left w:val="none" w:sz="0" w:space="0" w:color="auto"/>
                    <w:bottom w:val="none" w:sz="0" w:space="0" w:color="auto"/>
                    <w:right w:val="none" w:sz="0" w:space="0" w:color="auto"/>
                  </w:divBdr>
                  <w:divsChild>
                    <w:div w:id="15165056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902594">
      <w:bodyDiv w:val="1"/>
      <w:marLeft w:val="0"/>
      <w:marRight w:val="0"/>
      <w:marTop w:val="0"/>
      <w:marBottom w:val="0"/>
      <w:divBdr>
        <w:top w:val="none" w:sz="0" w:space="0" w:color="auto"/>
        <w:left w:val="none" w:sz="0" w:space="0" w:color="auto"/>
        <w:bottom w:val="none" w:sz="0" w:space="0" w:color="auto"/>
        <w:right w:val="none" w:sz="0" w:space="0" w:color="auto"/>
      </w:divBdr>
    </w:div>
    <w:div w:id="665747087">
      <w:bodyDiv w:val="1"/>
      <w:marLeft w:val="0"/>
      <w:marRight w:val="0"/>
      <w:marTop w:val="0"/>
      <w:marBottom w:val="0"/>
      <w:divBdr>
        <w:top w:val="none" w:sz="0" w:space="0" w:color="auto"/>
        <w:left w:val="none" w:sz="0" w:space="0" w:color="auto"/>
        <w:bottom w:val="none" w:sz="0" w:space="0" w:color="auto"/>
        <w:right w:val="none" w:sz="0" w:space="0" w:color="auto"/>
      </w:divBdr>
    </w:div>
    <w:div w:id="690884909">
      <w:bodyDiv w:val="1"/>
      <w:marLeft w:val="0"/>
      <w:marRight w:val="0"/>
      <w:marTop w:val="0"/>
      <w:marBottom w:val="0"/>
      <w:divBdr>
        <w:top w:val="none" w:sz="0" w:space="0" w:color="auto"/>
        <w:left w:val="none" w:sz="0" w:space="0" w:color="auto"/>
        <w:bottom w:val="none" w:sz="0" w:space="0" w:color="auto"/>
        <w:right w:val="none" w:sz="0" w:space="0" w:color="auto"/>
      </w:divBdr>
    </w:div>
    <w:div w:id="778988297">
      <w:bodyDiv w:val="1"/>
      <w:marLeft w:val="0"/>
      <w:marRight w:val="0"/>
      <w:marTop w:val="0"/>
      <w:marBottom w:val="0"/>
      <w:divBdr>
        <w:top w:val="none" w:sz="0" w:space="0" w:color="auto"/>
        <w:left w:val="none" w:sz="0" w:space="0" w:color="auto"/>
        <w:bottom w:val="none" w:sz="0" w:space="0" w:color="auto"/>
        <w:right w:val="none" w:sz="0" w:space="0" w:color="auto"/>
      </w:divBdr>
    </w:div>
    <w:div w:id="814957602">
      <w:bodyDiv w:val="1"/>
      <w:marLeft w:val="0"/>
      <w:marRight w:val="0"/>
      <w:marTop w:val="0"/>
      <w:marBottom w:val="0"/>
      <w:divBdr>
        <w:top w:val="none" w:sz="0" w:space="0" w:color="auto"/>
        <w:left w:val="none" w:sz="0" w:space="0" w:color="auto"/>
        <w:bottom w:val="none" w:sz="0" w:space="0" w:color="auto"/>
        <w:right w:val="none" w:sz="0" w:space="0" w:color="auto"/>
      </w:divBdr>
    </w:div>
    <w:div w:id="865219333">
      <w:bodyDiv w:val="1"/>
      <w:marLeft w:val="0"/>
      <w:marRight w:val="0"/>
      <w:marTop w:val="0"/>
      <w:marBottom w:val="0"/>
      <w:divBdr>
        <w:top w:val="none" w:sz="0" w:space="0" w:color="auto"/>
        <w:left w:val="none" w:sz="0" w:space="0" w:color="auto"/>
        <w:bottom w:val="none" w:sz="0" w:space="0" w:color="auto"/>
        <w:right w:val="none" w:sz="0" w:space="0" w:color="auto"/>
      </w:divBdr>
    </w:div>
    <w:div w:id="930820729">
      <w:bodyDiv w:val="1"/>
      <w:marLeft w:val="0"/>
      <w:marRight w:val="0"/>
      <w:marTop w:val="0"/>
      <w:marBottom w:val="0"/>
      <w:divBdr>
        <w:top w:val="none" w:sz="0" w:space="0" w:color="auto"/>
        <w:left w:val="none" w:sz="0" w:space="0" w:color="auto"/>
        <w:bottom w:val="none" w:sz="0" w:space="0" w:color="auto"/>
        <w:right w:val="none" w:sz="0" w:space="0" w:color="auto"/>
      </w:divBdr>
    </w:div>
    <w:div w:id="954795398">
      <w:bodyDiv w:val="1"/>
      <w:marLeft w:val="0"/>
      <w:marRight w:val="0"/>
      <w:marTop w:val="0"/>
      <w:marBottom w:val="0"/>
      <w:divBdr>
        <w:top w:val="none" w:sz="0" w:space="0" w:color="auto"/>
        <w:left w:val="none" w:sz="0" w:space="0" w:color="auto"/>
        <w:bottom w:val="none" w:sz="0" w:space="0" w:color="auto"/>
        <w:right w:val="none" w:sz="0" w:space="0" w:color="auto"/>
      </w:divBdr>
    </w:div>
    <w:div w:id="967005894">
      <w:bodyDiv w:val="1"/>
      <w:marLeft w:val="0"/>
      <w:marRight w:val="0"/>
      <w:marTop w:val="0"/>
      <w:marBottom w:val="0"/>
      <w:divBdr>
        <w:top w:val="none" w:sz="0" w:space="0" w:color="auto"/>
        <w:left w:val="none" w:sz="0" w:space="0" w:color="auto"/>
        <w:bottom w:val="none" w:sz="0" w:space="0" w:color="auto"/>
        <w:right w:val="none" w:sz="0" w:space="0" w:color="auto"/>
      </w:divBdr>
    </w:div>
    <w:div w:id="979306763">
      <w:bodyDiv w:val="1"/>
      <w:marLeft w:val="0"/>
      <w:marRight w:val="0"/>
      <w:marTop w:val="0"/>
      <w:marBottom w:val="0"/>
      <w:divBdr>
        <w:top w:val="none" w:sz="0" w:space="0" w:color="auto"/>
        <w:left w:val="none" w:sz="0" w:space="0" w:color="auto"/>
        <w:bottom w:val="none" w:sz="0" w:space="0" w:color="auto"/>
        <w:right w:val="none" w:sz="0" w:space="0" w:color="auto"/>
      </w:divBdr>
    </w:div>
    <w:div w:id="981738272">
      <w:bodyDiv w:val="1"/>
      <w:marLeft w:val="0"/>
      <w:marRight w:val="0"/>
      <w:marTop w:val="0"/>
      <w:marBottom w:val="0"/>
      <w:divBdr>
        <w:top w:val="none" w:sz="0" w:space="0" w:color="auto"/>
        <w:left w:val="none" w:sz="0" w:space="0" w:color="auto"/>
        <w:bottom w:val="none" w:sz="0" w:space="0" w:color="auto"/>
        <w:right w:val="none" w:sz="0" w:space="0" w:color="auto"/>
      </w:divBdr>
    </w:div>
    <w:div w:id="988287074">
      <w:bodyDiv w:val="1"/>
      <w:marLeft w:val="0"/>
      <w:marRight w:val="0"/>
      <w:marTop w:val="0"/>
      <w:marBottom w:val="0"/>
      <w:divBdr>
        <w:top w:val="none" w:sz="0" w:space="0" w:color="auto"/>
        <w:left w:val="none" w:sz="0" w:space="0" w:color="auto"/>
        <w:bottom w:val="none" w:sz="0" w:space="0" w:color="auto"/>
        <w:right w:val="none" w:sz="0" w:space="0" w:color="auto"/>
      </w:divBdr>
    </w:div>
    <w:div w:id="1010182813">
      <w:bodyDiv w:val="1"/>
      <w:marLeft w:val="0"/>
      <w:marRight w:val="0"/>
      <w:marTop w:val="0"/>
      <w:marBottom w:val="0"/>
      <w:divBdr>
        <w:top w:val="none" w:sz="0" w:space="0" w:color="auto"/>
        <w:left w:val="none" w:sz="0" w:space="0" w:color="auto"/>
        <w:bottom w:val="none" w:sz="0" w:space="0" w:color="auto"/>
        <w:right w:val="none" w:sz="0" w:space="0" w:color="auto"/>
      </w:divBdr>
    </w:div>
    <w:div w:id="1029919356">
      <w:bodyDiv w:val="1"/>
      <w:marLeft w:val="0"/>
      <w:marRight w:val="0"/>
      <w:marTop w:val="0"/>
      <w:marBottom w:val="0"/>
      <w:divBdr>
        <w:top w:val="none" w:sz="0" w:space="0" w:color="auto"/>
        <w:left w:val="none" w:sz="0" w:space="0" w:color="auto"/>
        <w:bottom w:val="none" w:sz="0" w:space="0" w:color="auto"/>
        <w:right w:val="none" w:sz="0" w:space="0" w:color="auto"/>
      </w:divBdr>
      <w:divsChild>
        <w:div w:id="1339504872">
          <w:marLeft w:val="0"/>
          <w:marRight w:val="0"/>
          <w:marTop w:val="0"/>
          <w:marBottom w:val="0"/>
          <w:divBdr>
            <w:top w:val="none" w:sz="0" w:space="0" w:color="auto"/>
            <w:left w:val="none" w:sz="0" w:space="0" w:color="auto"/>
            <w:bottom w:val="none" w:sz="0" w:space="0" w:color="auto"/>
            <w:right w:val="none" w:sz="0" w:space="0" w:color="auto"/>
          </w:divBdr>
        </w:div>
        <w:div w:id="1219902043">
          <w:marLeft w:val="0"/>
          <w:marRight w:val="0"/>
          <w:marTop w:val="0"/>
          <w:marBottom w:val="0"/>
          <w:divBdr>
            <w:top w:val="none" w:sz="0" w:space="0" w:color="auto"/>
            <w:left w:val="none" w:sz="0" w:space="0" w:color="auto"/>
            <w:bottom w:val="none" w:sz="0" w:space="0" w:color="auto"/>
            <w:right w:val="none" w:sz="0" w:space="0" w:color="auto"/>
          </w:divBdr>
          <w:divsChild>
            <w:div w:id="1330478060">
              <w:marLeft w:val="0"/>
              <w:marRight w:val="165"/>
              <w:marTop w:val="150"/>
              <w:marBottom w:val="0"/>
              <w:divBdr>
                <w:top w:val="none" w:sz="0" w:space="0" w:color="auto"/>
                <w:left w:val="none" w:sz="0" w:space="0" w:color="auto"/>
                <w:bottom w:val="none" w:sz="0" w:space="0" w:color="auto"/>
                <w:right w:val="none" w:sz="0" w:space="0" w:color="auto"/>
              </w:divBdr>
              <w:divsChild>
                <w:div w:id="62027696">
                  <w:marLeft w:val="0"/>
                  <w:marRight w:val="0"/>
                  <w:marTop w:val="0"/>
                  <w:marBottom w:val="0"/>
                  <w:divBdr>
                    <w:top w:val="none" w:sz="0" w:space="0" w:color="auto"/>
                    <w:left w:val="none" w:sz="0" w:space="0" w:color="auto"/>
                    <w:bottom w:val="none" w:sz="0" w:space="0" w:color="auto"/>
                    <w:right w:val="none" w:sz="0" w:space="0" w:color="auto"/>
                  </w:divBdr>
                  <w:divsChild>
                    <w:div w:id="74908617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820524">
      <w:bodyDiv w:val="1"/>
      <w:marLeft w:val="0"/>
      <w:marRight w:val="0"/>
      <w:marTop w:val="0"/>
      <w:marBottom w:val="0"/>
      <w:divBdr>
        <w:top w:val="none" w:sz="0" w:space="0" w:color="auto"/>
        <w:left w:val="none" w:sz="0" w:space="0" w:color="auto"/>
        <w:bottom w:val="none" w:sz="0" w:space="0" w:color="auto"/>
        <w:right w:val="none" w:sz="0" w:space="0" w:color="auto"/>
      </w:divBdr>
    </w:div>
    <w:div w:id="1074087288">
      <w:bodyDiv w:val="1"/>
      <w:marLeft w:val="0"/>
      <w:marRight w:val="0"/>
      <w:marTop w:val="0"/>
      <w:marBottom w:val="0"/>
      <w:divBdr>
        <w:top w:val="none" w:sz="0" w:space="0" w:color="auto"/>
        <w:left w:val="none" w:sz="0" w:space="0" w:color="auto"/>
        <w:bottom w:val="none" w:sz="0" w:space="0" w:color="auto"/>
        <w:right w:val="none" w:sz="0" w:space="0" w:color="auto"/>
      </w:divBdr>
    </w:div>
    <w:div w:id="1164472872">
      <w:bodyDiv w:val="1"/>
      <w:marLeft w:val="0"/>
      <w:marRight w:val="0"/>
      <w:marTop w:val="0"/>
      <w:marBottom w:val="0"/>
      <w:divBdr>
        <w:top w:val="none" w:sz="0" w:space="0" w:color="auto"/>
        <w:left w:val="none" w:sz="0" w:space="0" w:color="auto"/>
        <w:bottom w:val="none" w:sz="0" w:space="0" w:color="auto"/>
        <w:right w:val="none" w:sz="0" w:space="0" w:color="auto"/>
      </w:divBdr>
    </w:div>
    <w:div w:id="1196582785">
      <w:bodyDiv w:val="1"/>
      <w:marLeft w:val="0"/>
      <w:marRight w:val="0"/>
      <w:marTop w:val="0"/>
      <w:marBottom w:val="0"/>
      <w:divBdr>
        <w:top w:val="none" w:sz="0" w:space="0" w:color="auto"/>
        <w:left w:val="none" w:sz="0" w:space="0" w:color="auto"/>
        <w:bottom w:val="none" w:sz="0" w:space="0" w:color="auto"/>
        <w:right w:val="none" w:sz="0" w:space="0" w:color="auto"/>
      </w:divBdr>
    </w:div>
    <w:div w:id="1234122426">
      <w:bodyDiv w:val="1"/>
      <w:marLeft w:val="0"/>
      <w:marRight w:val="0"/>
      <w:marTop w:val="0"/>
      <w:marBottom w:val="0"/>
      <w:divBdr>
        <w:top w:val="none" w:sz="0" w:space="0" w:color="auto"/>
        <w:left w:val="none" w:sz="0" w:space="0" w:color="auto"/>
        <w:bottom w:val="none" w:sz="0" w:space="0" w:color="auto"/>
        <w:right w:val="none" w:sz="0" w:space="0" w:color="auto"/>
      </w:divBdr>
    </w:div>
    <w:div w:id="1273778430">
      <w:bodyDiv w:val="1"/>
      <w:marLeft w:val="0"/>
      <w:marRight w:val="0"/>
      <w:marTop w:val="0"/>
      <w:marBottom w:val="0"/>
      <w:divBdr>
        <w:top w:val="none" w:sz="0" w:space="0" w:color="auto"/>
        <w:left w:val="none" w:sz="0" w:space="0" w:color="auto"/>
        <w:bottom w:val="none" w:sz="0" w:space="0" w:color="auto"/>
        <w:right w:val="none" w:sz="0" w:space="0" w:color="auto"/>
      </w:divBdr>
    </w:div>
    <w:div w:id="1278639535">
      <w:bodyDiv w:val="1"/>
      <w:marLeft w:val="0"/>
      <w:marRight w:val="0"/>
      <w:marTop w:val="0"/>
      <w:marBottom w:val="0"/>
      <w:divBdr>
        <w:top w:val="none" w:sz="0" w:space="0" w:color="auto"/>
        <w:left w:val="none" w:sz="0" w:space="0" w:color="auto"/>
        <w:bottom w:val="none" w:sz="0" w:space="0" w:color="auto"/>
        <w:right w:val="none" w:sz="0" w:space="0" w:color="auto"/>
      </w:divBdr>
    </w:div>
    <w:div w:id="1280451968">
      <w:bodyDiv w:val="1"/>
      <w:marLeft w:val="0"/>
      <w:marRight w:val="0"/>
      <w:marTop w:val="0"/>
      <w:marBottom w:val="0"/>
      <w:divBdr>
        <w:top w:val="none" w:sz="0" w:space="0" w:color="auto"/>
        <w:left w:val="none" w:sz="0" w:space="0" w:color="auto"/>
        <w:bottom w:val="none" w:sz="0" w:space="0" w:color="auto"/>
        <w:right w:val="none" w:sz="0" w:space="0" w:color="auto"/>
      </w:divBdr>
    </w:div>
    <w:div w:id="1304846160">
      <w:bodyDiv w:val="1"/>
      <w:marLeft w:val="0"/>
      <w:marRight w:val="0"/>
      <w:marTop w:val="0"/>
      <w:marBottom w:val="0"/>
      <w:divBdr>
        <w:top w:val="none" w:sz="0" w:space="0" w:color="auto"/>
        <w:left w:val="none" w:sz="0" w:space="0" w:color="auto"/>
        <w:bottom w:val="none" w:sz="0" w:space="0" w:color="auto"/>
        <w:right w:val="none" w:sz="0" w:space="0" w:color="auto"/>
      </w:divBdr>
    </w:div>
    <w:div w:id="1347633465">
      <w:bodyDiv w:val="1"/>
      <w:marLeft w:val="0"/>
      <w:marRight w:val="0"/>
      <w:marTop w:val="0"/>
      <w:marBottom w:val="0"/>
      <w:divBdr>
        <w:top w:val="none" w:sz="0" w:space="0" w:color="auto"/>
        <w:left w:val="none" w:sz="0" w:space="0" w:color="auto"/>
        <w:bottom w:val="none" w:sz="0" w:space="0" w:color="auto"/>
        <w:right w:val="none" w:sz="0" w:space="0" w:color="auto"/>
      </w:divBdr>
    </w:div>
    <w:div w:id="1360623956">
      <w:bodyDiv w:val="1"/>
      <w:marLeft w:val="0"/>
      <w:marRight w:val="0"/>
      <w:marTop w:val="0"/>
      <w:marBottom w:val="0"/>
      <w:divBdr>
        <w:top w:val="none" w:sz="0" w:space="0" w:color="auto"/>
        <w:left w:val="none" w:sz="0" w:space="0" w:color="auto"/>
        <w:bottom w:val="none" w:sz="0" w:space="0" w:color="auto"/>
        <w:right w:val="none" w:sz="0" w:space="0" w:color="auto"/>
      </w:divBdr>
    </w:div>
    <w:div w:id="1401752343">
      <w:bodyDiv w:val="1"/>
      <w:marLeft w:val="0"/>
      <w:marRight w:val="0"/>
      <w:marTop w:val="0"/>
      <w:marBottom w:val="0"/>
      <w:divBdr>
        <w:top w:val="none" w:sz="0" w:space="0" w:color="auto"/>
        <w:left w:val="none" w:sz="0" w:space="0" w:color="auto"/>
        <w:bottom w:val="none" w:sz="0" w:space="0" w:color="auto"/>
        <w:right w:val="none" w:sz="0" w:space="0" w:color="auto"/>
      </w:divBdr>
    </w:div>
    <w:div w:id="1409034763">
      <w:bodyDiv w:val="1"/>
      <w:marLeft w:val="0"/>
      <w:marRight w:val="0"/>
      <w:marTop w:val="0"/>
      <w:marBottom w:val="0"/>
      <w:divBdr>
        <w:top w:val="none" w:sz="0" w:space="0" w:color="auto"/>
        <w:left w:val="none" w:sz="0" w:space="0" w:color="auto"/>
        <w:bottom w:val="none" w:sz="0" w:space="0" w:color="auto"/>
        <w:right w:val="none" w:sz="0" w:space="0" w:color="auto"/>
      </w:divBdr>
    </w:div>
    <w:div w:id="1439450273">
      <w:bodyDiv w:val="1"/>
      <w:marLeft w:val="0"/>
      <w:marRight w:val="0"/>
      <w:marTop w:val="0"/>
      <w:marBottom w:val="0"/>
      <w:divBdr>
        <w:top w:val="none" w:sz="0" w:space="0" w:color="auto"/>
        <w:left w:val="none" w:sz="0" w:space="0" w:color="auto"/>
        <w:bottom w:val="none" w:sz="0" w:space="0" w:color="auto"/>
        <w:right w:val="none" w:sz="0" w:space="0" w:color="auto"/>
      </w:divBdr>
    </w:div>
    <w:div w:id="1441293129">
      <w:bodyDiv w:val="1"/>
      <w:marLeft w:val="0"/>
      <w:marRight w:val="0"/>
      <w:marTop w:val="0"/>
      <w:marBottom w:val="0"/>
      <w:divBdr>
        <w:top w:val="none" w:sz="0" w:space="0" w:color="auto"/>
        <w:left w:val="none" w:sz="0" w:space="0" w:color="auto"/>
        <w:bottom w:val="none" w:sz="0" w:space="0" w:color="auto"/>
        <w:right w:val="none" w:sz="0" w:space="0" w:color="auto"/>
      </w:divBdr>
    </w:div>
    <w:div w:id="1447969768">
      <w:bodyDiv w:val="1"/>
      <w:marLeft w:val="0"/>
      <w:marRight w:val="0"/>
      <w:marTop w:val="0"/>
      <w:marBottom w:val="0"/>
      <w:divBdr>
        <w:top w:val="none" w:sz="0" w:space="0" w:color="auto"/>
        <w:left w:val="none" w:sz="0" w:space="0" w:color="auto"/>
        <w:bottom w:val="none" w:sz="0" w:space="0" w:color="auto"/>
        <w:right w:val="none" w:sz="0" w:space="0" w:color="auto"/>
      </w:divBdr>
    </w:div>
    <w:div w:id="1451390784">
      <w:bodyDiv w:val="1"/>
      <w:marLeft w:val="0"/>
      <w:marRight w:val="0"/>
      <w:marTop w:val="0"/>
      <w:marBottom w:val="0"/>
      <w:divBdr>
        <w:top w:val="none" w:sz="0" w:space="0" w:color="auto"/>
        <w:left w:val="none" w:sz="0" w:space="0" w:color="auto"/>
        <w:bottom w:val="none" w:sz="0" w:space="0" w:color="auto"/>
        <w:right w:val="none" w:sz="0" w:space="0" w:color="auto"/>
      </w:divBdr>
    </w:div>
    <w:div w:id="1483158479">
      <w:bodyDiv w:val="1"/>
      <w:marLeft w:val="0"/>
      <w:marRight w:val="0"/>
      <w:marTop w:val="0"/>
      <w:marBottom w:val="0"/>
      <w:divBdr>
        <w:top w:val="none" w:sz="0" w:space="0" w:color="auto"/>
        <w:left w:val="none" w:sz="0" w:space="0" w:color="auto"/>
        <w:bottom w:val="none" w:sz="0" w:space="0" w:color="auto"/>
        <w:right w:val="none" w:sz="0" w:space="0" w:color="auto"/>
      </w:divBdr>
    </w:div>
    <w:div w:id="1491410887">
      <w:bodyDiv w:val="1"/>
      <w:marLeft w:val="0"/>
      <w:marRight w:val="0"/>
      <w:marTop w:val="0"/>
      <w:marBottom w:val="0"/>
      <w:divBdr>
        <w:top w:val="none" w:sz="0" w:space="0" w:color="auto"/>
        <w:left w:val="none" w:sz="0" w:space="0" w:color="auto"/>
        <w:bottom w:val="none" w:sz="0" w:space="0" w:color="auto"/>
        <w:right w:val="none" w:sz="0" w:space="0" w:color="auto"/>
      </w:divBdr>
    </w:div>
    <w:div w:id="1523516256">
      <w:bodyDiv w:val="1"/>
      <w:marLeft w:val="0"/>
      <w:marRight w:val="0"/>
      <w:marTop w:val="0"/>
      <w:marBottom w:val="0"/>
      <w:divBdr>
        <w:top w:val="none" w:sz="0" w:space="0" w:color="auto"/>
        <w:left w:val="none" w:sz="0" w:space="0" w:color="auto"/>
        <w:bottom w:val="none" w:sz="0" w:space="0" w:color="auto"/>
        <w:right w:val="none" w:sz="0" w:space="0" w:color="auto"/>
      </w:divBdr>
    </w:div>
    <w:div w:id="1529030750">
      <w:bodyDiv w:val="1"/>
      <w:marLeft w:val="0"/>
      <w:marRight w:val="0"/>
      <w:marTop w:val="0"/>
      <w:marBottom w:val="0"/>
      <w:divBdr>
        <w:top w:val="none" w:sz="0" w:space="0" w:color="auto"/>
        <w:left w:val="none" w:sz="0" w:space="0" w:color="auto"/>
        <w:bottom w:val="none" w:sz="0" w:space="0" w:color="auto"/>
        <w:right w:val="none" w:sz="0" w:space="0" w:color="auto"/>
      </w:divBdr>
    </w:div>
    <w:div w:id="1555317165">
      <w:bodyDiv w:val="1"/>
      <w:marLeft w:val="0"/>
      <w:marRight w:val="0"/>
      <w:marTop w:val="0"/>
      <w:marBottom w:val="0"/>
      <w:divBdr>
        <w:top w:val="none" w:sz="0" w:space="0" w:color="auto"/>
        <w:left w:val="none" w:sz="0" w:space="0" w:color="auto"/>
        <w:bottom w:val="none" w:sz="0" w:space="0" w:color="auto"/>
        <w:right w:val="none" w:sz="0" w:space="0" w:color="auto"/>
      </w:divBdr>
    </w:div>
    <w:div w:id="1571621608">
      <w:bodyDiv w:val="1"/>
      <w:marLeft w:val="0"/>
      <w:marRight w:val="0"/>
      <w:marTop w:val="0"/>
      <w:marBottom w:val="0"/>
      <w:divBdr>
        <w:top w:val="none" w:sz="0" w:space="0" w:color="auto"/>
        <w:left w:val="none" w:sz="0" w:space="0" w:color="auto"/>
        <w:bottom w:val="none" w:sz="0" w:space="0" w:color="auto"/>
        <w:right w:val="none" w:sz="0" w:space="0" w:color="auto"/>
      </w:divBdr>
      <w:divsChild>
        <w:div w:id="183178747">
          <w:marLeft w:val="0"/>
          <w:marRight w:val="0"/>
          <w:marTop w:val="0"/>
          <w:marBottom w:val="0"/>
          <w:divBdr>
            <w:top w:val="none" w:sz="0" w:space="0" w:color="auto"/>
            <w:left w:val="none" w:sz="0" w:space="0" w:color="auto"/>
            <w:bottom w:val="none" w:sz="0" w:space="0" w:color="auto"/>
            <w:right w:val="none" w:sz="0" w:space="0" w:color="auto"/>
          </w:divBdr>
        </w:div>
      </w:divsChild>
    </w:div>
    <w:div w:id="1601403048">
      <w:bodyDiv w:val="1"/>
      <w:marLeft w:val="0"/>
      <w:marRight w:val="0"/>
      <w:marTop w:val="0"/>
      <w:marBottom w:val="0"/>
      <w:divBdr>
        <w:top w:val="none" w:sz="0" w:space="0" w:color="auto"/>
        <w:left w:val="none" w:sz="0" w:space="0" w:color="auto"/>
        <w:bottom w:val="none" w:sz="0" w:space="0" w:color="auto"/>
        <w:right w:val="none" w:sz="0" w:space="0" w:color="auto"/>
      </w:divBdr>
    </w:div>
    <w:div w:id="1626618377">
      <w:bodyDiv w:val="1"/>
      <w:marLeft w:val="0"/>
      <w:marRight w:val="0"/>
      <w:marTop w:val="0"/>
      <w:marBottom w:val="0"/>
      <w:divBdr>
        <w:top w:val="none" w:sz="0" w:space="0" w:color="auto"/>
        <w:left w:val="none" w:sz="0" w:space="0" w:color="auto"/>
        <w:bottom w:val="none" w:sz="0" w:space="0" w:color="auto"/>
        <w:right w:val="none" w:sz="0" w:space="0" w:color="auto"/>
      </w:divBdr>
    </w:div>
    <w:div w:id="1627857237">
      <w:bodyDiv w:val="1"/>
      <w:marLeft w:val="0"/>
      <w:marRight w:val="0"/>
      <w:marTop w:val="0"/>
      <w:marBottom w:val="0"/>
      <w:divBdr>
        <w:top w:val="none" w:sz="0" w:space="0" w:color="auto"/>
        <w:left w:val="none" w:sz="0" w:space="0" w:color="auto"/>
        <w:bottom w:val="none" w:sz="0" w:space="0" w:color="auto"/>
        <w:right w:val="none" w:sz="0" w:space="0" w:color="auto"/>
      </w:divBdr>
    </w:div>
    <w:div w:id="1633635344">
      <w:bodyDiv w:val="1"/>
      <w:marLeft w:val="0"/>
      <w:marRight w:val="0"/>
      <w:marTop w:val="0"/>
      <w:marBottom w:val="0"/>
      <w:divBdr>
        <w:top w:val="none" w:sz="0" w:space="0" w:color="auto"/>
        <w:left w:val="none" w:sz="0" w:space="0" w:color="auto"/>
        <w:bottom w:val="none" w:sz="0" w:space="0" w:color="auto"/>
        <w:right w:val="none" w:sz="0" w:space="0" w:color="auto"/>
      </w:divBdr>
    </w:div>
    <w:div w:id="1655985563">
      <w:bodyDiv w:val="1"/>
      <w:marLeft w:val="0"/>
      <w:marRight w:val="0"/>
      <w:marTop w:val="0"/>
      <w:marBottom w:val="0"/>
      <w:divBdr>
        <w:top w:val="none" w:sz="0" w:space="0" w:color="auto"/>
        <w:left w:val="none" w:sz="0" w:space="0" w:color="auto"/>
        <w:bottom w:val="none" w:sz="0" w:space="0" w:color="auto"/>
        <w:right w:val="none" w:sz="0" w:space="0" w:color="auto"/>
      </w:divBdr>
    </w:div>
    <w:div w:id="1659114501">
      <w:bodyDiv w:val="1"/>
      <w:marLeft w:val="0"/>
      <w:marRight w:val="0"/>
      <w:marTop w:val="0"/>
      <w:marBottom w:val="0"/>
      <w:divBdr>
        <w:top w:val="none" w:sz="0" w:space="0" w:color="auto"/>
        <w:left w:val="none" w:sz="0" w:space="0" w:color="auto"/>
        <w:bottom w:val="none" w:sz="0" w:space="0" w:color="auto"/>
        <w:right w:val="none" w:sz="0" w:space="0" w:color="auto"/>
      </w:divBdr>
    </w:div>
    <w:div w:id="1666081457">
      <w:bodyDiv w:val="1"/>
      <w:marLeft w:val="0"/>
      <w:marRight w:val="0"/>
      <w:marTop w:val="0"/>
      <w:marBottom w:val="0"/>
      <w:divBdr>
        <w:top w:val="none" w:sz="0" w:space="0" w:color="auto"/>
        <w:left w:val="none" w:sz="0" w:space="0" w:color="auto"/>
        <w:bottom w:val="none" w:sz="0" w:space="0" w:color="auto"/>
        <w:right w:val="none" w:sz="0" w:space="0" w:color="auto"/>
      </w:divBdr>
    </w:div>
    <w:div w:id="1701395013">
      <w:bodyDiv w:val="1"/>
      <w:marLeft w:val="0"/>
      <w:marRight w:val="0"/>
      <w:marTop w:val="0"/>
      <w:marBottom w:val="0"/>
      <w:divBdr>
        <w:top w:val="none" w:sz="0" w:space="0" w:color="auto"/>
        <w:left w:val="none" w:sz="0" w:space="0" w:color="auto"/>
        <w:bottom w:val="none" w:sz="0" w:space="0" w:color="auto"/>
        <w:right w:val="none" w:sz="0" w:space="0" w:color="auto"/>
      </w:divBdr>
    </w:div>
    <w:div w:id="1704016008">
      <w:bodyDiv w:val="1"/>
      <w:marLeft w:val="0"/>
      <w:marRight w:val="0"/>
      <w:marTop w:val="0"/>
      <w:marBottom w:val="0"/>
      <w:divBdr>
        <w:top w:val="none" w:sz="0" w:space="0" w:color="auto"/>
        <w:left w:val="none" w:sz="0" w:space="0" w:color="auto"/>
        <w:bottom w:val="none" w:sz="0" w:space="0" w:color="auto"/>
        <w:right w:val="none" w:sz="0" w:space="0" w:color="auto"/>
      </w:divBdr>
    </w:div>
    <w:div w:id="1726641096">
      <w:bodyDiv w:val="1"/>
      <w:marLeft w:val="0"/>
      <w:marRight w:val="0"/>
      <w:marTop w:val="0"/>
      <w:marBottom w:val="0"/>
      <w:divBdr>
        <w:top w:val="none" w:sz="0" w:space="0" w:color="auto"/>
        <w:left w:val="none" w:sz="0" w:space="0" w:color="auto"/>
        <w:bottom w:val="none" w:sz="0" w:space="0" w:color="auto"/>
        <w:right w:val="none" w:sz="0" w:space="0" w:color="auto"/>
      </w:divBdr>
    </w:div>
    <w:div w:id="1761952379">
      <w:bodyDiv w:val="1"/>
      <w:marLeft w:val="0"/>
      <w:marRight w:val="0"/>
      <w:marTop w:val="0"/>
      <w:marBottom w:val="0"/>
      <w:divBdr>
        <w:top w:val="none" w:sz="0" w:space="0" w:color="auto"/>
        <w:left w:val="none" w:sz="0" w:space="0" w:color="auto"/>
        <w:bottom w:val="none" w:sz="0" w:space="0" w:color="auto"/>
        <w:right w:val="none" w:sz="0" w:space="0" w:color="auto"/>
      </w:divBdr>
    </w:div>
    <w:div w:id="1953324308">
      <w:bodyDiv w:val="1"/>
      <w:marLeft w:val="0"/>
      <w:marRight w:val="0"/>
      <w:marTop w:val="0"/>
      <w:marBottom w:val="0"/>
      <w:divBdr>
        <w:top w:val="none" w:sz="0" w:space="0" w:color="auto"/>
        <w:left w:val="none" w:sz="0" w:space="0" w:color="auto"/>
        <w:bottom w:val="none" w:sz="0" w:space="0" w:color="auto"/>
        <w:right w:val="none" w:sz="0" w:space="0" w:color="auto"/>
      </w:divBdr>
    </w:div>
    <w:div w:id="2015574202">
      <w:bodyDiv w:val="1"/>
      <w:marLeft w:val="0"/>
      <w:marRight w:val="0"/>
      <w:marTop w:val="0"/>
      <w:marBottom w:val="0"/>
      <w:divBdr>
        <w:top w:val="none" w:sz="0" w:space="0" w:color="auto"/>
        <w:left w:val="none" w:sz="0" w:space="0" w:color="auto"/>
        <w:bottom w:val="none" w:sz="0" w:space="0" w:color="auto"/>
        <w:right w:val="none" w:sz="0" w:space="0" w:color="auto"/>
      </w:divBdr>
    </w:div>
    <w:div w:id="202573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esca.borghi@uninsubria.it" TargetMode="External"/><Relationship Id="rId13" Type="http://schemas.openxmlformats.org/officeDocument/2006/relationships/hyperlink" Target="mailto:daniele.oxoli@polimi.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iacomo.fanti@uninsubria.it"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mailto:maria.brovelli@polimi.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straccini@studenti.uninsubria.it" TargetMode="External"/><Relationship Id="rId5" Type="http://schemas.openxmlformats.org/officeDocument/2006/relationships/webSettings" Target="webSettings.xml"/><Relationship Id="rId15" Type="http://schemas.openxmlformats.org/officeDocument/2006/relationships/hyperlink" Target="mailto:domenico.cavallo@uninsubria.it" TargetMode="External"/><Relationship Id="rId10" Type="http://schemas.openxmlformats.org/officeDocument/2006/relationships/hyperlink" Target="mailto:ndenardis@studenti.uninsubria.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rea.spinazze@uninsubria.it" TargetMode="External"/><Relationship Id="rId14" Type="http://schemas.openxmlformats.org/officeDocument/2006/relationships/hyperlink" Target="mailto:andrea.cattaneo@uninsubri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75BDB-FD13-4F13-9FE3-DDD14C4C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3660</TotalTime>
  <Pages>17</Pages>
  <Words>13229</Words>
  <Characters>75409</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Borghi</dc:creator>
  <cp:keywords/>
  <dc:description/>
  <cp:lastModifiedBy>SPINAZZÈ ANDREA</cp:lastModifiedBy>
  <cp:revision>208</cp:revision>
  <dcterms:created xsi:type="dcterms:W3CDTF">2022-09-22T06:32:00Z</dcterms:created>
  <dcterms:modified xsi:type="dcterms:W3CDTF">2023-01-24T07:21:00Z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fc9cc83c-32aa-34d6-a4c0-9d68bf31267a</vt:lpwstr>
  </property>
  <property fmtid="{D5CDD505-2E9C-101B-9397-08002B2CF9AE}" pid="4" name="Mendeley Citation Style_1">
    <vt:lpwstr>http://www.zotero.org/styles/environmental-monitoring-and-assessment</vt:lpwstr>
  </property>
  <property fmtid="{D5CDD505-2E9C-101B-9397-08002B2CF9AE}" pid="5" name="Mendeley Recent Style Id 0_1">
    <vt:lpwstr>http://www.zotero.org/styles/applied-spectroscopy</vt:lpwstr>
  </property>
  <property fmtid="{D5CDD505-2E9C-101B-9397-08002B2CF9AE}" pid="6" name="Mendeley Recent Style Name 0_1">
    <vt:lpwstr>Applied Spectroscopy</vt:lpwstr>
  </property>
  <property fmtid="{D5CDD505-2E9C-101B-9397-08002B2CF9AE}" pid="7" name="Mendeley Recent Style Id 1_1">
    <vt:lpwstr>http://www.zotero.org/styles/applied-spectroscopy-reviews</vt:lpwstr>
  </property>
  <property fmtid="{D5CDD505-2E9C-101B-9397-08002B2CF9AE}" pid="8" name="Mendeley Recent Style Name 1_1">
    <vt:lpwstr>Applied Spectroscopy Reviews</vt:lpwstr>
  </property>
  <property fmtid="{D5CDD505-2E9C-101B-9397-08002B2CF9AE}" pid="9" name="Mendeley Recent Style Id 2_1">
    <vt:lpwstr>http://www.zotero.org/styles/building-and-environment</vt:lpwstr>
  </property>
  <property fmtid="{D5CDD505-2E9C-101B-9397-08002B2CF9AE}" pid="10" name="Mendeley Recent Style Name 2_1">
    <vt:lpwstr>Building and Environment</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http://www.zotero.org/styles/environmental-monitoring-and-assessment</vt:lpwstr>
  </property>
  <property fmtid="{D5CDD505-2E9C-101B-9397-08002B2CF9AE}" pid="16" name="Mendeley Recent Style Name 5_1">
    <vt:lpwstr>Environmental Monitoring and Assessment</vt:lpwstr>
  </property>
  <property fmtid="{D5CDD505-2E9C-101B-9397-08002B2CF9AE}" pid="17" name="Mendeley Recent Style Id 6_1">
    <vt:lpwstr>http://www.zotero.org/styles/journal-of-hazardous-materials</vt:lpwstr>
  </property>
  <property fmtid="{D5CDD505-2E9C-101B-9397-08002B2CF9AE}" pid="18" name="Mendeley Recent Style Name 6_1">
    <vt:lpwstr>Journal of Hazardous Materials</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http://www.zotero.org/styles/oxford-university-press-scimed-author-date</vt:lpwstr>
  </property>
  <property fmtid="{D5CDD505-2E9C-101B-9397-08002B2CF9AE}" pid="24" name="Mendeley Recent Style Name 9_1">
    <vt:lpwstr>Oxford University Press SciMed (author-date)</vt:lpwstr>
  </property>
</Properties>
</file>