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FCA57" w14:textId="77777777" w:rsidR="00276410" w:rsidRPr="003306DC" w:rsidRDefault="00276410" w:rsidP="003306DC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r w:rsidRPr="003306DC">
        <w:rPr>
          <w:b/>
          <w:sz w:val="24"/>
          <w:szCs w:val="24"/>
        </w:rPr>
        <w:t>Figures and Figure Legends</w:t>
      </w:r>
    </w:p>
    <w:p w14:paraId="40E257F4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</w:p>
    <w:p w14:paraId="4654F824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b/>
          <w:noProof/>
          <w:sz w:val="24"/>
          <w:szCs w:val="24"/>
        </w:rPr>
        <w:drawing>
          <wp:inline distT="0" distB="0" distL="0" distR="0" wp14:anchorId="206F7976" wp14:editId="6F935564">
            <wp:extent cx="5486400" cy="378292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DC">
        <w:rPr>
          <w:b/>
          <w:sz w:val="24"/>
          <w:szCs w:val="24"/>
        </w:rPr>
        <w:t xml:space="preserve">Figure 1. Analysis of HSPC content in murine BM MNCs treated with CHIR-99021 and </w:t>
      </w:r>
      <w:proofErr w:type="spellStart"/>
      <w:r w:rsidRPr="003306DC">
        <w:rPr>
          <w:b/>
          <w:sz w:val="24"/>
          <w:szCs w:val="24"/>
        </w:rPr>
        <w:t>Pluripotin</w:t>
      </w:r>
      <w:proofErr w:type="spellEnd"/>
      <w:r w:rsidRPr="003306DC">
        <w:rPr>
          <w:b/>
          <w:sz w:val="24"/>
          <w:szCs w:val="24"/>
        </w:rPr>
        <w:t xml:space="preserve">. A) </w:t>
      </w:r>
      <w:r w:rsidRPr="003306DC">
        <w:rPr>
          <w:sz w:val="24"/>
          <w:szCs w:val="24"/>
        </w:rPr>
        <w:t xml:space="preserve">The percentage of HSPC content in the Lin- cell population after 7 days of treatment with 0.1 µM, 1 µM, and 10 µM doses of CHIR-99021 and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. DMSO treated cells were used as the control group. </w:t>
      </w:r>
      <w:r w:rsidRPr="003306DC">
        <w:rPr>
          <w:b/>
          <w:sz w:val="24"/>
          <w:szCs w:val="24"/>
        </w:rPr>
        <w:t>B)</w:t>
      </w:r>
      <w:r w:rsidRPr="003306DC">
        <w:rPr>
          <w:sz w:val="24"/>
          <w:szCs w:val="24"/>
        </w:rPr>
        <w:t xml:space="preserve"> The fold differences of HSPCs after 7 days of treatment with 0.1 µM of CHIR-99021 and 1 of µM of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. Cell cycle and apoptosis analysis in murine HSPCs post CHIR-99021 and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treatments: Murine HSPCs were isolated and treated with CHIR-99021 and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. C) Cell cycle analysis and D) Apoptosis analysis post 3 days of treatments. </w:t>
      </w:r>
      <w:proofErr w:type="gramStart"/>
      <w:r w:rsidRPr="003306DC">
        <w:rPr>
          <w:sz w:val="24"/>
          <w:szCs w:val="24"/>
        </w:rPr>
        <w:t>n</w:t>
      </w:r>
      <w:proofErr w:type="gramEnd"/>
      <w:r w:rsidRPr="003306DC">
        <w:rPr>
          <w:sz w:val="24"/>
          <w:szCs w:val="24"/>
        </w:rPr>
        <w:t xml:space="preserve">=3, *p&lt;0.05. </w:t>
      </w:r>
    </w:p>
    <w:p w14:paraId="44C06860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noProof/>
          <w:sz w:val="24"/>
          <w:szCs w:val="24"/>
        </w:rPr>
        <w:lastRenderedPageBreak/>
        <w:drawing>
          <wp:inline distT="114300" distB="114300" distL="114300" distR="114300" wp14:anchorId="023FE002" wp14:editId="678157CF">
            <wp:extent cx="5486400" cy="3657600"/>
            <wp:effectExtent l="0" t="0" r="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06DC">
        <w:rPr>
          <w:b/>
          <w:sz w:val="24"/>
          <w:szCs w:val="24"/>
        </w:rPr>
        <w:t xml:space="preserve">Figure 2. </w:t>
      </w:r>
      <w:proofErr w:type="gramStart"/>
      <w:r w:rsidRPr="003306DC">
        <w:rPr>
          <w:b/>
          <w:sz w:val="24"/>
          <w:szCs w:val="24"/>
        </w:rPr>
        <w:t xml:space="preserve">Analysis of HSPC content in UCB MNCs after treatments with CHIR-99021 and </w:t>
      </w:r>
      <w:proofErr w:type="spellStart"/>
      <w:r w:rsidRPr="003306DC">
        <w:rPr>
          <w:b/>
          <w:sz w:val="24"/>
          <w:szCs w:val="24"/>
        </w:rPr>
        <w:t>Pluripotin</w:t>
      </w:r>
      <w:proofErr w:type="spellEnd"/>
      <w:r w:rsidRPr="003306DC">
        <w:rPr>
          <w:b/>
          <w:sz w:val="24"/>
          <w:szCs w:val="24"/>
        </w:rPr>
        <w:t>.</w:t>
      </w:r>
      <w:proofErr w:type="gramEnd"/>
      <w:r w:rsidRPr="003306DC">
        <w:rPr>
          <w:b/>
          <w:sz w:val="24"/>
          <w:szCs w:val="24"/>
        </w:rPr>
        <w:t xml:space="preserve"> </w:t>
      </w:r>
      <w:r w:rsidRPr="003306DC">
        <w:rPr>
          <w:sz w:val="24"/>
          <w:szCs w:val="24"/>
        </w:rPr>
        <w:t xml:space="preserve">Analysis of </w:t>
      </w:r>
      <w:r w:rsidRPr="003306DC">
        <w:rPr>
          <w:b/>
          <w:sz w:val="24"/>
          <w:szCs w:val="24"/>
        </w:rPr>
        <w:t>A)</w:t>
      </w:r>
      <w:r w:rsidRPr="003306DC">
        <w:rPr>
          <w:sz w:val="24"/>
          <w:szCs w:val="24"/>
        </w:rPr>
        <w:t xml:space="preserve"> total MNC content, </w:t>
      </w:r>
      <w:r w:rsidRPr="003306DC">
        <w:rPr>
          <w:b/>
          <w:sz w:val="24"/>
          <w:szCs w:val="24"/>
        </w:rPr>
        <w:t>B)</w:t>
      </w:r>
      <w:r w:rsidRPr="003306DC">
        <w:rPr>
          <w:sz w:val="24"/>
          <w:szCs w:val="24"/>
        </w:rPr>
        <w:t xml:space="preserve"> CD34+ HSPC content, and </w:t>
      </w:r>
      <w:r w:rsidRPr="003306DC">
        <w:rPr>
          <w:b/>
          <w:sz w:val="24"/>
          <w:szCs w:val="24"/>
        </w:rPr>
        <w:t>C)</w:t>
      </w:r>
      <w:r w:rsidRPr="003306DC">
        <w:rPr>
          <w:sz w:val="24"/>
          <w:szCs w:val="24"/>
        </w:rPr>
        <w:t xml:space="preserve"> CD123+ HSPC </w:t>
      </w:r>
      <w:proofErr w:type="gramStart"/>
      <w:r w:rsidRPr="003306DC">
        <w:rPr>
          <w:sz w:val="24"/>
          <w:szCs w:val="24"/>
        </w:rPr>
        <w:t>content  in</w:t>
      </w:r>
      <w:proofErr w:type="gramEnd"/>
      <w:r w:rsidRPr="003306DC">
        <w:rPr>
          <w:sz w:val="24"/>
          <w:szCs w:val="24"/>
        </w:rPr>
        <w:t xml:space="preserve"> UCB MNCs post 7 days of treatment with CHIR-99021 and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small molecules. </w:t>
      </w:r>
      <w:r w:rsidRPr="003306DC">
        <w:rPr>
          <w:b/>
          <w:sz w:val="24"/>
          <w:szCs w:val="24"/>
        </w:rPr>
        <w:t>D)</w:t>
      </w:r>
      <w:r w:rsidRPr="003306DC">
        <w:rPr>
          <w:sz w:val="24"/>
          <w:szCs w:val="24"/>
        </w:rPr>
        <w:t xml:space="preserve"> Assessment of </w:t>
      </w:r>
      <w:proofErr w:type="spellStart"/>
      <w:r w:rsidRPr="003306DC">
        <w:rPr>
          <w:sz w:val="24"/>
          <w:szCs w:val="24"/>
        </w:rPr>
        <w:t>ALDHbr</w:t>
      </w:r>
      <w:proofErr w:type="spellEnd"/>
      <w:r w:rsidRPr="003306DC">
        <w:rPr>
          <w:sz w:val="24"/>
          <w:szCs w:val="24"/>
        </w:rPr>
        <w:t xml:space="preserve"> activity in UCB MNCs post 7 days of treatment with CHIR-99021 and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small molecules.  </w:t>
      </w:r>
      <w:proofErr w:type="gramStart"/>
      <w:r w:rsidRPr="003306DC">
        <w:rPr>
          <w:sz w:val="24"/>
          <w:szCs w:val="24"/>
        </w:rPr>
        <w:t>n</w:t>
      </w:r>
      <w:proofErr w:type="gramEnd"/>
      <w:r w:rsidRPr="003306DC">
        <w:rPr>
          <w:sz w:val="24"/>
          <w:szCs w:val="24"/>
        </w:rPr>
        <w:t>=3.</w:t>
      </w:r>
    </w:p>
    <w:p w14:paraId="247108E9" w14:textId="77777777" w:rsidR="00537F22" w:rsidRPr="003306DC" w:rsidRDefault="00537F22" w:rsidP="003306DC">
      <w:pPr>
        <w:spacing w:after="0" w:line="360" w:lineRule="auto"/>
        <w:rPr>
          <w:sz w:val="24"/>
          <w:szCs w:val="24"/>
        </w:rPr>
      </w:pPr>
      <w:r w:rsidRPr="003306DC">
        <w:rPr>
          <w:sz w:val="24"/>
          <w:szCs w:val="24"/>
        </w:rPr>
        <w:br w:type="page"/>
      </w:r>
    </w:p>
    <w:p w14:paraId="1F6FAAEA" w14:textId="77777777" w:rsidR="00537F22" w:rsidRPr="003306DC" w:rsidRDefault="00537F22" w:rsidP="003306DC">
      <w:pPr>
        <w:spacing w:line="360" w:lineRule="auto"/>
        <w:jc w:val="both"/>
        <w:rPr>
          <w:sz w:val="24"/>
          <w:szCs w:val="24"/>
        </w:rPr>
      </w:pPr>
    </w:p>
    <w:p w14:paraId="19FC8570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noProof/>
          <w:sz w:val="24"/>
          <w:szCs w:val="24"/>
        </w:rPr>
        <w:drawing>
          <wp:inline distT="114300" distB="114300" distL="114300" distR="114300" wp14:anchorId="68128B0C" wp14:editId="2A6D3CF4">
            <wp:extent cx="5486400" cy="2120900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97D688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b/>
          <w:sz w:val="24"/>
          <w:szCs w:val="24"/>
        </w:rPr>
        <w:t xml:space="preserve">Figure 3. Analysis of HSPC content in </w:t>
      </w:r>
      <w:proofErr w:type="spellStart"/>
      <w:r w:rsidRPr="003306DC">
        <w:rPr>
          <w:b/>
          <w:sz w:val="24"/>
          <w:szCs w:val="24"/>
        </w:rPr>
        <w:t>mPB</w:t>
      </w:r>
      <w:proofErr w:type="spellEnd"/>
      <w:r w:rsidRPr="003306DC">
        <w:rPr>
          <w:b/>
          <w:sz w:val="24"/>
          <w:szCs w:val="24"/>
        </w:rPr>
        <w:t xml:space="preserve"> MNCs post CHIR-99021 and </w:t>
      </w:r>
      <w:proofErr w:type="spellStart"/>
      <w:proofErr w:type="gramStart"/>
      <w:r w:rsidRPr="003306DC">
        <w:rPr>
          <w:b/>
          <w:sz w:val="24"/>
          <w:szCs w:val="24"/>
        </w:rPr>
        <w:t>Pluripotin</w:t>
      </w:r>
      <w:proofErr w:type="spellEnd"/>
      <w:r w:rsidRPr="003306DC">
        <w:rPr>
          <w:b/>
          <w:sz w:val="24"/>
          <w:szCs w:val="24"/>
        </w:rPr>
        <w:t xml:space="preserve">  treatments</w:t>
      </w:r>
      <w:proofErr w:type="gramEnd"/>
      <w:r w:rsidRPr="003306DC">
        <w:rPr>
          <w:b/>
          <w:sz w:val="24"/>
          <w:szCs w:val="24"/>
        </w:rPr>
        <w:t>. A)</w:t>
      </w:r>
      <w:r w:rsidRPr="003306DC">
        <w:rPr>
          <w:sz w:val="24"/>
          <w:szCs w:val="24"/>
        </w:rPr>
        <w:t xml:space="preserve"> Determination of CD34+ HSPC content, </w:t>
      </w:r>
      <w:r w:rsidRPr="003306DC">
        <w:rPr>
          <w:b/>
          <w:sz w:val="24"/>
          <w:szCs w:val="24"/>
        </w:rPr>
        <w:t xml:space="preserve">B) </w:t>
      </w:r>
      <w:r w:rsidRPr="003306DC">
        <w:rPr>
          <w:sz w:val="24"/>
          <w:szCs w:val="24"/>
        </w:rPr>
        <w:t xml:space="preserve">CD133+ HSPC content and </w:t>
      </w:r>
      <w:r w:rsidRPr="003306DC">
        <w:rPr>
          <w:b/>
          <w:sz w:val="24"/>
          <w:szCs w:val="24"/>
        </w:rPr>
        <w:t>C)</w:t>
      </w:r>
      <w:r w:rsidRPr="003306DC">
        <w:rPr>
          <w:sz w:val="24"/>
          <w:szCs w:val="24"/>
        </w:rPr>
        <w:t xml:space="preserve"> CD34+CD133+ HSPC content of human </w:t>
      </w:r>
      <w:proofErr w:type="spellStart"/>
      <w:r w:rsidRPr="003306DC">
        <w:rPr>
          <w:sz w:val="24"/>
          <w:szCs w:val="24"/>
        </w:rPr>
        <w:t>mPB</w:t>
      </w:r>
      <w:proofErr w:type="spellEnd"/>
      <w:r w:rsidRPr="003306DC">
        <w:rPr>
          <w:sz w:val="24"/>
          <w:szCs w:val="24"/>
        </w:rPr>
        <w:t xml:space="preserve"> MNCs post 7 days of treatments.  These results consist of an average of different </w:t>
      </w:r>
      <w:proofErr w:type="gramStart"/>
      <w:r w:rsidRPr="003306DC">
        <w:rPr>
          <w:sz w:val="24"/>
          <w:szCs w:val="24"/>
        </w:rPr>
        <w:t>dosages which</w:t>
      </w:r>
      <w:proofErr w:type="gramEnd"/>
      <w:r w:rsidRPr="003306DC">
        <w:rPr>
          <w:sz w:val="24"/>
          <w:szCs w:val="24"/>
        </w:rPr>
        <w:t xml:space="preserve"> are 0.1 µM, 1 µM, 10 µM and compared with DMSO. </w:t>
      </w:r>
      <w:proofErr w:type="gramStart"/>
      <w:r w:rsidRPr="003306DC">
        <w:rPr>
          <w:sz w:val="24"/>
          <w:szCs w:val="24"/>
        </w:rPr>
        <w:t>n</w:t>
      </w:r>
      <w:proofErr w:type="gramEnd"/>
      <w:r w:rsidRPr="003306DC">
        <w:rPr>
          <w:sz w:val="24"/>
          <w:szCs w:val="24"/>
        </w:rPr>
        <w:t xml:space="preserve">=3. </w:t>
      </w:r>
    </w:p>
    <w:p w14:paraId="670DE5C3" w14:textId="77777777" w:rsidR="00537F22" w:rsidRPr="003306DC" w:rsidRDefault="00537F22" w:rsidP="003306DC">
      <w:pPr>
        <w:spacing w:after="0" w:line="360" w:lineRule="auto"/>
        <w:rPr>
          <w:sz w:val="24"/>
          <w:szCs w:val="24"/>
        </w:rPr>
      </w:pPr>
      <w:r w:rsidRPr="003306DC">
        <w:rPr>
          <w:sz w:val="24"/>
          <w:szCs w:val="24"/>
        </w:rPr>
        <w:br w:type="page"/>
      </w:r>
    </w:p>
    <w:p w14:paraId="1B345930" w14:textId="77777777" w:rsidR="00537F22" w:rsidRPr="003306DC" w:rsidRDefault="00537F22" w:rsidP="003306DC">
      <w:pPr>
        <w:spacing w:line="360" w:lineRule="auto"/>
        <w:jc w:val="both"/>
        <w:rPr>
          <w:sz w:val="24"/>
          <w:szCs w:val="24"/>
        </w:rPr>
      </w:pPr>
    </w:p>
    <w:p w14:paraId="424E36C4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noProof/>
          <w:sz w:val="24"/>
          <w:szCs w:val="24"/>
        </w:rPr>
        <w:drawing>
          <wp:inline distT="114300" distB="114300" distL="114300" distR="114300" wp14:anchorId="3BC81E34" wp14:editId="073B8843">
            <wp:extent cx="5486400" cy="355600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97DD1C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b/>
          <w:sz w:val="24"/>
          <w:szCs w:val="24"/>
        </w:rPr>
        <w:t xml:space="preserve">Figure 4. </w:t>
      </w:r>
      <w:proofErr w:type="gramStart"/>
      <w:r w:rsidRPr="003306DC">
        <w:rPr>
          <w:b/>
          <w:sz w:val="24"/>
          <w:szCs w:val="24"/>
        </w:rPr>
        <w:t xml:space="preserve">Analysis of MSC and fibroblast proliferations post CHIR-99021 and </w:t>
      </w:r>
      <w:proofErr w:type="spellStart"/>
      <w:r w:rsidRPr="003306DC">
        <w:rPr>
          <w:b/>
          <w:sz w:val="24"/>
          <w:szCs w:val="24"/>
        </w:rPr>
        <w:t>Pluripotin</w:t>
      </w:r>
      <w:proofErr w:type="spellEnd"/>
      <w:r w:rsidRPr="003306DC">
        <w:rPr>
          <w:b/>
          <w:sz w:val="24"/>
          <w:szCs w:val="24"/>
        </w:rPr>
        <w:t xml:space="preserve"> treatments.</w:t>
      </w:r>
      <w:proofErr w:type="gramEnd"/>
      <w:r w:rsidRPr="003306DC">
        <w:rPr>
          <w:sz w:val="24"/>
          <w:szCs w:val="24"/>
        </w:rPr>
        <w:t xml:space="preserve"> Assessment of </w:t>
      </w:r>
      <w:r w:rsidRPr="003306DC">
        <w:rPr>
          <w:b/>
          <w:sz w:val="24"/>
          <w:szCs w:val="24"/>
        </w:rPr>
        <w:t>A)</w:t>
      </w:r>
      <w:r w:rsidRPr="003306DC">
        <w:rPr>
          <w:sz w:val="24"/>
          <w:szCs w:val="24"/>
        </w:rPr>
        <w:t xml:space="preserve"> BM MSC proliferation, B) human fibroblast (HDFs), and </w:t>
      </w:r>
      <w:r w:rsidRPr="003306DC">
        <w:rPr>
          <w:b/>
          <w:sz w:val="24"/>
          <w:szCs w:val="24"/>
        </w:rPr>
        <w:t>C)</w:t>
      </w:r>
      <w:r w:rsidRPr="003306DC">
        <w:rPr>
          <w:sz w:val="24"/>
          <w:szCs w:val="24"/>
        </w:rPr>
        <w:t xml:space="preserve"> AD MSC proliferation post 3 days of treatment with CHIR-99021 and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small molecules. The graph shows the percentage of cells according to WST1 absorbance. </w:t>
      </w:r>
      <w:proofErr w:type="gramStart"/>
      <w:r w:rsidRPr="003306DC">
        <w:rPr>
          <w:sz w:val="24"/>
          <w:szCs w:val="24"/>
        </w:rPr>
        <w:t>n</w:t>
      </w:r>
      <w:proofErr w:type="gramEnd"/>
      <w:r w:rsidRPr="003306DC">
        <w:rPr>
          <w:sz w:val="24"/>
          <w:szCs w:val="24"/>
        </w:rPr>
        <w:t>=3, *p&lt;0.05.</w:t>
      </w:r>
    </w:p>
    <w:p w14:paraId="560A6831" w14:textId="77777777" w:rsidR="00537F22" w:rsidRPr="003306DC" w:rsidRDefault="00537F22" w:rsidP="003306DC">
      <w:pPr>
        <w:spacing w:after="0" w:line="360" w:lineRule="auto"/>
        <w:rPr>
          <w:sz w:val="24"/>
          <w:szCs w:val="24"/>
        </w:rPr>
      </w:pPr>
      <w:r w:rsidRPr="003306DC">
        <w:rPr>
          <w:sz w:val="24"/>
          <w:szCs w:val="24"/>
        </w:rPr>
        <w:br w:type="page"/>
      </w:r>
    </w:p>
    <w:p w14:paraId="684C04A7" w14:textId="77777777" w:rsidR="00537F22" w:rsidRPr="003306DC" w:rsidRDefault="00537F22" w:rsidP="003306DC">
      <w:pPr>
        <w:spacing w:line="360" w:lineRule="auto"/>
        <w:jc w:val="both"/>
        <w:rPr>
          <w:sz w:val="24"/>
          <w:szCs w:val="24"/>
        </w:rPr>
      </w:pPr>
    </w:p>
    <w:p w14:paraId="475B673D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noProof/>
          <w:sz w:val="24"/>
          <w:szCs w:val="24"/>
        </w:rPr>
        <w:drawing>
          <wp:inline distT="114300" distB="114300" distL="114300" distR="114300" wp14:anchorId="11E71DE0" wp14:editId="6A71E24E">
            <wp:extent cx="5486400" cy="2946400"/>
            <wp:effectExtent l="0" t="0" r="0" b="0"/>
            <wp:docPr id="1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947092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b/>
          <w:sz w:val="24"/>
          <w:szCs w:val="24"/>
        </w:rPr>
        <w:t xml:space="preserve">Figure 5. </w:t>
      </w:r>
      <w:proofErr w:type="gramStart"/>
      <w:r w:rsidRPr="003306DC">
        <w:rPr>
          <w:b/>
          <w:sz w:val="24"/>
          <w:szCs w:val="24"/>
        </w:rPr>
        <w:t xml:space="preserve">Effects of </w:t>
      </w:r>
      <w:proofErr w:type="spellStart"/>
      <w:r w:rsidRPr="003306DC">
        <w:rPr>
          <w:b/>
          <w:sz w:val="24"/>
          <w:szCs w:val="24"/>
        </w:rPr>
        <w:t>Pluripotin</w:t>
      </w:r>
      <w:proofErr w:type="spellEnd"/>
      <w:r w:rsidRPr="003306DC">
        <w:rPr>
          <w:b/>
          <w:sz w:val="24"/>
          <w:szCs w:val="24"/>
        </w:rPr>
        <w:t xml:space="preserve"> in stem and fibroblasts ex vivo.</w:t>
      </w:r>
      <w:proofErr w:type="gramEnd"/>
      <w:r w:rsidRPr="003306DC">
        <w:rPr>
          <w:b/>
          <w:sz w:val="24"/>
          <w:szCs w:val="24"/>
        </w:rPr>
        <w:t xml:space="preserve">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enhances expansion of UCB and </w:t>
      </w:r>
      <w:proofErr w:type="spellStart"/>
      <w:r w:rsidRPr="003306DC">
        <w:rPr>
          <w:sz w:val="24"/>
          <w:szCs w:val="24"/>
        </w:rPr>
        <w:t>mPB</w:t>
      </w:r>
      <w:proofErr w:type="spellEnd"/>
      <w:r w:rsidRPr="003306DC">
        <w:rPr>
          <w:sz w:val="24"/>
          <w:szCs w:val="24"/>
        </w:rPr>
        <w:t xml:space="preserve"> HSCs, and reduces fibroblast and BM-MSCs growth ex vivo. There is no significant effect of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in the AD-MSCs during their expansion.  </w:t>
      </w:r>
    </w:p>
    <w:p w14:paraId="11AF499D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</w:p>
    <w:p w14:paraId="0CA7C4D6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</w:p>
    <w:p w14:paraId="1B36ED15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</w:p>
    <w:p w14:paraId="2531FFF8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sz w:val="24"/>
          <w:szCs w:val="24"/>
        </w:rPr>
        <w:br w:type="page"/>
      </w:r>
    </w:p>
    <w:p w14:paraId="0A358F8F" w14:textId="77777777" w:rsidR="00276410" w:rsidRPr="003306DC" w:rsidRDefault="00276410" w:rsidP="003306DC">
      <w:pPr>
        <w:spacing w:line="360" w:lineRule="auto"/>
        <w:jc w:val="both"/>
        <w:rPr>
          <w:b/>
          <w:sz w:val="24"/>
          <w:szCs w:val="24"/>
        </w:rPr>
      </w:pPr>
      <w:r w:rsidRPr="003306DC">
        <w:rPr>
          <w:b/>
          <w:sz w:val="24"/>
          <w:szCs w:val="24"/>
        </w:rPr>
        <w:t>Supplementary Figures and Figure Legends</w:t>
      </w:r>
    </w:p>
    <w:p w14:paraId="43D118D9" w14:textId="77777777" w:rsidR="00276410" w:rsidRPr="003306DC" w:rsidRDefault="00276410" w:rsidP="003306DC">
      <w:pPr>
        <w:spacing w:line="360" w:lineRule="auto"/>
        <w:jc w:val="both"/>
        <w:rPr>
          <w:b/>
          <w:sz w:val="24"/>
          <w:szCs w:val="24"/>
        </w:rPr>
      </w:pPr>
    </w:p>
    <w:p w14:paraId="47B303A4" w14:textId="77777777" w:rsidR="00276410" w:rsidRPr="003306DC" w:rsidRDefault="00276410" w:rsidP="003306DC">
      <w:pPr>
        <w:spacing w:line="360" w:lineRule="auto"/>
        <w:jc w:val="both"/>
        <w:rPr>
          <w:b/>
          <w:sz w:val="24"/>
          <w:szCs w:val="24"/>
        </w:rPr>
      </w:pPr>
      <w:r w:rsidRPr="003306DC">
        <w:rPr>
          <w:b/>
          <w:noProof/>
          <w:sz w:val="24"/>
          <w:szCs w:val="24"/>
        </w:rPr>
        <w:drawing>
          <wp:inline distT="114300" distB="114300" distL="114300" distR="114300" wp14:anchorId="2E03B290" wp14:editId="5EE60B30">
            <wp:extent cx="5486400" cy="1828800"/>
            <wp:effectExtent l="0" t="0" r="0" b="0"/>
            <wp:docPr id="1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9F7701" w14:textId="77777777" w:rsidR="00276410" w:rsidRPr="003306DC" w:rsidRDefault="00276410" w:rsidP="003306DC">
      <w:pPr>
        <w:spacing w:line="360" w:lineRule="auto"/>
        <w:jc w:val="both"/>
        <w:rPr>
          <w:sz w:val="24"/>
          <w:szCs w:val="24"/>
        </w:rPr>
      </w:pPr>
      <w:r w:rsidRPr="003306DC">
        <w:rPr>
          <w:b/>
          <w:sz w:val="24"/>
          <w:szCs w:val="24"/>
        </w:rPr>
        <w:t xml:space="preserve">Figure S1. Relative gene expression in hematopoietic cells related to </w:t>
      </w:r>
      <w:proofErr w:type="spellStart"/>
      <w:r w:rsidRPr="003306DC">
        <w:rPr>
          <w:b/>
          <w:sz w:val="24"/>
          <w:szCs w:val="24"/>
        </w:rPr>
        <w:t>Pluripotin</w:t>
      </w:r>
      <w:proofErr w:type="spellEnd"/>
      <w:r w:rsidRPr="003306DC">
        <w:rPr>
          <w:b/>
          <w:sz w:val="24"/>
          <w:szCs w:val="24"/>
        </w:rPr>
        <w:t xml:space="preserve"> and CHIR-99021. </w:t>
      </w:r>
      <w:r w:rsidRPr="003306DC">
        <w:rPr>
          <w:sz w:val="24"/>
          <w:szCs w:val="24"/>
        </w:rPr>
        <w:t>A) GSK3-β and B) Tet2 expression levels in hematopoietic stem cells, granulocyte, monocyte and some progenitor cells such as common myeloid progenitors (</w:t>
      </w:r>
      <w:proofErr w:type="spellStart"/>
      <w:r w:rsidRPr="003306DC">
        <w:rPr>
          <w:sz w:val="24"/>
          <w:szCs w:val="24"/>
        </w:rPr>
        <w:t>sCMP</w:t>
      </w:r>
      <w:proofErr w:type="spellEnd"/>
      <w:r w:rsidRPr="003306DC">
        <w:rPr>
          <w:sz w:val="24"/>
          <w:szCs w:val="24"/>
        </w:rPr>
        <w:t>), megakaryocyte–</w:t>
      </w:r>
      <w:proofErr w:type="spellStart"/>
      <w:r w:rsidRPr="003306DC">
        <w:rPr>
          <w:sz w:val="24"/>
          <w:szCs w:val="24"/>
        </w:rPr>
        <w:t>erythroid</w:t>
      </w:r>
      <w:proofErr w:type="spellEnd"/>
      <w:r w:rsidRPr="003306DC">
        <w:rPr>
          <w:sz w:val="24"/>
          <w:szCs w:val="24"/>
        </w:rPr>
        <w:t xml:space="preserve"> progenitor (MEP), granulocyte-macrophage progenitor (GMP), common lymphoid progenitor (CLP) and mature natural killer cells (</w:t>
      </w:r>
      <w:proofErr w:type="spellStart"/>
      <w:r w:rsidRPr="003306DC">
        <w:rPr>
          <w:sz w:val="24"/>
          <w:szCs w:val="24"/>
        </w:rPr>
        <w:t>mNK</w:t>
      </w:r>
      <w:proofErr w:type="spellEnd"/>
      <w:r w:rsidRPr="003306DC">
        <w:rPr>
          <w:sz w:val="24"/>
          <w:szCs w:val="24"/>
        </w:rPr>
        <w:t xml:space="preserve">) were retrieved from </w:t>
      </w:r>
      <w:hyperlink r:id="rId11">
        <w:r w:rsidRPr="003306DC">
          <w:rPr>
            <w:sz w:val="24"/>
            <w:szCs w:val="24"/>
            <w:u w:val="single"/>
          </w:rPr>
          <w:t>GENX</w:t>
        </w:r>
      </w:hyperlink>
      <w:r w:rsidRPr="003306DC">
        <w:rPr>
          <w:sz w:val="24"/>
          <w:szCs w:val="24"/>
        </w:rPr>
        <w:t xml:space="preserve"> database. Note that </w:t>
      </w:r>
      <w:proofErr w:type="spellStart"/>
      <w:r w:rsidRPr="003306DC">
        <w:rPr>
          <w:sz w:val="24"/>
          <w:szCs w:val="24"/>
        </w:rPr>
        <w:t>Pluripotin</w:t>
      </w:r>
      <w:proofErr w:type="spellEnd"/>
      <w:r w:rsidRPr="003306DC">
        <w:rPr>
          <w:sz w:val="24"/>
          <w:szCs w:val="24"/>
        </w:rPr>
        <w:t xml:space="preserve"> and CHIR-99021 may modulate Tet2 and GSK3-β activity and expression in HSPCs, respectively. </w:t>
      </w:r>
    </w:p>
    <w:p w14:paraId="35A545B1" w14:textId="77777777" w:rsidR="007A4746" w:rsidRPr="003306DC" w:rsidRDefault="007A4746" w:rsidP="003306DC">
      <w:pPr>
        <w:spacing w:line="360" w:lineRule="auto"/>
        <w:rPr>
          <w:sz w:val="24"/>
          <w:szCs w:val="24"/>
        </w:rPr>
      </w:pPr>
    </w:p>
    <w:bookmarkEnd w:id="0"/>
    <w:sectPr w:rsidR="007A4746" w:rsidRPr="003306DC" w:rsidSect="007E7757">
      <w:pgSz w:w="11894" w:h="16834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10"/>
    <w:rsid w:val="00276410"/>
    <w:rsid w:val="003306DC"/>
    <w:rsid w:val="00537F22"/>
    <w:rsid w:val="007A4746"/>
    <w:rsid w:val="007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D5BF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410"/>
    <w:pPr>
      <w:spacing w:after="200" w:line="276" w:lineRule="auto"/>
    </w:pPr>
    <w:rPr>
      <w:rFonts w:ascii="Cambria" w:eastAsiaTheme="minorHAnsi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41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10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410"/>
    <w:pPr>
      <w:spacing w:after="200" w:line="276" w:lineRule="auto"/>
    </w:pPr>
    <w:rPr>
      <w:rFonts w:ascii="Cambria" w:eastAsiaTheme="minorHAnsi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41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10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gexc.stanford.edu/models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405</Words>
  <Characters>2310</Characters>
  <Application>Microsoft Macintosh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Faculty Nac</dc:creator>
  <cp:keywords/>
  <dc:description/>
  <cp:lastModifiedBy>Faculty Nac</cp:lastModifiedBy>
  <cp:revision>3</cp:revision>
  <dcterms:created xsi:type="dcterms:W3CDTF">2021-02-17T09:14:00Z</dcterms:created>
  <dcterms:modified xsi:type="dcterms:W3CDTF">2021-02-17T09:20:00Z</dcterms:modified>
</cp:coreProperties>
</file>