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7DEFEE" w14:textId="533846DF" w:rsidR="009A670E" w:rsidRPr="00402929" w:rsidRDefault="008D69E5" w:rsidP="007B5946">
      <w:pPr>
        <w:rPr>
          <w:szCs w:val="24"/>
        </w:rPr>
      </w:pPr>
      <w:r w:rsidRPr="00402929">
        <w:rPr>
          <w:szCs w:val="24"/>
        </w:rPr>
        <w:t>-</w:t>
      </w:r>
    </w:p>
    <w:p w14:paraId="09920EA7" w14:textId="0F8BBC5F" w:rsidR="002C030F" w:rsidRPr="00402929" w:rsidRDefault="00B16F99" w:rsidP="00E73B69">
      <w:pPr>
        <w:rPr>
          <w:b/>
          <w:szCs w:val="24"/>
        </w:rPr>
      </w:pPr>
      <w:r w:rsidRPr="00402929">
        <w:rPr>
          <w:b/>
          <w:szCs w:val="24"/>
        </w:rPr>
        <w:t xml:space="preserve">Supplementary </w:t>
      </w:r>
      <w:r w:rsidR="008A519A">
        <w:rPr>
          <w:b/>
          <w:szCs w:val="24"/>
        </w:rPr>
        <w:t>Information</w:t>
      </w:r>
    </w:p>
    <w:p w14:paraId="697D767A" w14:textId="77777777" w:rsidR="00CF16C9" w:rsidRPr="00402929" w:rsidRDefault="00CF16C9" w:rsidP="00D269AB">
      <w:pPr>
        <w:pStyle w:val="SMHeading"/>
      </w:pPr>
    </w:p>
    <w:p w14:paraId="345AECF4" w14:textId="79BB1C2A" w:rsidR="005346ED" w:rsidRPr="00402929" w:rsidRDefault="005346ED">
      <w:pPr>
        <w:rPr>
          <w:szCs w:val="24"/>
        </w:rPr>
      </w:pPr>
      <w:r w:rsidRPr="00402929">
        <w:rPr>
          <w:szCs w:val="24"/>
        </w:rPr>
        <w:br w:type="page"/>
      </w:r>
    </w:p>
    <w:p w14:paraId="1A34822B" w14:textId="4D1F0BC9" w:rsidR="009A5287" w:rsidRPr="00402929" w:rsidRDefault="00402929" w:rsidP="009A5287">
      <w:pPr>
        <w:pStyle w:val="SMText"/>
        <w:ind w:firstLine="0"/>
        <w:rPr>
          <w:szCs w:val="24"/>
        </w:rPr>
      </w:pPr>
      <w:r>
        <w:rPr>
          <w:noProof/>
          <w:szCs w:val="24"/>
        </w:rPr>
        <w:lastRenderedPageBreak/>
        <mc:AlternateContent>
          <mc:Choice Requires="wps">
            <w:drawing>
              <wp:anchor distT="0" distB="0" distL="114300" distR="114300" simplePos="0" relativeHeight="251661312" behindDoc="0" locked="0" layoutInCell="1" allowOverlap="1" wp14:anchorId="3B14038C" wp14:editId="50A288B7">
                <wp:simplePos x="0" y="0"/>
                <wp:positionH relativeFrom="column">
                  <wp:posOffset>3342929</wp:posOffset>
                </wp:positionH>
                <wp:positionV relativeFrom="paragraph">
                  <wp:posOffset>2385695</wp:posOffset>
                </wp:positionV>
                <wp:extent cx="249382" cy="0"/>
                <wp:effectExtent l="25400" t="63500" r="0" b="76200"/>
                <wp:wrapNone/>
                <wp:docPr id="9" name="Straight Arrow Connector 9"/>
                <wp:cNvGraphicFramePr/>
                <a:graphic xmlns:a="http://schemas.openxmlformats.org/drawingml/2006/main">
                  <a:graphicData uri="http://schemas.microsoft.com/office/word/2010/wordprocessingShape">
                    <wps:wsp>
                      <wps:cNvCnPr/>
                      <wps:spPr>
                        <a:xfrm flipH="1">
                          <a:off x="0" y="0"/>
                          <a:ext cx="249382"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6D87D799" id="_x0000_t32" coordsize="21600,21600" o:spt="32" o:oned="t" path="m,l21600,21600e" filled="f">
                <v:path arrowok="t" fillok="f" o:connecttype="none"/>
                <o:lock v:ext="edit" shapetype="t"/>
              </v:shapetype>
              <v:shape id="Straight Arrow Connector 9" o:spid="_x0000_s1026" type="#_x0000_t32" style="position:absolute;margin-left:263.2pt;margin-top:187.85pt;width:19.65pt;height:0;flip:x;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" strokecolor="black [3040]">
                <v:stroke endarrow="block"/>
              </v:shape>
            </w:pict>
          </mc:Fallback>
        </mc:AlternateContent>
      </w:r>
      <w:r>
        <w:rPr>
          <w:noProof/>
          <w:szCs w:val="24"/>
        </w:rPr>
        <mc:AlternateContent>
          <mc:Choice Requires="wps">
            <w:drawing>
              <wp:anchor distT="0" distB="0" distL="114300" distR="114300" simplePos="0" relativeHeight="251659264" behindDoc="0" locked="0" layoutInCell="1" allowOverlap="1" wp14:anchorId="4A8C952F" wp14:editId="15E66866">
                <wp:simplePos x="0" y="0"/>
                <wp:positionH relativeFrom="column">
                  <wp:posOffset>3345873</wp:posOffset>
                </wp:positionH>
                <wp:positionV relativeFrom="paragraph">
                  <wp:posOffset>2253673</wp:posOffset>
                </wp:positionV>
                <wp:extent cx="249382" cy="0"/>
                <wp:effectExtent l="25400" t="63500" r="0" b="76200"/>
                <wp:wrapNone/>
                <wp:docPr id="8" name="Straight Arrow Connector 8"/>
                <wp:cNvGraphicFramePr/>
                <a:graphic xmlns:a="http://schemas.openxmlformats.org/drawingml/2006/main">
                  <a:graphicData uri="http://schemas.microsoft.com/office/word/2010/wordprocessingShape">
                    <wps:wsp>
                      <wps:cNvCnPr/>
                      <wps:spPr>
                        <a:xfrm flipH="1">
                          <a:off x="0" y="0"/>
                          <a:ext cx="249382"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17F297C" id="Straight Arrow Connector 8" o:spid="_x0000_s1026" type="#_x0000_t32" style="position:absolute;margin-left:263.45pt;margin-top:177.45pt;width:19.65pt;height:0;flip:x;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" strokecolor="#4579b8 [3044]">
                <v:stroke endarrow="block"/>
              </v:shape>
            </w:pict>
          </mc:Fallback>
        </mc:AlternateContent>
      </w:r>
      <w:r w:rsidR="002F381F" w:rsidRPr="00402929">
        <w:rPr>
          <w:noProof/>
          <w:szCs w:val="24"/>
        </w:rPr>
        <w:drawing>
          <wp:inline distT="0" distB="0" distL="0" distR="0" wp14:anchorId="0ACAC7F7" wp14:editId="37E5BEC6">
            <wp:extent cx="5486400" cy="3086100"/>
            <wp:effectExtent l="0" t="0" r="0" b="0"/>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86400" cy="3086100"/>
                    </a:xfrm>
                    <a:prstGeom prst="rect">
                      <a:avLst/>
                    </a:prstGeom>
                  </pic:spPr>
                </pic:pic>
              </a:graphicData>
            </a:graphic>
          </wp:inline>
        </w:drawing>
      </w:r>
    </w:p>
    <w:p w14:paraId="4E4ED6CB" w14:textId="5331493A" w:rsidR="00015F74" w:rsidRPr="00402929" w:rsidRDefault="008D69E5" w:rsidP="00B42F9C">
      <w:pPr>
        <w:pStyle w:val="SMHeading"/>
        <w:rPr>
          <w:b w:val="0"/>
        </w:rPr>
      </w:pPr>
      <w:r w:rsidRPr="00402929">
        <w:t xml:space="preserve">Fig </w:t>
      </w:r>
      <w:r w:rsidR="007C317D">
        <w:t>S</w:t>
      </w:r>
      <w:r w:rsidR="007411A1" w:rsidRPr="00402929">
        <w:t>1.</w:t>
      </w:r>
      <w:r w:rsidR="00B42F9C" w:rsidRPr="00402929">
        <w:t xml:space="preserve"> </w:t>
      </w:r>
      <w:r w:rsidR="000C0348" w:rsidRPr="00402929">
        <w:rPr>
          <w:b w:val="0"/>
          <w:lang w:val="en-GB"/>
        </w:rPr>
        <w:t xml:space="preserve">Quantifying EhV-86 using flow cytometry. Flow cytometry plots of 0.2 </w:t>
      </w:r>
      <w:r w:rsidR="000C0348" w:rsidRPr="00402929">
        <w:rPr>
          <w:b w:val="0"/>
          <w:lang w:val="en-GB"/>
        </w:rPr>
        <w:sym w:font="Symbol" w:char="F06D"/>
      </w:r>
      <w:r w:rsidR="000C0348" w:rsidRPr="00402929">
        <w:rPr>
          <w:b w:val="0"/>
          <w:lang w:val="en-GB"/>
        </w:rPr>
        <w:t xml:space="preserve">m filtrate of (A) an uninfected </w:t>
      </w:r>
      <w:proofErr w:type="spellStart"/>
      <w:r w:rsidR="000C0348" w:rsidRPr="00402929">
        <w:rPr>
          <w:b w:val="0"/>
          <w:i/>
          <w:iCs/>
          <w:lang w:val="en-GB"/>
        </w:rPr>
        <w:t>Emiliania</w:t>
      </w:r>
      <w:proofErr w:type="spellEnd"/>
      <w:r w:rsidR="000C0348" w:rsidRPr="00402929">
        <w:rPr>
          <w:b w:val="0"/>
          <w:i/>
          <w:iCs/>
          <w:lang w:val="en-GB"/>
        </w:rPr>
        <w:t xml:space="preserve"> </w:t>
      </w:r>
      <w:proofErr w:type="spellStart"/>
      <w:r w:rsidR="000C0348" w:rsidRPr="00402929">
        <w:rPr>
          <w:b w:val="0"/>
          <w:i/>
          <w:iCs/>
          <w:lang w:val="en-GB"/>
        </w:rPr>
        <w:t>huxleyi</w:t>
      </w:r>
      <w:proofErr w:type="spellEnd"/>
      <w:r w:rsidR="000C0348" w:rsidRPr="00402929">
        <w:rPr>
          <w:b w:val="0"/>
          <w:i/>
          <w:iCs/>
          <w:lang w:val="en-GB"/>
        </w:rPr>
        <w:t xml:space="preserve"> </w:t>
      </w:r>
      <w:r w:rsidR="000C0348" w:rsidRPr="00402929">
        <w:rPr>
          <w:b w:val="0"/>
          <w:lang w:val="en-GB"/>
        </w:rPr>
        <w:t xml:space="preserve">culture and (B) </w:t>
      </w:r>
      <w:r w:rsidR="000C0348" w:rsidRPr="00402929">
        <w:rPr>
          <w:b w:val="0"/>
          <w:i/>
          <w:iCs/>
          <w:lang w:val="en-GB"/>
        </w:rPr>
        <w:t xml:space="preserve">E. </w:t>
      </w:r>
      <w:proofErr w:type="spellStart"/>
      <w:r w:rsidR="000C0348" w:rsidRPr="00402929">
        <w:rPr>
          <w:b w:val="0"/>
          <w:i/>
          <w:iCs/>
          <w:lang w:val="en-GB"/>
        </w:rPr>
        <w:t>huxleyi</w:t>
      </w:r>
      <w:proofErr w:type="spellEnd"/>
      <w:r w:rsidR="000C0348" w:rsidRPr="00402929">
        <w:rPr>
          <w:b w:val="0"/>
          <w:i/>
          <w:iCs/>
          <w:lang w:val="en-GB"/>
        </w:rPr>
        <w:t xml:space="preserve"> </w:t>
      </w:r>
      <w:r w:rsidR="000C0348" w:rsidRPr="00402929">
        <w:rPr>
          <w:b w:val="0"/>
          <w:lang w:val="en-GB"/>
        </w:rPr>
        <w:t xml:space="preserve">dead culture 4 days after being infected with EhV-86. EhV-86 was maintained at 4°C before adding to </w:t>
      </w:r>
      <w:r w:rsidR="000C0348" w:rsidRPr="00402929">
        <w:rPr>
          <w:b w:val="0"/>
          <w:i/>
          <w:iCs/>
          <w:lang w:val="en-GB"/>
        </w:rPr>
        <w:t xml:space="preserve">E. </w:t>
      </w:r>
      <w:proofErr w:type="spellStart"/>
      <w:r w:rsidR="000C0348" w:rsidRPr="00402929">
        <w:rPr>
          <w:b w:val="0"/>
          <w:i/>
          <w:iCs/>
          <w:lang w:val="en-GB"/>
        </w:rPr>
        <w:t>huxleyi</w:t>
      </w:r>
      <w:proofErr w:type="spellEnd"/>
      <w:r w:rsidR="000C0348" w:rsidRPr="00402929">
        <w:rPr>
          <w:b w:val="0"/>
          <w:i/>
          <w:iCs/>
          <w:lang w:val="en-GB"/>
        </w:rPr>
        <w:t xml:space="preserve"> </w:t>
      </w:r>
      <w:r w:rsidR="000C0348" w:rsidRPr="00402929">
        <w:rPr>
          <w:b w:val="0"/>
          <w:lang w:val="en-GB"/>
        </w:rPr>
        <w:t>culture. Filtrates were</w:t>
      </w:r>
      <w:r w:rsidR="000C0348" w:rsidRPr="00402929">
        <w:rPr>
          <w:b w:val="0"/>
          <w:i/>
          <w:iCs/>
          <w:lang w:val="en-GB"/>
        </w:rPr>
        <w:t xml:space="preserve"> </w:t>
      </w:r>
      <w:r w:rsidR="000C0348" w:rsidRPr="00402929">
        <w:rPr>
          <w:b w:val="0"/>
          <w:lang w:val="en-GB"/>
        </w:rPr>
        <w:t>fixed with 0.5% glutaraldehyde and subsequently diluted 1:100. Filtrate</w:t>
      </w:r>
      <w:r w:rsidR="00B174EC">
        <w:rPr>
          <w:b w:val="0"/>
          <w:lang w:val="en-GB"/>
        </w:rPr>
        <w:t>s</w:t>
      </w:r>
      <w:r w:rsidR="000C0348" w:rsidRPr="00402929">
        <w:rPr>
          <w:b w:val="0"/>
          <w:lang w:val="en-GB"/>
        </w:rPr>
        <w:t xml:space="preserve"> were then stained using SYBR gold as described in </w:t>
      </w:r>
      <w:r w:rsidR="000C0348" w:rsidRPr="00402929">
        <w:rPr>
          <w:b w:val="0"/>
          <w:lang w:val="en-GB"/>
        </w:rPr>
        <w:fldChar w:fldCharType="begin"/>
      </w:r>
      <w:r w:rsidR="00E24C9A">
        <w:rPr>
          <w:b w:val="0"/>
          <w:lang w:val="en-GB"/>
        </w:rPr>
        <w:instrText xml:space="preserve"> ADDIN EN.CITE &lt;EndNote&gt;&lt;Cite&gt;&lt;Author&gt;Marie&lt;/Author&gt;&lt;Year&gt;1999&lt;/Year&gt;&lt;RecNum&gt;212&lt;/RecNum&gt;&lt;DisplayText&gt;[1]&lt;/DisplayText&gt;&lt;record&gt;&lt;rec-number&gt;212&lt;/rec-number&gt;&lt;foreign-keys&gt;&lt;key app="EN" db-id="0eezareds00zviezrd4xaz5tfvrvtwz2wzve" timestamp="1621012182"&gt;212&lt;/key&gt;&lt;/foreign-keys&gt;&lt;ref-type name="Journal Article"&gt;17&lt;/ref-type&gt;&lt;contributors&gt;&lt;authors&gt;&lt;author&gt;Marie, D.&lt;/author&gt;&lt;author&gt;Brussaard, C. P. D.&lt;/author&gt;&lt;author&gt;Thyrhaug, R.&lt;/author&gt;&lt;author&gt;Bratbak, G.&lt;/author&gt;&lt;author&gt;Vaulot, D.&lt;/author&gt;&lt;/authors&gt;&lt;/contributors&gt;&lt;auth-address&gt;Station Biologique, CNRS, INSU and Universite Pierre et Marie Curie, 29682 Roscoff cedex, France.&lt;/auth-address&gt;&lt;titles&gt;&lt;title&gt;Enumeration of marine viruses in culture and natural samples by flow cytometry&lt;/title&gt;&lt;secondary-title&gt;Appl Environ Microbiol&lt;/secondary-title&gt;&lt;/titles&gt;&lt;periodical&gt;&lt;full-title&gt;Appl Environ Microbiol&lt;/full-title&gt;&lt;/periodical&gt;&lt;pages&gt;45-52&lt;/pages&gt;&lt;volume&gt;65&lt;/volume&gt;&lt;number&gt;1&lt;/number&gt;&lt;edition&gt;1999/01/05 21:58&lt;/edition&gt;&lt;dates&gt;&lt;year&gt;1999&lt;/year&gt;&lt;pub-dates&gt;&lt;date&gt;Jan&lt;/date&gt;&lt;/pub-dates&gt;&lt;/dates&gt;&lt;isbn&gt;0099-2240 (Print)&amp;#xD;0099-2240&lt;/isbn&gt;&lt;accession-num&gt;9872758&lt;/accession-num&gt;&lt;urls&gt;&lt;/urls&gt;&lt;custom2&gt;PMC90981&lt;/custom2&gt;&lt;electronic-resource-num&gt;10.1128/aem.65.1.45-52.1999&lt;/electronic-resource-num&gt;&lt;remote-database-provider&gt;NLM&lt;/remote-database-provider&gt;&lt;language&gt;eng&lt;/language&gt;&lt;/record&gt;&lt;/Cite&gt;&lt;/EndNote&gt;</w:instrText>
      </w:r>
      <w:r w:rsidR="000C0348" w:rsidRPr="00402929">
        <w:rPr>
          <w:b w:val="0"/>
          <w:lang w:val="en-GB"/>
        </w:rPr>
        <w:fldChar w:fldCharType="separate"/>
      </w:r>
      <w:r w:rsidR="00E24C9A">
        <w:rPr>
          <w:b w:val="0"/>
          <w:noProof/>
          <w:lang w:val="en-GB"/>
        </w:rPr>
        <w:t>[1]</w:t>
      </w:r>
      <w:r w:rsidR="000C0348" w:rsidRPr="00402929">
        <w:rPr>
          <w:b w:val="0"/>
        </w:rPr>
        <w:fldChar w:fldCharType="end"/>
      </w:r>
      <w:r w:rsidR="000C0348" w:rsidRPr="00402929">
        <w:rPr>
          <w:b w:val="0"/>
          <w:lang w:val="en-GB"/>
        </w:rPr>
        <w:t xml:space="preserve">. Flow cytometry enumeration based on green fluorescence (FITC-A) and side scatter (SSC-A) allowed us to identify and gate </w:t>
      </w:r>
      <w:proofErr w:type="spellStart"/>
      <w:r w:rsidR="000C0348" w:rsidRPr="00402929">
        <w:rPr>
          <w:b w:val="0"/>
          <w:lang w:val="en-GB"/>
        </w:rPr>
        <w:t>EhV</w:t>
      </w:r>
      <w:proofErr w:type="spellEnd"/>
      <w:r w:rsidR="000C0348" w:rsidRPr="00402929">
        <w:rPr>
          <w:b w:val="0"/>
          <w:lang w:val="en-GB"/>
        </w:rPr>
        <w:t xml:space="preserve"> particles (red box) as previously described by </w:t>
      </w:r>
      <w:r w:rsidR="000C0348" w:rsidRPr="00402929">
        <w:rPr>
          <w:b w:val="0"/>
          <w:lang w:val="en-GB"/>
        </w:rPr>
        <w:fldChar w:fldCharType="begin"/>
      </w:r>
      <w:r w:rsidR="00E24C9A">
        <w:rPr>
          <w:b w:val="0"/>
          <w:lang w:val="en-GB"/>
        </w:rPr>
        <w:instrText xml:space="preserve"> ADDIN EN.CITE &lt;EndNote&gt;&lt;Cite&gt;&lt;Author&gt;Martínez&lt;/Author&gt;&lt;Year&gt;2007&lt;/Year&gt;&lt;RecNum&gt;213&lt;/RecNum&gt;&lt;DisplayText&gt;[2]&lt;/DisplayText&gt;&lt;record&gt;&lt;rec-number&gt;213&lt;/rec-number&gt;&lt;foreign-keys&gt;&lt;key app="EN" db-id="0eezareds00zviezrd4xaz5tfvrvtwz2wzve" timestamp="1621015766"&gt;213&lt;/key&gt;&lt;/foreign-keys&gt;&lt;ref-type name="Journal Article"&gt;17&lt;/ref-type&gt;&lt;contributors&gt;&lt;authors&gt;&lt;author&gt;Martínez, Joaquín Martínez&lt;/author&gt;&lt;author&gt;Schroeder, Declan C.&lt;/author&gt;&lt;author&gt;Larsen, Aud&lt;/author&gt;&lt;author&gt;Bratbak, Gunnar&lt;/author&gt;&lt;author&gt;Wilson, William H.&lt;/author&gt;&lt;/authors&gt;&lt;/contributors&gt;&lt;titles&gt;&lt;title&gt;&lt;style face="normal" font="default" size="100%"&gt;Molecular dynamics of &lt;/style&gt;&lt;style face="italic" font="default" size="100%"&gt;Emiliania huxleyi&lt;/style&gt;&lt;style face="normal" font="default" size="100%"&gt; and cooccurring viruses during two separate mesocosm studies&lt;/style&gt;&lt;/title&gt;&lt;secondary-title&gt;Applied and Environmental Microbiology&lt;/secondary-title&gt;&lt;/titles&gt;&lt;periodical&gt;&lt;full-title&gt;Applied and Environmental Microbiology&lt;/full-title&gt;&lt;/periodical&gt;&lt;pages&gt;554-562&lt;/pages&gt;&lt;volume&gt;73&lt;/volume&gt;&lt;number&gt;2&lt;/number&gt;&lt;dates&gt;&lt;year&gt;2007&lt;/year&gt;&lt;/dates&gt;&lt;urls&gt;&lt;related-urls&gt;&lt;url&gt;https://aem.asm.org/content/aem/73/2/554.full.pdf&lt;/url&gt;&lt;/related-urls&gt;&lt;/urls&gt;&lt;electronic-resource-num&gt;10.1128/aem.00864-06&lt;/electronic-resource-num&gt;&lt;/record&gt;&lt;/Cite&gt;&lt;/EndNote&gt;</w:instrText>
      </w:r>
      <w:r w:rsidR="000C0348" w:rsidRPr="00402929">
        <w:rPr>
          <w:b w:val="0"/>
          <w:lang w:val="en-GB"/>
        </w:rPr>
        <w:fldChar w:fldCharType="separate"/>
      </w:r>
      <w:r w:rsidR="00E24C9A">
        <w:rPr>
          <w:b w:val="0"/>
          <w:noProof/>
          <w:lang w:val="en-GB"/>
        </w:rPr>
        <w:t>[2]</w:t>
      </w:r>
      <w:r w:rsidR="000C0348" w:rsidRPr="00402929">
        <w:rPr>
          <w:b w:val="0"/>
        </w:rPr>
        <w:fldChar w:fldCharType="end"/>
      </w:r>
      <w:r w:rsidR="000C0348" w:rsidRPr="00402929">
        <w:rPr>
          <w:b w:val="0"/>
          <w:lang w:val="en-GB"/>
        </w:rPr>
        <w:t>. We obtained a virus count of 37,335 in 50 µL, which correspond to 0.8 x 10</w:t>
      </w:r>
      <w:r w:rsidR="000C0348" w:rsidRPr="00402929">
        <w:rPr>
          <w:b w:val="0"/>
          <w:vertAlign w:val="superscript"/>
          <w:lang w:val="en-GB"/>
        </w:rPr>
        <w:t>8</w:t>
      </w:r>
      <w:r w:rsidR="000C0348" w:rsidRPr="00402929">
        <w:rPr>
          <w:b w:val="0"/>
          <w:lang w:val="en-GB"/>
        </w:rPr>
        <w:t xml:space="preserve"> </w:t>
      </w:r>
      <w:proofErr w:type="spellStart"/>
      <w:r w:rsidR="000C0348" w:rsidRPr="00402929">
        <w:rPr>
          <w:b w:val="0"/>
          <w:lang w:val="en-GB"/>
        </w:rPr>
        <w:t>EhV</w:t>
      </w:r>
      <w:proofErr w:type="spellEnd"/>
      <w:r w:rsidR="000C0348" w:rsidRPr="00402929">
        <w:rPr>
          <w:b w:val="0"/>
          <w:lang w:val="en-GB"/>
        </w:rPr>
        <w:t xml:space="preserve"> </w:t>
      </w:r>
      <w:proofErr w:type="gramStart"/>
      <w:r w:rsidR="000C0348" w:rsidRPr="00402929">
        <w:rPr>
          <w:b w:val="0"/>
          <w:lang w:val="en-GB"/>
        </w:rPr>
        <w:t>mL</w:t>
      </w:r>
      <w:r w:rsidR="000C0348" w:rsidRPr="00402929">
        <w:rPr>
          <w:b w:val="0"/>
          <w:vertAlign w:val="superscript"/>
          <w:lang w:val="en-GB"/>
        </w:rPr>
        <w:t>-1</w:t>
      </w:r>
      <w:proofErr w:type="gramEnd"/>
      <w:r w:rsidR="000C0348" w:rsidRPr="00402929">
        <w:rPr>
          <w:b w:val="0"/>
          <w:lang w:val="en-GB"/>
        </w:rPr>
        <w:t>. Two regions of high (blue arrow) and low (black arrow) SYBR nucleic acid florescence w</w:t>
      </w:r>
      <w:r w:rsidR="00B174EC">
        <w:rPr>
          <w:b w:val="0"/>
          <w:lang w:val="en-GB"/>
        </w:rPr>
        <w:t>ere</w:t>
      </w:r>
      <w:r w:rsidR="000C0348" w:rsidRPr="00402929">
        <w:rPr>
          <w:b w:val="0"/>
          <w:lang w:val="en-GB"/>
        </w:rPr>
        <w:t xml:space="preserve"> observed within the EhV-86 population of particles</w:t>
      </w:r>
      <w:r w:rsidR="00355362" w:rsidRPr="00402929">
        <w:rPr>
          <w:b w:val="0"/>
        </w:rPr>
        <w:t>.</w:t>
      </w:r>
    </w:p>
    <w:p w14:paraId="419317AB" w14:textId="77777777" w:rsidR="009A5287" w:rsidRPr="00402929" w:rsidRDefault="009A5287" w:rsidP="00B9440A">
      <w:pPr>
        <w:pStyle w:val="SMcaption"/>
        <w:rPr>
          <w:szCs w:val="24"/>
        </w:rPr>
      </w:pPr>
    </w:p>
    <w:p w14:paraId="273D09DA" w14:textId="77777777" w:rsidR="000E54FD" w:rsidRPr="00402929" w:rsidRDefault="000C0348" w:rsidP="000E54FD">
      <w:pPr>
        <w:pStyle w:val="SMHeading"/>
      </w:pPr>
      <w:r w:rsidRPr="00402929">
        <w:br w:type="page"/>
      </w:r>
      <w:r w:rsidR="000E54FD" w:rsidRPr="00402929">
        <w:rPr>
          <w:b w:val="0"/>
          <w:noProof/>
        </w:rPr>
        <w:lastRenderedPageBreak/>
        <w:drawing>
          <wp:inline distT="0" distB="0" distL="0" distR="0" wp14:anchorId="3D619F08" wp14:editId="651EB96A">
            <wp:extent cx="4478813" cy="3223895"/>
            <wp:effectExtent l="0" t="0" r="4445" b="1905"/>
            <wp:docPr id="4" name="Picture 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pic:nvPicPr>
                  <pic:blipFill rotWithShape="1">
                    <a:blip r:embed="rId9">
                      <a:extLst>
                        <a:ext uri="{28A0092B-C50C-407E-A947-70E740481C1C}">
                          <a14:useLocalDpi xmlns:a14="http://schemas.microsoft.com/office/drawing/2010/main" val="0"/>
                        </a:ext>
                      </a:extLst>
                    </a:blip>
                    <a:srcRect r="21856"/>
                    <a:stretch/>
                  </pic:blipFill>
                  <pic:spPr bwMode="auto">
                    <a:xfrm>
                      <a:off x="0" y="0"/>
                      <a:ext cx="4478813" cy="3223895"/>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6BAFB5CD" w14:textId="64123ACF" w:rsidR="000E54FD" w:rsidRPr="00402929" w:rsidRDefault="000E54FD" w:rsidP="000E54FD">
      <w:pPr>
        <w:pStyle w:val="SMHeading"/>
        <w:rPr>
          <w:lang w:val="en-GB"/>
        </w:rPr>
      </w:pPr>
      <w:r w:rsidRPr="00402929">
        <w:t xml:space="preserve">Fig </w:t>
      </w:r>
      <w:r>
        <w:t>S2</w:t>
      </w:r>
      <w:r w:rsidRPr="00402929">
        <w:t xml:space="preserve">. </w:t>
      </w:r>
      <w:r w:rsidRPr="00402929">
        <w:rPr>
          <w:b w:val="0"/>
          <w:bCs w:val="0"/>
          <w:lang w:val="en-GB"/>
        </w:rPr>
        <w:t>Example of a standard curve used in qPCR assays. Dilution of the MCP PCR amplicon (no of copies) plotted against the Ct values as obtained by real time PCR (each dot represents three technical replicates). The Ct (cycle threshold) is defined as the number of cycles required for the fluorescent signal to cross the threshold (i.e., exceeds background level). The Ct was 7.16 for our 10</w:t>
      </w:r>
      <w:r w:rsidRPr="00402929">
        <w:rPr>
          <w:b w:val="0"/>
          <w:bCs w:val="0"/>
          <w:vertAlign w:val="superscript"/>
          <w:lang w:val="en-GB"/>
        </w:rPr>
        <w:t>8</w:t>
      </w:r>
      <w:r w:rsidRPr="00402929">
        <w:rPr>
          <w:b w:val="0"/>
          <w:bCs w:val="0"/>
          <w:lang w:val="en-GB"/>
        </w:rPr>
        <w:t xml:space="preserve"> copies of target MCP stock</w:t>
      </w:r>
      <w:r>
        <w:rPr>
          <w:b w:val="0"/>
          <w:bCs w:val="0"/>
          <w:lang w:val="en-GB"/>
        </w:rPr>
        <w:t>,</w:t>
      </w:r>
      <w:r w:rsidRPr="00402929">
        <w:rPr>
          <w:b w:val="0"/>
          <w:bCs w:val="0"/>
          <w:lang w:val="en-GB"/>
        </w:rPr>
        <w:t xml:space="preserve"> and it gradually increased to a final value of 37.16 in the presence of only 10 MCP copies. The R</w:t>
      </w:r>
      <w:r w:rsidRPr="00402929">
        <w:rPr>
          <w:b w:val="0"/>
          <w:bCs w:val="0"/>
          <w:vertAlign w:val="superscript"/>
          <w:lang w:val="en-GB"/>
        </w:rPr>
        <w:t>2</w:t>
      </w:r>
      <w:r w:rsidRPr="00402929">
        <w:rPr>
          <w:b w:val="0"/>
          <w:bCs w:val="0"/>
          <w:lang w:val="en-GB"/>
        </w:rPr>
        <w:t xml:space="preserve"> value is shown.</w:t>
      </w:r>
    </w:p>
    <w:p w14:paraId="4EDE6FDC" w14:textId="77777777" w:rsidR="000E54FD" w:rsidRPr="00402929" w:rsidRDefault="000E54FD" w:rsidP="000E54FD">
      <w:pPr>
        <w:rPr>
          <w:szCs w:val="24"/>
        </w:rPr>
      </w:pPr>
      <w:r w:rsidRPr="00402929">
        <w:rPr>
          <w:b/>
          <w:bCs/>
          <w:szCs w:val="24"/>
        </w:rPr>
        <w:br w:type="page"/>
      </w:r>
    </w:p>
    <w:p w14:paraId="17026C7D" w14:textId="6BB8ED03" w:rsidR="008B214F" w:rsidRDefault="006D441D" w:rsidP="008B214F">
      <w:pPr>
        <w:rPr>
          <w:b/>
          <w:bCs/>
          <w:szCs w:val="24"/>
        </w:rPr>
      </w:pPr>
      <w:r>
        <w:rPr>
          <w:b/>
          <w:bCs/>
          <w:noProof/>
          <w:szCs w:val="24"/>
        </w:rPr>
        <w:lastRenderedPageBreak/>
        <mc:AlternateContent>
          <mc:Choice Requires="wps">
            <w:drawing>
              <wp:anchor distT="0" distB="0" distL="114300" distR="114300" simplePos="0" relativeHeight="251664384" behindDoc="0" locked="0" layoutInCell="1" allowOverlap="1" wp14:anchorId="30698A1F" wp14:editId="1B323FA3">
                <wp:simplePos x="0" y="0"/>
                <wp:positionH relativeFrom="column">
                  <wp:posOffset>3059130</wp:posOffset>
                </wp:positionH>
                <wp:positionV relativeFrom="paragraph">
                  <wp:posOffset>2178121</wp:posOffset>
                </wp:positionV>
                <wp:extent cx="0" cy="215758"/>
                <wp:effectExtent l="63500" t="25400" r="38100" b="13335"/>
                <wp:wrapNone/>
                <wp:docPr id="7" name="Straight Arrow Connector 7"/>
                <wp:cNvGraphicFramePr/>
                <a:graphic xmlns:a="http://schemas.openxmlformats.org/drawingml/2006/main">
                  <a:graphicData uri="http://schemas.microsoft.com/office/word/2010/wordprocessingShape">
                    <wps:wsp>
                      <wps:cNvCnPr/>
                      <wps:spPr>
                        <a:xfrm flipV="1">
                          <a:off x="0" y="0"/>
                          <a:ext cx="0" cy="21575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223983D9" id="_x0000_t32" coordsize="21600,21600" o:spt="32" o:oned="t" path="m,l21600,21600e" filled="f">
                <v:path arrowok="t" fillok="f" o:connecttype="none"/>
                <o:lock v:ext="edit" shapetype="t"/>
              </v:shapetype>
              <v:shape id="Straight Arrow Connector 7" o:spid="_x0000_s1026" type="#_x0000_t32" style="position:absolute;margin-left:240.9pt;margin-top:171.5pt;width:0;height:17pt;flip:y;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" strokecolor="#4579b8 [3044]">
                <v:stroke endarrow="block"/>
              </v:shape>
            </w:pict>
          </mc:Fallback>
        </mc:AlternateContent>
      </w:r>
      <w:r w:rsidR="008B214F">
        <w:rPr>
          <w:b/>
          <w:bCs/>
          <w:noProof/>
          <w:szCs w:val="24"/>
        </w:rPr>
        <w:drawing>
          <wp:inline distT="0" distB="0" distL="0" distR="0" wp14:anchorId="199C887D" wp14:editId="252CF190">
            <wp:extent cx="5486400" cy="3086100"/>
            <wp:effectExtent l="0" t="0" r="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86400" cy="3086100"/>
                    </a:xfrm>
                    <a:prstGeom prst="rect">
                      <a:avLst/>
                    </a:prstGeom>
                  </pic:spPr>
                </pic:pic>
              </a:graphicData>
            </a:graphic>
          </wp:inline>
        </w:drawing>
      </w:r>
    </w:p>
    <w:p w14:paraId="5308A9C3" w14:textId="32C93A87" w:rsidR="008B214F" w:rsidRPr="000278D2" w:rsidRDefault="008B214F" w:rsidP="008B214F">
      <w:pPr>
        <w:pStyle w:val="SMHeading"/>
        <w:rPr>
          <w:lang w:val="en-GB"/>
        </w:rPr>
      </w:pPr>
      <w:r w:rsidRPr="00402929">
        <w:t xml:space="preserve">Fig </w:t>
      </w:r>
      <w:r>
        <w:t>S3</w:t>
      </w:r>
      <w:r w:rsidRPr="00402929">
        <w:t xml:space="preserve">. </w:t>
      </w:r>
      <w:r>
        <w:rPr>
          <w:b w:val="0"/>
          <w:bCs w:val="0"/>
        </w:rPr>
        <w:t xml:space="preserve">The standard curve (green line) created using </w:t>
      </w:r>
      <w:r>
        <w:rPr>
          <w:b w:val="0"/>
          <w:bCs w:val="0"/>
          <w:lang w:val="en-GB"/>
        </w:rPr>
        <w:t>a</w:t>
      </w:r>
      <w:r w:rsidRPr="00402929">
        <w:rPr>
          <w:b w:val="0"/>
          <w:bCs w:val="0"/>
          <w:lang w:val="en-GB"/>
        </w:rPr>
        <w:t xml:space="preserve"> </w:t>
      </w:r>
      <w:r>
        <w:rPr>
          <w:b w:val="0"/>
          <w:bCs w:val="0"/>
          <w:lang w:val="en-GB"/>
        </w:rPr>
        <w:t>PRRSV TCID</w:t>
      </w:r>
      <w:r w:rsidRPr="00823C34">
        <w:rPr>
          <w:b w:val="0"/>
          <w:bCs w:val="0"/>
          <w:vertAlign w:val="subscript"/>
          <w:lang w:val="en-GB"/>
        </w:rPr>
        <w:t>50</w:t>
      </w:r>
      <w:r>
        <w:rPr>
          <w:b w:val="0"/>
          <w:bCs w:val="0"/>
          <w:lang w:val="en-GB"/>
        </w:rPr>
        <w:t xml:space="preserve"> </w:t>
      </w:r>
      <w:r w:rsidRPr="00D04DBD">
        <w:rPr>
          <w:b w:val="0"/>
          <w:bCs w:val="0"/>
          <w:color w:val="222222"/>
          <w:highlight w:val="white"/>
          <w:lang w:val="en-GB"/>
        </w:rPr>
        <w:t>mL</w:t>
      </w:r>
      <w:r w:rsidRPr="00D04DBD">
        <w:rPr>
          <w:b w:val="0"/>
          <w:bCs w:val="0"/>
          <w:color w:val="222222"/>
          <w:highlight w:val="white"/>
          <w:vertAlign w:val="superscript"/>
          <w:lang w:val="en-GB"/>
        </w:rPr>
        <w:t>-1</w:t>
      </w:r>
      <w:r>
        <w:rPr>
          <w:b w:val="0"/>
          <w:bCs w:val="0"/>
          <w:lang w:val="en-GB"/>
        </w:rPr>
        <w:t xml:space="preserve"> </w:t>
      </w:r>
      <w:r>
        <w:rPr>
          <w:b w:val="0"/>
          <w:bCs w:val="0"/>
          <w:lang w:val="en-GB"/>
        </w:rPr>
        <w:fldChar w:fldCharType="begin"/>
      </w:r>
      <w:r>
        <w:rPr>
          <w:b w:val="0"/>
          <w:bCs w:val="0"/>
          <w:lang w:val="en-GB"/>
        </w:rPr>
        <w:instrText xml:space="preserve"> ADDIN EN.CITE &lt;EndNote&gt;&lt;Cite&gt;&lt;Author&gt;Lei&lt;/Author&gt;&lt;Year&gt;2021&lt;/Year&gt;&lt;RecNum&gt;284&lt;/RecNum&gt;&lt;DisplayText&gt;[3]&lt;/DisplayText&gt;&lt;record&gt;&lt;rec-number&gt;284&lt;/rec-number&gt;&lt;foreign-keys&gt;&lt;key app="EN" db-id="0eezareds00zviezrd4xaz5tfvrvtwz2wzve" timestamp="1648157185"&gt;284&lt;/key&gt;&lt;/foreign-keys&gt;&lt;ref-type name="Journal Article"&gt;17&lt;/ref-type&gt;&lt;contributors&gt;&lt;authors&gt;&lt;author&gt;Lei, Chengfeng&lt;/author&gt;&lt;author&gt;Yang, Jian&lt;/author&gt;&lt;author&gt;Hu, Jia&lt;/author&gt;&lt;author&gt;Sun, Xiulian&lt;/author&gt;&lt;/authors&gt;&lt;/contributors&gt;&lt;titles&gt;&lt;title&gt;On the Calculation of TCID(50) for Quantitation of Virus Infectivity&lt;/title&gt;&lt;secondary-title&gt;Virologica Sinica&lt;/secondary-title&gt;&lt;alt-title&gt;Virol Sin&lt;/alt-title&gt;&lt;/titles&gt;&lt;periodical&gt;&lt;full-title&gt;Virologica Sinica&lt;/full-title&gt;&lt;abbr-1&gt;Virol Sin&lt;/abbr-1&gt;&lt;/periodical&gt;&lt;alt-periodical&gt;&lt;full-title&gt;Virologica Sinica&lt;/full-title&gt;&lt;abbr-1&gt;Virol Sin&lt;/abbr-1&gt;&lt;/alt-periodical&gt;&lt;pages&gt;141-144&lt;/pages&gt;&lt;volume&gt;36&lt;/volume&gt;&lt;number&gt;1&lt;/number&gt;&lt;edition&gt;2020/05/26&lt;/edition&gt;&lt;keywords&gt;&lt;keyword&gt;Humans&lt;/keyword&gt;&lt;keyword&gt;*Virus Diseases&lt;/keyword&gt;&lt;/keywords&gt;&lt;dates&gt;&lt;year&gt;2021&lt;/year&gt;&lt;/dates&gt;&lt;publisher&gt;Springer Singapore&lt;/publisher&gt;&lt;isbn&gt;1995-820X&amp;#xD;1674-0769&lt;/isbn&gt;&lt;accession-num&gt;32458296&lt;/accession-num&gt;&lt;urls&gt;&lt;related-urls&gt;&lt;url&gt;https://pubmed.ncbi.nlm.nih.gov/32458296&lt;/url&gt;&lt;url&gt;https://www.ncbi.nlm.nih.gov/pmc/articles/PMC7973348/&lt;/url&gt;&lt;/related-urls&gt;&lt;/urls&gt;&lt;electronic-resource-num&gt;10.1007/s12250-020-00230-5&lt;/electronic-resource-num&gt;&lt;remote-database-name&gt;PubMed&lt;/remote-database-name&gt;&lt;language&gt;eng&lt;/language&gt;&lt;/record&gt;&lt;/Cite&gt;&lt;/EndNote&gt;</w:instrText>
      </w:r>
      <w:r>
        <w:rPr>
          <w:b w:val="0"/>
          <w:bCs w:val="0"/>
          <w:lang w:val="en-GB"/>
        </w:rPr>
        <w:fldChar w:fldCharType="separate"/>
      </w:r>
      <w:r>
        <w:rPr>
          <w:b w:val="0"/>
          <w:bCs w:val="0"/>
          <w:noProof/>
          <w:lang w:val="en-GB"/>
        </w:rPr>
        <w:t>[3]</w:t>
      </w:r>
      <w:r>
        <w:rPr>
          <w:b w:val="0"/>
          <w:bCs w:val="0"/>
          <w:lang w:val="en-GB"/>
        </w:rPr>
        <w:fldChar w:fldCharType="end"/>
      </w:r>
      <w:r>
        <w:rPr>
          <w:b w:val="0"/>
          <w:bCs w:val="0"/>
          <w:lang w:val="en-GB"/>
        </w:rPr>
        <w:t xml:space="preserve"> 10-fold dilution series (green plus sign symbols, x-axis) and the </w:t>
      </w:r>
      <w:proofErr w:type="spellStart"/>
      <w:r>
        <w:rPr>
          <w:b w:val="0"/>
          <w:bCs w:val="0"/>
          <w:lang w:val="en-GB"/>
        </w:rPr>
        <w:t>Cq</w:t>
      </w:r>
      <w:proofErr w:type="spellEnd"/>
      <w:r>
        <w:rPr>
          <w:b w:val="0"/>
          <w:bCs w:val="0"/>
          <w:lang w:val="en-GB"/>
        </w:rPr>
        <w:t xml:space="preserve"> values (y-axis) obtained from</w:t>
      </w:r>
      <w:r w:rsidRPr="00402929">
        <w:rPr>
          <w:b w:val="0"/>
          <w:bCs w:val="0"/>
          <w:lang w:val="en-GB"/>
        </w:rPr>
        <w:t xml:space="preserve"> </w:t>
      </w:r>
      <w:r>
        <w:rPr>
          <w:b w:val="0"/>
          <w:bCs w:val="0"/>
          <w:lang w:val="en-GB"/>
        </w:rPr>
        <w:t>RT-</w:t>
      </w:r>
      <w:r w:rsidRPr="00402929">
        <w:rPr>
          <w:b w:val="0"/>
          <w:bCs w:val="0"/>
          <w:lang w:val="en-GB"/>
        </w:rPr>
        <w:t xml:space="preserve">PCR. The </w:t>
      </w:r>
      <w:proofErr w:type="spellStart"/>
      <w:r w:rsidRPr="00402929">
        <w:rPr>
          <w:b w:val="0"/>
          <w:bCs w:val="0"/>
          <w:lang w:val="en-GB"/>
        </w:rPr>
        <w:t>C</w:t>
      </w:r>
      <w:r>
        <w:rPr>
          <w:b w:val="0"/>
          <w:bCs w:val="0"/>
          <w:lang w:val="en-GB"/>
        </w:rPr>
        <w:t>q</w:t>
      </w:r>
      <w:proofErr w:type="spellEnd"/>
      <w:r>
        <w:rPr>
          <w:b w:val="0"/>
          <w:bCs w:val="0"/>
          <w:lang w:val="en-GB"/>
        </w:rPr>
        <w:t xml:space="preserve"> </w:t>
      </w:r>
      <w:r w:rsidRPr="00402929">
        <w:rPr>
          <w:b w:val="0"/>
          <w:bCs w:val="0"/>
          <w:lang w:val="en-GB"/>
        </w:rPr>
        <w:t>is defined as the number of cycles required for the fluorescent signal to cross the threshold (i.e., exceeds background level). The</w:t>
      </w:r>
      <w:r>
        <w:rPr>
          <w:b w:val="0"/>
          <w:bCs w:val="0"/>
          <w:lang w:val="en-GB"/>
        </w:rPr>
        <w:t xml:space="preserve"> standard curve equation metrics are</w:t>
      </w:r>
      <w:r w:rsidRPr="00402929">
        <w:rPr>
          <w:b w:val="0"/>
          <w:bCs w:val="0"/>
          <w:lang w:val="en-GB"/>
        </w:rPr>
        <w:t xml:space="preserve"> shown.</w:t>
      </w:r>
      <w:r>
        <w:rPr>
          <w:b w:val="0"/>
          <w:bCs w:val="0"/>
          <w:lang w:val="en-GB"/>
        </w:rPr>
        <w:t xml:space="preserve"> The data obtained for Figure 3D are also shown. Note that the efficiency of the RT-PCR was only at 78% and that the 4 </w:t>
      </w:r>
      <w:r w:rsidRPr="00402929">
        <w:rPr>
          <w:b w:val="0"/>
          <w:bCs w:val="0"/>
          <w:lang w:val="en-GB"/>
        </w:rPr>
        <w:t>°C</w:t>
      </w:r>
      <w:r>
        <w:rPr>
          <w:b w:val="0"/>
          <w:bCs w:val="0"/>
          <w:lang w:val="en-GB"/>
        </w:rPr>
        <w:t xml:space="preserve"> controls (triangles and squares) plotted on the standard curve gave higher TCID</w:t>
      </w:r>
      <w:r w:rsidRPr="00823C34">
        <w:rPr>
          <w:b w:val="0"/>
          <w:bCs w:val="0"/>
          <w:vertAlign w:val="subscript"/>
          <w:lang w:val="en-GB"/>
        </w:rPr>
        <w:t>50</w:t>
      </w:r>
      <w:r>
        <w:rPr>
          <w:b w:val="0"/>
          <w:bCs w:val="0"/>
          <w:lang w:val="en-GB"/>
        </w:rPr>
        <w:t xml:space="preserve"> </w:t>
      </w:r>
      <w:r w:rsidRPr="00D04DBD">
        <w:rPr>
          <w:b w:val="0"/>
          <w:bCs w:val="0"/>
          <w:color w:val="222222"/>
          <w:highlight w:val="white"/>
          <w:lang w:val="en-GB"/>
        </w:rPr>
        <w:t>mL</w:t>
      </w:r>
      <w:r w:rsidRPr="00D04DBD">
        <w:rPr>
          <w:b w:val="0"/>
          <w:bCs w:val="0"/>
          <w:color w:val="222222"/>
          <w:highlight w:val="white"/>
          <w:vertAlign w:val="superscript"/>
          <w:lang w:val="en-GB"/>
        </w:rPr>
        <w:t>-1</w:t>
      </w:r>
      <w:r>
        <w:rPr>
          <w:b w:val="0"/>
          <w:bCs w:val="0"/>
          <w:color w:val="222222"/>
          <w:vertAlign w:val="superscript"/>
          <w:lang w:val="en-GB"/>
        </w:rPr>
        <w:t xml:space="preserve"> </w:t>
      </w:r>
      <w:r>
        <w:rPr>
          <w:b w:val="0"/>
          <w:bCs w:val="0"/>
          <w:color w:val="222222"/>
          <w:lang w:val="en-GB"/>
        </w:rPr>
        <w:t xml:space="preserve">values than the corresponding standard dilution (arrow). It is clear from the plot that the RT-PCR is inhibited at the higher PRRSV concentrations. Consequently, our calculated </w:t>
      </w:r>
      <w:r>
        <w:rPr>
          <w:b w:val="0"/>
          <w:bCs w:val="0"/>
          <w:lang w:val="en-GB"/>
        </w:rPr>
        <w:t>TCID</w:t>
      </w:r>
      <w:r w:rsidRPr="00823C34">
        <w:rPr>
          <w:b w:val="0"/>
          <w:bCs w:val="0"/>
          <w:vertAlign w:val="subscript"/>
          <w:lang w:val="en-GB"/>
        </w:rPr>
        <w:t>50</w:t>
      </w:r>
      <w:r>
        <w:rPr>
          <w:b w:val="0"/>
          <w:bCs w:val="0"/>
          <w:lang w:val="en-GB"/>
        </w:rPr>
        <w:t xml:space="preserve"> </w:t>
      </w:r>
      <w:r w:rsidRPr="00D04DBD">
        <w:rPr>
          <w:b w:val="0"/>
          <w:bCs w:val="0"/>
          <w:color w:val="222222"/>
          <w:highlight w:val="white"/>
          <w:lang w:val="en-GB"/>
        </w:rPr>
        <w:t>mL</w:t>
      </w:r>
      <w:r w:rsidRPr="00D04DBD">
        <w:rPr>
          <w:b w:val="0"/>
          <w:bCs w:val="0"/>
          <w:color w:val="222222"/>
          <w:highlight w:val="white"/>
          <w:vertAlign w:val="superscript"/>
          <w:lang w:val="en-GB"/>
        </w:rPr>
        <w:t>-1</w:t>
      </w:r>
      <w:r>
        <w:rPr>
          <w:b w:val="0"/>
          <w:bCs w:val="0"/>
          <w:color w:val="222222"/>
          <w:vertAlign w:val="superscript"/>
          <w:lang w:val="en-GB"/>
        </w:rPr>
        <w:t xml:space="preserve"> </w:t>
      </w:r>
      <w:r>
        <w:rPr>
          <w:b w:val="0"/>
          <w:bCs w:val="0"/>
          <w:color w:val="222222"/>
          <w:lang w:val="en-GB"/>
        </w:rPr>
        <w:t xml:space="preserve">values for the S and V RT-PCR will be higher (just under 1 log) than the known starting </w:t>
      </w:r>
      <w:r>
        <w:rPr>
          <w:b w:val="0"/>
          <w:bCs w:val="0"/>
          <w:lang w:val="en-GB"/>
        </w:rPr>
        <w:t>TCID</w:t>
      </w:r>
      <w:r w:rsidRPr="00823C34">
        <w:rPr>
          <w:b w:val="0"/>
          <w:bCs w:val="0"/>
          <w:vertAlign w:val="subscript"/>
          <w:lang w:val="en-GB"/>
        </w:rPr>
        <w:t>50</w:t>
      </w:r>
      <w:r>
        <w:rPr>
          <w:b w:val="0"/>
          <w:bCs w:val="0"/>
          <w:lang w:val="en-GB"/>
        </w:rPr>
        <w:t xml:space="preserve"> </w:t>
      </w:r>
      <w:r w:rsidRPr="00D04DBD">
        <w:rPr>
          <w:b w:val="0"/>
          <w:bCs w:val="0"/>
          <w:color w:val="222222"/>
          <w:highlight w:val="white"/>
          <w:lang w:val="en-GB"/>
        </w:rPr>
        <w:t>mL</w:t>
      </w:r>
      <w:r w:rsidRPr="00D04DBD">
        <w:rPr>
          <w:b w:val="0"/>
          <w:bCs w:val="0"/>
          <w:color w:val="222222"/>
          <w:highlight w:val="white"/>
          <w:vertAlign w:val="superscript"/>
          <w:lang w:val="en-GB"/>
        </w:rPr>
        <w:t>-1</w:t>
      </w:r>
      <w:r>
        <w:rPr>
          <w:b w:val="0"/>
          <w:bCs w:val="0"/>
          <w:color w:val="222222"/>
          <w:vertAlign w:val="superscript"/>
          <w:lang w:val="en-GB"/>
        </w:rPr>
        <w:t xml:space="preserve"> </w:t>
      </w:r>
      <w:r>
        <w:rPr>
          <w:b w:val="0"/>
          <w:bCs w:val="0"/>
          <w:color w:val="222222"/>
          <w:lang w:val="en-GB"/>
        </w:rPr>
        <w:t>value (Figure 3</w:t>
      </w:r>
      <w:r w:rsidR="008A519A">
        <w:rPr>
          <w:b w:val="0"/>
          <w:bCs w:val="0"/>
          <w:color w:val="222222"/>
          <w:lang w:val="en-GB"/>
        </w:rPr>
        <w:t>D</w:t>
      </w:r>
      <w:r>
        <w:rPr>
          <w:b w:val="0"/>
          <w:bCs w:val="0"/>
          <w:color w:val="222222"/>
          <w:lang w:val="en-GB"/>
        </w:rPr>
        <w:t>).</w:t>
      </w:r>
    </w:p>
    <w:p w14:paraId="0E657A14" w14:textId="77777777" w:rsidR="008B214F" w:rsidRDefault="008B214F" w:rsidP="008B214F">
      <w:pPr>
        <w:rPr>
          <w:b/>
          <w:bCs/>
          <w:szCs w:val="24"/>
        </w:rPr>
      </w:pPr>
    </w:p>
    <w:p w14:paraId="66091BBE" w14:textId="77777777" w:rsidR="008B214F" w:rsidRDefault="008B214F" w:rsidP="008B214F">
      <w:pPr>
        <w:rPr>
          <w:b/>
          <w:bCs/>
          <w:szCs w:val="24"/>
        </w:rPr>
      </w:pPr>
    </w:p>
    <w:p w14:paraId="067A36FF" w14:textId="77777777" w:rsidR="008B214F" w:rsidRDefault="008B214F" w:rsidP="008B214F">
      <w:pPr>
        <w:rPr>
          <w:b/>
          <w:bCs/>
          <w:szCs w:val="24"/>
        </w:rPr>
      </w:pPr>
      <w:r>
        <w:rPr>
          <w:b/>
          <w:bCs/>
          <w:szCs w:val="24"/>
        </w:rPr>
        <w:br w:type="page"/>
      </w:r>
    </w:p>
    <w:p w14:paraId="02775DFC" w14:textId="46762476" w:rsidR="000C0348" w:rsidRPr="00402929" w:rsidRDefault="000C0348">
      <w:pPr>
        <w:rPr>
          <w:szCs w:val="24"/>
        </w:rPr>
      </w:pPr>
    </w:p>
    <w:p w14:paraId="27E6D584" w14:textId="344AFF5F" w:rsidR="000C0348" w:rsidRPr="00402929" w:rsidRDefault="002F381F" w:rsidP="00B42F9C">
      <w:pPr>
        <w:pStyle w:val="SMHeading"/>
      </w:pPr>
      <w:r w:rsidRPr="00402929">
        <w:rPr>
          <w:noProof/>
        </w:rPr>
        <w:drawing>
          <wp:inline distT="0" distB="0" distL="0" distR="0" wp14:anchorId="3C33BEBF" wp14:editId="56A2B8F5">
            <wp:extent cx="5486400" cy="30861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86400" cy="3086100"/>
                    </a:xfrm>
                    <a:prstGeom prst="rect">
                      <a:avLst/>
                    </a:prstGeom>
                  </pic:spPr>
                </pic:pic>
              </a:graphicData>
            </a:graphic>
          </wp:inline>
        </w:drawing>
      </w:r>
    </w:p>
    <w:p w14:paraId="0DAFB46C" w14:textId="117846F7" w:rsidR="000C0348" w:rsidRPr="00402929" w:rsidRDefault="002F381F" w:rsidP="000C0348">
      <w:pPr>
        <w:pStyle w:val="SMHeading"/>
        <w:rPr>
          <w:lang w:val="en-GB"/>
        </w:rPr>
      </w:pPr>
      <w:r w:rsidRPr="00402929">
        <w:t xml:space="preserve">Fig </w:t>
      </w:r>
      <w:r w:rsidR="007C317D">
        <w:t>S</w:t>
      </w:r>
      <w:r w:rsidR="001D4502">
        <w:t>4</w:t>
      </w:r>
      <w:r w:rsidRPr="00402929">
        <w:t xml:space="preserve"> </w:t>
      </w:r>
      <w:r w:rsidR="000C0348" w:rsidRPr="00402929">
        <w:rPr>
          <w:b w:val="0"/>
          <w:bCs w:val="0"/>
          <w:lang w:val="en-GB"/>
        </w:rPr>
        <w:t>Infectivity of EhV-86 after temperature treatment. A log</w:t>
      </w:r>
      <w:r w:rsidR="000C0348" w:rsidRPr="00402929">
        <w:rPr>
          <w:b w:val="0"/>
          <w:bCs w:val="0"/>
          <w:vertAlign w:val="subscript"/>
          <w:lang w:val="en-GB"/>
        </w:rPr>
        <w:t>10</w:t>
      </w:r>
      <w:r w:rsidR="000C0348" w:rsidRPr="00402929">
        <w:rPr>
          <w:b w:val="0"/>
          <w:bCs w:val="0"/>
          <w:lang w:val="en-GB"/>
        </w:rPr>
        <w:t xml:space="preserve"> </w:t>
      </w:r>
      <w:r w:rsidR="000C0348" w:rsidRPr="00402929">
        <w:rPr>
          <w:b w:val="0"/>
          <w:bCs w:val="0"/>
          <w:i/>
          <w:lang w:val="en-GB"/>
        </w:rPr>
        <w:t xml:space="preserve">E. </w:t>
      </w:r>
      <w:proofErr w:type="spellStart"/>
      <w:r w:rsidR="000C0348" w:rsidRPr="00402929">
        <w:rPr>
          <w:b w:val="0"/>
          <w:bCs w:val="0"/>
          <w:i/>
          <w:lang w:val="en-GB"/>
        </w:rPr>
        <w:t>huxleyi</w:t>
      </w:r>
      <w:proofErr w:type="spellEnd"/>
      <w:r w:rsidR="000C0348" w:rsidRPr="00402929">
        <w:rPr>
          <w:b w:val="0"/>
          <w:bCs w:val="0"/>
          <w:lang w:val="en-GB"/>
        </w:rPr>
        <w:t xml:space="preserve"> cell density (cells </w:t>
      </w:r>
      <w:proofErr w:type="gramStart"/>
      <w:r w:rsidR="000C0348" w:rsidRPr="00402929">
        <w:rPr>
          <w:b w:val="0"/>
          <w:bCs w:val="0"/>
          <w:lang w:val="en-GB"/>
        </w:rPr>
        <w:t>mL</w:t>
      </w:r>
      <w:r w:rsidR="000C0348" w:rsidRPr="00402929">
        <w:rPr>
          <w:b w:val="0"/>
          <w:bCs w:val="0"/>
          <w:vertAlign w:val="superscript"/>
          <w:lang w:val="en-GB"/>
        </w:rPr>
        <w:t>-1</w:t>
      </w:r>
      <w:proofErr w:type="gramEnd"/>
      <w:r w:rsidR="000C0348" w:rsidRPr="00402929">
        <w:rPr>
          <w:b w:val="0"/>
          <w:bCs w:val="0"/>
          <w:lang w:val="en-GB"/>
        </w:rPr>
        <w:t xml:space="preserve">) plot indicating the capacity of </w:t>
      </w:r>
      <w:proofErr w:type="spellStart"/>
      <w:r w:rsidR="000C0348" w:rsidRPr="00402929">
        <w:rPr>
          <w:b w:val="0"/>
          <w:bCs w:val="0"/>
          <w:lang w:val="en-GB"/>
        </w:rPr>
        <w:t>EhV</w:t>
      </w:r>
      <w:proofErr w:type="spellEnd"/>
      <w:r w:rsidR="000C0348" w:rsidRPr="00402929">
        <w:rPr>
          <w:b w:val="0"/>
          <w:bCs w:val="0"/>
          <w:lang w:val="en-GB"/>
        </w:rPr>
        <w:t xml:space="preserve"> to induce </w:t>
      </w:r>
      <w:r w:rsidR="000C0348" w:rsidRPr="00402929">
        <w:rPr>
          <w:b w:val="0"/>
          <w:bCs w:val="0"/>
          <w:i/>
          <w:lang w:val="en-GB"/>
        </w:rPr>
        <w:t xml:space="preserve">E. </w:t>
      </w:r>
      <w:proofErr w:type="spellStart"/>
      <w:r w:rsidR="000C0348" w:rsidRPr="00402929">
        <w:rPr>
          <w:b w:val="0"/>
          <w:bCs w:val="0"/>
          <w:i/>
          <w:lang w:val="en-GB"/>
        </w:rPr>
        <w:t>huxleyi</w:t>
      </w:r>
      <w:proofErr w:type="spellEnd"/>
      <w:r w:rsidR="000C0348" w:rsidRPr="00402929">
        <w:rPr>
          <w:b w:val="0"/>
          <w:bCs w:val="0"/>
          <w:lang w:val="en-GB"/>
        </w:rPr>
        <w:t xml:space="preserve"> lysis, with subsequent change in cell density in infected cultures eight days post-virus inoculation in bioassays. EhV-86 was treated for short time-intervals: 5 min up to 25 min at several temperatures from 4 °C to 60 °C.</w:t>
      </w:r>
      <w:r w:rsidR="005C4CC4">
        <w:rPr>
          <w:b w:val="0"/>
          <w:bCs w:val="0"/>
          <w:lang w:val="en-GB"/>
        </w:rPr>
        <w:t xml:space="preserve"> </w:t>
      </w:r>
      <w:r w:rsidR="00594BD1" w:rsidRPr="00594BD1">
        <w:rPr>
          <w:b w:val="0"/>
          <w:bCs w:val="0"/>
          <w:lang w:val="en-GB"/>
        </w:rPr>
        <w:t>The dashed line represents the lowest accurate limit of detection for cell number enumeration</w:t>
      </w:r>
      <w:r w:rsidR="00B174EC">
        <w:rPr>
          <w:b w:val="0"/>
          <w:bCs w:val="0"/>
          <w:lang w:val="en-GB"/>
        </w:rPr>
        <w:t>.</w:t>
      </w:r>
    </w:p>
    <w:p w14:paraId="695F73DE" w14:textId="77777777" w:rsidR="00670299" w:rsidRPr="00402929" w:rsidRDefault="00670299" w:rsidP="00670299">
      <w:pPr>
        <w:pStyle w:val="SMcaption"/>
        <w:rPr>
          <w:szCs w:val="24"/>
        </w:rPr>
      </w:pPr>
    </w:p>
    <w:p w14:paraId="131C1CE7" w14:textId="51D30393" w:rsidR="00963971" w:rsidRPr="00402929" w:rsidRDefault="000C0348" w:rsidP="000E54FD">
      <w:pPr>
        <w:pStyle w:val="SMHeading"/>
      </w:pPr>
      <w:r w:rsidRPr="00402929">
        <w:br w:type="page"/>
      </w:r>
    </w:p>
    <w:p w14:paraId="69999871" w14:textId="388D9512" w:rsidR="000C0348" w:rsidRPr="00402929" w:rsidRDefault="000C0348">
      <w:pPr>
        <w:rPr>
          <w:szCs w:val="24"/>
        </w:rPr>
      </w:pPr>
    </w:p>
    <w:p w14:paraId="381EDE63" w14:textId="5037056F" w:rsidR="000C0348" w:rsidRPr="00402929" w:rsidRDefault="000C0348" w:rsidP="000C0348">
      <w:pPr>
        <w:pStyle w:val="SMHeading"/>
      </w:pPr>
      <w:r w:rsidRPr="00402929">
        <w:rPr>
          <w:noProof/>
        </w:rPr>
        <w:drawing>
          <wp:inline distT="0" distB="0" distL="0" distR="0" wp14:anchorId="69D84A63" wp14:editId="1AC74D7B">
            <wp:extent cx="5486400" cy="3086024"/>
            <wp:effectExtent l="0" t="0" r="0" b="635"/>
            <wp:docPr id="14" name="Picture 1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line char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486400" cy="3086024"/>
                    </a:xfrm>
                    <a:prstGeom prst="rect">
                      <a:avLst/>
                    </a:prstGeom>
                  </pic:spPr>
                </pic:pic>
              </a:graphicData>
            </a:graphic>
          </wp:inline>
        </w:drawing>
      </w:r>
    </w:p>
    <w:p w14:paraId="1781BC75" w14:textId="1DD30199" w:rsidR="000C0348" w:rsidRPr="00402929" w:rsidRDefault="002F381F" w:rsidP="000C0348">
      <w:pPr>
        <w:pStyle w:val="SMHeading"/>
      </w:pPr>
      <w:r w:rsidRPr="00402929">
        <w:t xml:space="preserve">Fig </w:t>
      </w:r>
      <w:r w:rsidR="007C317D">
        <w:t>S</w:t>
      </w:r>
      <w:r w:rsidR="001D4502">
        <w:t>5</w:t>
      </w:r>
      <w:r w:rsidRPr="00402929">
        <w:t xml:space="preserve">. </w:t>
      </w:r>
      <w:r w:rsidR="000C0348" w:rsidRPr="00402929">
        <w:rPr>
          <w:b w:val="0"/>
          <w:bCs w:val="0"/>
          <w:lang w:val="en-GB"/>
        </w:rPr>
        <w:t>Efficiency of staining EhV-86 at different temperatures using a nucleic acid (DAPI) and lipid (FM 143) stain. Box plot with minimum &amp; maximum (vertical whiskers), sample median (horizontal line) and first (25</w:t>
      </w:r>
      <w:r w:rsidR="000C0348" w:rsidRPr="00402929">
        <w:rPr>
          <w:b w:val="0"/>
          <w:bCs w:val="0"/>
          <w:vertAlign w:val="superscript"/>
          <w:lang w:val="en-GB"/>
        </w:rPr>
        <w:t>th</w:t>
      </w:r>
      <w:r w:rsidR="000C0348" w:rsidRPr="00402929">
        <w:rPr>
          <w:b w:val="0"/>
          <w:bCs w:val="0"/>
          <w:lang w:val="en-GB"/>
        </w:rPr>
        <w:t xml:space="preserve"> percentile) and last (75</w:t>
      </w:r>
      <w:r w:rsidR="000C0348" w:rsidRPr="00402929">
        <w:rPr>
          <w:b w:val="0"/>
          <w:bCs w:val="0"/>
          <w:vertAlign w:val="superscript"/>
          <w:lang w:val="en-GB"/>
        </w:rPr>
        <w:t>th</w:t>
      </w:r>
      <w:r w:rsidR="000C0348" w:rsidRPr="00402929">
        <w:rPr>
          <w:b w:val="0"/>
          <w:bCs w:val="0"/>
          <w:lang w:val="en-GB"/>
        </w:rPr>
        <w:t xml:space="preserve"> percentile) </w:t>
      </w:r>
      <w:r w:rsidR="000C0348" w:rsidRPr="00402929">
        <w:rPr>
          <w:b w:val="0"/>
          <w:bCs w:val="0"/>
        </w:rPr>
        <w:t xml:space="preserve">calculated for the nucleic acid and lipid membrane </w:t>
      </w:r>
      <w:r w:rsidR="000C0348" w:rsidRPr="00402929">
        <w:rPr>
          <w:b w:val="0"/>
          <w:bCs w:val="0"/>
          <w:lang w:val="en-GB"/>
        </w:rPr>
        <w:t>ratios (mean DAPI:FM 143 ratio) for EhV-86 treated for 20 minutes at 4</w:t>
      </w:r>
      <w:r w:rsidR="00B174EC">
        <w:rPr>
          <w:b w:val="0"/>
          <w:bCs w:val="0"/>
          <w:lang w:val="en-GB"/>
        </w:rPr>
        <w:t xml:space="preserve"> </w:t>
      </w:r>
      <w:r w:rsidR="000C0348" w:rsidRPr="00402929">
        <w:rPr>
          <w:b w:val="0"/>
          <w:bCs w:val="0"/>
          <w:lang w:val="en-GB"/>
        </w:rPr>
        <w:t>°C, 60</w:t>
      </w:r>
      <w:r w:rsidR="00B174EC">
        <w:rPr>
          <w:b w:val="0"/>
          <w:bCs w:val="0"/>
          <w:lang w:val="en-GB"/>
        </w:rPr>
        <w:t xml:space="preserve"> </w:t>
      </w:r>
      <w:r w:rsidR="000C0348" w:rsidRPr="00402929">
        <w:rPr>
          <w:b w:val="0"/>
          <w:bCs w:val="0"/>
          <w:lang w:val="en-GB"/>
        </w:rPr>
        <w:t>°C, 80</w:t>
      </w:r>
      <w:r w:rsidR="00B174EC">
        <w:rPr>
          <w:b w:val="0"/>
          <w:bCs w:val="0"/>
          <w:lang w:val="en-GB"/>
        </w:rPr>
        <w:t xml:space="preserve"> </w:t>
      </w:r>
      <w:r w:rsidR="000C0348" w:rsidRPr="00402929">
        <w:rPr>
          <w:b w:val="0"/>
          <w:bCs w:val="0"/>
          <w:lang w:val="en-GB"/>
        </w:rPr>
        <w:t>°C and 100</w:t>
      </w:r>
      <w:r w:rsidR="00B174EC">
        <w:rPr>
          <w:b w:val="0"/>
          <w:bCs w:val="0"/>
          <w:lang w:val="en-GB"/>
        </w:rPr>
        <w:t xml:space="preserve"> </w:t>
      </w:r>
      <w:r w:rsidR="000C0348" w:rsidRPr="00402929">
        <w:rPr>
          <w:b w:val="0"/>
          <w:bCs w:val="0"/>
          <w:lang w:val="en-GB"/>
        </w:rPr>
        <w:t>°C. Line plots of the individual DAPI (green line) and FM 143 (red line) mean fluorescence measurements for these aforementioned treatments are shown</w:t>
      </w:r>
      <w:r w:rsidR="000C0348" w:rsidRPr="00402929">
        <w:rPr>
          <w:lang w:val="en-GB"/>
        </w:rPr>
        <w:t>.</w:t>
      </w:r>
    </w:p>
    <w:p w14:paraId="3447B078" w14:textId="0F82A680" w:rsidR="000C0348" w:rsidRPr="001D4502" w:rsidRDefault="000C0348" w:rsidP="000C0348">
      <w:pPr>
        <w:rPr>
          <w:b/>
          <w:bCs/>
          <w:szCs w:val="24"/>
        </w:rPr>
      </w:pPr>
      <w:r w:rsidRPr="00402929">
        <w:rPr>
          <w:b/>
          <w:bCs/>
          <w:szCs w:val="24"/>
        </w:rPr>
        <w:br w:type="page"/>
      </w:r>
      <w:r w:rsidR="00CC6AA3">
        <w:rPr>
          <w:b/>
          <w:bCs/>
          <w:noProof/>
          <w:szCs w:val="24"/>
        </w:rPr>
        <w:lastRenderedPageBreak/>
        <mc:AlternateContent>
          <mc:Choice Requires="wps">
            <w:drawing>
              <wp:anchor distT="0" distB="0" distL="114300" distR="114300" simplePos="0" relativeHeight="251663360" behindDoc="0" locked="0" layoutInCell="1" allowOverlap="1" wp14:anchorId="079DC8B7" wp14:editId="223A4136">
                <wp:simplePos x="0" y="0"/>
                <wp:positionH relativeFrom="column">
                  <wp:posOffset>4473102</wp:posOffset>
                </wp:positionH>
                <wp:positionV relativeFrom="paragraph">
                  <wp:posOffset>440825</wp:posOffset>
                </wp:positionV>
                <wp:extent cx="856034" cy="129702"/>
                <wp:effectExtent l="0" t="0" r="0" b="0"/>
                <wp:wrapNone/>
                <wp:docPr id="5" name="Rectangle 5"/>
                <wp:cNvGraphicFramePr/>
                <a:graphic xmlns:a="http://schemas.openxmlformats.org/drawingml/2006/main">
                  <a:graphicData uri="http://schemas.microsoft.com/office/word/2010/wordprocessingShape">
                    <wps:wsp>
                      <wps:cNvSpPr/>
                      <wps:spPr>
                        <a:xfrm>
                          <a:off x="0" y="0"/>
                          <a:ext cx="856034" cy="129702"/>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D9AE49D" id="Rectangle 5" o:spid="_x0000_s1026" style="position:absolute;margin-left:352.2pt;margin-top:34.7pt;width:67.4pt;height:10.2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" fillcolor="white [3212]" stroked="f" strokeweight="2pt"/>
            </w:pict>
          </mc:Fallback>
        </mc:AlternateContent>
      </w:r>
      <w:r w:rsidR="006D441D" w:rsidRPr="006D441D">
        <w:rPr>
          <w:b/>
          <w:bCs/>
          <w:noProof/>
          <w:szCs w:val="24"/>
        </w:rPr>
        <w:t xml:space="preserve"> </w:t>
      </w:r>
    </w:p>
    <w:p w14:paraId="6C96BED5" w14:textId="4E44CA6F" w:rsidR="00820484" w:rsidRPr="00402929" w:rsidRDefault="00820484" w:rsidP="00477182">
      <w:pPr>
        <w:pStyle w:val="SMcaption"/>
        <w:rPr>
          <w:b/>
          <w:szCs w:val="24"/>
        </w:rPr>
      </w:pPr>
      <w:r w:rsidRPr="00402929">
        <w:rPr>
          <w:b/>
          <w:szCs w:val="24"/>
        </w:rPr>
        <w:t>References</w:t>
      </w:r>
    </w:p>
    <w:p w14:paraId="59D77E69" w14:textId="7EA1072C" w:rsidR="002C667A" w:rsidRPr="00402929" w:rsidRDefault="002C667A" w:rsidP="00477182">
      <w:pPr>
        <w:pStyle w:val="SMcaption"/>
        <w:rPr>
          <w:b/>
          <w:szCs w:val="24"/>
        </w:rPr>
      </w:pPr>
    </w:p>
    <w:p w14:paraId="0120BF33" w14:textId="77777777" w:rsidR="008A519A" w:rsidRPr="008A519A" w:rsidRDefault="008F6A7F" w:rsidP="008A519A">
      <w:pPr>
        <w:pStyle w:val="EndNoteBibliography"/>
        <w:ind w:left="720" w:hanging="720"/>
        <w:rPr>
          <w:noProof/>
        </w:rPr>
      </w:pPr>
      <w:r w:rsidRPr="00402929">
        <w:rPr>
          <w:szCs w:val="24"/>
        </w:rPr>
        <w:fldChar w:fldCharType="begin"/>
      </w:r>
      <w:r w:rsidRPr="00402929">
        <w:rPr>
          <w:szCs w:val="24"/>
        </w:rPr>
        <w:instrText xml:space="preserve"> ADDIN EN.REFLIST </w:instrText>
      </w:r>
      <w:r w:rsidRPr="00402929">
        <w:rPr>
          <w:szCs w:val="24"/>
        </w:rPr>
        <w:fldChar w:fldCharType="separate"/>
      </w:r>
      <w:r w:rsidR="008A519A" w:rsidRPr="008A519A">
        <w:rPr>
          <w:noProof/>
        </w:rPr>
        <w:t>1.</w:t>
      </w:r>
      <w:r w:rsidR="008A519A" w:rsidRPr="008A519A">
        <w:rPr>
          <w:noProof/>
        </w:rPr>
        <w:tab/>
        <w:t xml:space="preserve">Marie D, Brussaard CPD, Thyrhaug R, Bratbak G, Vaulot D: </w:t>
      </w:r>
      <w:r w:rsidR="008A519A" w:rsidRPr="008A519A">
        <w:rPr>
          <w:b/>
          <w:noProof/>
        </w:rPr>
        <w:t>Enumeration of marine viruses in culture and natural samples by flow cytometry.</w:t>
      </w:r>
      <w:r w:rsidR="008A519A" w:rsidRPr="008A519A">
        <w:rPr>
          <w:noProof/>
        </w:rPr>
        <w:t xml:space="preserve"> </w:t>
      </w:r>
      <w:r w:rsidR="008A519A" w:rsidRPr="008A519A">
        <w:rPr>
          <w:i/>
          <w:noProof/>
        </w:rPr>
        <w:t xml:space="preserve">Appl Environ Microbiol </w:t>
      </w:r>
      <w:r w:rsidR="008A519A" w:rsidRPr="008A519A">
        <w:rPr>
          <w:noProof/>
        </w:rPr>
        <w:t xml:space="preserve">1999, </w:t>
      </w:r>
      <w:r w:rsidR="008A519A" w:rsidRPr="008A519A">
        <w:rPr>
          <w:b/>
          <w:noProof/>
        </w:rPr>
        <w:t>65:</w:t>
      </w:r>
      <w:r w:rsidR="008A519A" w:rsidRPr="008A519A">
        <w:rPr>
          <w:noProof/>
        </w:rPr>
        <w:t>45-52.</w:t>
      </w:r>
    </w:p>
    <w:p w14:paraId="4D8D5FD3" w14:textId="77777777" w:rsidR="008A519A" w:rsidRPr="008A519A" w:rsidRDefault="008A519A" w:rsidP="008A519A">
      <w:pPr>
        <w:pStyle w:val="EndNoteBibliography"/>
        <w:ind w:left="720" w:hanging="720"/>
        <w:rPr>
          <w:noProof/>
        </w:rPr>
      </w:pPr>
      <w:r w:rsidRPr="008A519A">
        <w:rPr>
          <w:noProof/>
        </w:rPr>
        <w:t>2.</w:t>
      </w:r>
      <w:r w:rsidRPr="008A519A">
        <w:rPr>
          <w:noProof/>
        </w:rPr>
        <w:tab/>
        <w:t xml:space="preserve">Martínez JM, Schroeder DC, Larsen A, Bratbak G, Wilson WH: </w:t>
      </w:r>
      <w:r w:rsidRPr="008A519A">
        <w:rPr>
          <w:b/>
          <w:noProof/>
        </w:rPr>
        <w:t xml:space="preserve">Molecular dynamics of </w:t>
      </w:r>
      <w:r w:rsidRPr="008A519A">
        <w:rPr>
          <w:b/>
          <w:i/>
          <w:noProof/>
        </w:rPr>
        <w:t>Emiliania huxleyi</w:t>
      </w:r>
      <w:r w:rsidRPr="008A519A">
        <w:rPr>
          <w:b/>
          <w:noProof/>
        </w:rPr>
        <w:t xml:space="preserve"> and cooccurring viruses during two separate mesocosm studies.</w:t>
      </w:r>
      <w:r w:rsidRPr="008A519A">
        <w:rPr>
          <w:noProof/>
        </w:rPr>
        <w:t xml:space="preserve"> </w:t>
      </w:r>
      <w:r w:rsidRPr="008A519A">
        <w:rPr>
          <w:i/>
          <w:noProof/>
        </w:rPr>
        <w:t xml:space="preserve">Applied and Environmental Microbiology </w:t>
      </w:r>
      <w:r w:rsidRPr="008A519A">
        <w:rPr>
          <w:noProof/>
        </w:rPr>
        <w:t xml:space="preserve">2007, </w:t>
      </w:r>
      <w:r w:rsidRPr="008A519A">
        <w:rPr>
          <w:b/>
          <w:noProof/>
        </w:rPr>
        <w:t>73:</w:t>
      </w:r>
      <w:r w:rsidRPr="008A519A">
        <w:rPr>
          <w:noProof/>
        </w:rPr>
        <w:t>554-562.</w:t>
      </w:r>
    </w:p>
    <w:p w14:paraId="335182FA" w14:textId="77777777" w:rsidR="008A519A" w:rsidRPr="008A519A" w:rsidRDefault="008A519A" w:rsidP="008A519A">
      <w:pPr>
        <w:pStyle w:val="EndNoteBibliography"/>
        <w:ind w:left="720" w:hanging="720"/>
        <w:rPr>
          <w:noProof/>
        </w:rPr>
      </w:pPr>
      <w:r w:rsidRPr="008A519A">
        <w:rPr>
          <w:noProof/>
        </w:rPr>
        <w:t>3.</w:t>
      </w:r>
      <w:r w:rsidRPr="008A519A">
        <w:rPr>
          <w:noProof/>
        </w:rPr>
        <w:tab/>
        <w:t xml:space="preserve">Lei C, Yang J, Hu J, Sun X: </w:t>
      </w:r>
      <w:r w:rsidRPr="008A519A">
        <w:rPr>
          <w:b/>
          <w:noProof/>
        </w:rPr>
        <w:t>On the Calculation of TCID(50) for Quantitation of Virus Infectivity.</w:t>
      </w:r>
      <w:r w:rsidRPr="008A519A">
        <w:rPr>
          <w:noProof/>
        </w:rPr>
        <w:t xml:space="preserve"> </w:t>
      </w:r>
      <w:r w:rsidRPr="008A519A">
        <w:rPr>
          <w:i/>
          <w:noProof/>
        </w:rPr>
        <w:t xml:space="preserve">Virologica Sinica </w:t>
      </w:r>
      <w:r w:rsidRPr="008A519A">
        <w:rPr>
          <w:noProof/>
        </w:rPr>
        <w:t xml:space="preserve">2021, </w:t>
      </w:r>
      <w:r w:rsidRPr="008A519A">
        <w:rPr>
          <w:b/>
          <w:noProof/>
        </w:rPr>
        <w:t>36:</w:t>
      </w:r>
      <w:r w:rsidRPr="008A519A">
        <w:rPr>
          <w:noProof/>
        </w:rPr>
        <w:t>141-144.</w:t>
      </w:r>
    </w:p>
    <w:p w14:paraId="10C22F57" w14:textId="389E7DEB" w:rsidR="007843C9" w:rsidRPr="00402929" w:rsidRDefault="008F6A7F" w:rsidP="008F6A7F">
      <w:pPr>
        <w:pStyle w:val="NormalWeb"/>
        <w:shd w:val="clear" w:color="auto" w:fill="FFFFFF"/>
        <w:textAlignment w:val="baseline"/>
      </w:pPr>
      <w:r w:rsidRPr="00402929">
        <w:fldChar w:fldCharType="end"/>
      </w:r>
    </w:p>
    <w:sectPr w:rsidR="007843C9" w:rsidRPr="00402929" w:rsidSect="00F125EE">
      <w:headerReference w:type="default" r:id="rId13"/>
      <w:footerReference w:type="default" r:id="rId14"/>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E4C71A" w14:textId="77777777" w:rsidR="00CA4FFF" w:rsidRDefault="00CA4FFF">
      <w:r>
        <w:separator/>
      </w:r>
    </w:p>
  </w:endnote>
  <w:endnote w:type="continuationSeparator" w:id="0">
    <w:p w14:paraId="4268F755" w14:textId="77777777" w:rsidR="00CA4FFF" w:rsidRDefault="00CA4F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96907" w14:textId="24753BF8" w:rsidR="00F125EE" w:rsidRDefault="00114193">
    <w:pPr>
      <w:pStyle w:val="Footer"/>
      <w:jc w:val="right"/>
    </w:pPr>
    <w:r>
      <w:fldChar w:fldCharType="begin"/>
    </w:r>
    <w:r>
      <w:instrText xml:space="preserve"> PAGE   \* MERGEFORMAT </w:instrText>
    </w:r>
    <w:r>
      <w:fldChar w:fldCharType="separate"/>
    </w:r>
    <w:r w:rsidR="00B174EC">
      <w:rPr>
        <w:noProof/>
      </w:rPr>
      <w:t>3</w:t>
    </w:r>
    <w:r>
      <w:fldChar w:fldCharType="end"/>
    </w:r>
  </w:p>
  <w:p w14:paraId="180EEFF6"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865CC4" w14:textId="77777777" w:rsidR="00CA4FFF" w:rsidRDefault="00CA4FFF">
      <w:r>
        <w:separator/>
      </w:r>
    </w:p>
  </w:footnote>
  <w:footnote w:type="continuationSeparator" w:id="0">
    <w:p w14:paraId="4E2EC0B9" w14:textId="77777777" w:rsidR="00CA4FFF" w:rsidRDefault="00CA4F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91C365" w14:textId="3DEDF536" w:rsidR="003A2FD8" w:rsidRDefault="008D69E5" w:rsidP="008D69E5">
    <w:pPr>
      <w:pStyle w:val="Header"/>
    </w:pPr>
    <w:r w:rsidRPr="007E3148">
      <w:ptab w:relativeTo="margin" w:alignment="center" w:leader="none"/>
    </w:r>
    <w:r>
      <w:t xml:space="preserve">.                                                               </w:t>
    </w:r>
    <w:r>
      <w:rPr>
        <w:bCs/>
        <w:lang w:val="en-GB"/>
      </w:rPr>
      <w:t>T</w:t>
    </w:r>
    <w:r w:rsidRPr="00D27A68">
      <w:rPr>
        <w:bCs/>
        <w:lang w:val="en-GB"/>
      </w:rPr>
      <w:t>hermal stab</w:t>
    </w:r>
    <w:r>
      <w:rPr>
        <w:bCs/>
        <w:lang w:val="en-GB"/>
      </w:rPr>
      <w:t>i</w:t>
    </w:r>
    <w:r w:rsidRPr="00D27A68">
      <w:rPr>
        <w:bCs/>
        <w:lang w:val="en-GB"/>
      </w:rPr>
      <w:t>l</w:t>
    </w:r>
    <w:r>
      <w:rPr>
        <w:bCs/>
        <w:lang w:val="en-GB"/>
      </w:rPr>
      <w:t>ity</w:t>
    </w:r>
    <w:r w:rsidRPr="00D27A68">
      <w:rPr>
        <w:bCs/>
        <w:lang w:val="en-GB"/>
      </w:rPr>
      <w:t xml:space="preserve"> </w:t>
    </w:r>
    <w:r>
      <w:rPr>
        <w:bCs/>
        <w:lang w:val="en-GB"/>
      </w:rPr>
      <w:t xml:space="preserve">of two </w:t>
    </w:r>
    <w:r>
      <w:rPr>
        <w:rFonts w:eastAsia="Cambria"/>
        <w:bCs/>
      </w:rPr>
      <w:t>enveloped NCLDVs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F8D4926"/>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25888664">
    <w:abstractNumId w:val="9"/>
  </w:num>
  <w:num w:numId="2" w16cid:durableId="260452609">
    <w:abstractNumId w:val="7"/>
  </w:num>
  <w:num w:numId="3" w16cid:durableId="58134163">
    <w:abstractNumId w:val="6"/>
  </w:num>
  <w:num w:numId="4" w16cid:durableId="1572348785">
    <w:abstractNumId w:val="5"/>
  </w:num>
  <w:num w:numId="5" w16cid:durableId="1848786946">
    <w:abstractNumId w:val="4"/>
  </w:num>
  <w:num w:numId="6" w16cid:durableId="48379126">
    <w:abstractNumId w:val="8"/>
  </w:num>
  <w:num w:numId="7" w16cid:durableId="655190080">
    <w:abstractNumId w:val="3"/>
  </w:num>
  <w:num w:numId="8" w16cid:durableId="1951156323">
    <w:abstractNumId w:val="2"/>
  </w:num>
  <w:num w:numId="9" w16cid:durableId="405953973">
    <w:abstractNumId w:val="1"/>
  </w:num>
  <w:num w:numId="10" w16cid:durableId="1117528890">
    <w:abstractNumId w:val="0"/>
  </w:num>
  <w:num w:numId="11" w16cid:durableId="633175432">
    <w:abstractNumId w:val="10"/>
  </w:num>
  <w:num w:numId="12" w16cid:durableId="1192720502">
    <w:abstractNumId w:val="12"/>
  </w:num>
  <w:num w:numId="13" w16cid:durableId="264535025">
    <w:abstractNumId w:val="13"/>
  </w:num>
  <w:num w:numId="14" w16cid:durableId="132115769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irology J&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eezareds00zviezrd4xaz5tfvrvtwz2wzve&quot;&gt;My EndNote Library&lt;record-ids&gt;&lt;item&gt;212&lt;/item&gt;&lt;item&gt;213&lt;/item&gt;&lt;item&gt;284&lt;/item&gt;&lt;/record-ids&gt;&lt;/item&gt;&lt;/Libraries&gt;"/>
  </w:docVars>
  <w:rsids>
    <w:rsidRoot w:val="002C030F"/>
    <w:rsid w:val="000004B2"/>
    <w:rsid w:val="00015F74"/>
    <w:rsid w:val="00017C53"/>
    <w:rsid w:val="000278D2"/>
    <w:rsid w:val="00030840"/>
    <w:rsid w:val="00065EBD"/>
    <w:rsid w:val="00083B44"/>
    <w:rsid w:val="000850DC"/>
    <w:rsid w:val="000A41E4"/>
    <w:rsid w:val="000C0348"/>
    <w:rsid w:val="000C2771"/>
    <w:rsid w:val="000C4F12"/>
    <w:rsid w:val="000E0B6D"/>
    <w:rsid w:val="000E54FD"/>
    <w:rsid w:val="000F0DCE"/>
    <w:rsid w:val="00112C5B"/>
    <w:rsid w:val="00114193"/>
    <w:rsid w:val="00115594"/>
    <w:rsid w:val="00115A38"/>
    <w:rsid w:val="0011687B"/>
    <w:rsid w:val="00124F82"/>
    <w:rsid w:val="0016337A"/>
    <w:rsid w:val="00164269"/>
    <w:rsid w:val="001A1BDE"/>
    <w:rsid w:val="001C0520"/>
    <w:rsid w:val="001C0975"/>
    <w:rsid w:val="001D4502"/>
    <w:rsid w:val="001F0876"/>
    <w:rsid w:val="001F167C"/>
    <w:rsid w:val="001F5E91"/>
    <w:rsid w:val="002077B9"/>
    <w:rsid w:val="002233ED"/>
    <w:rsid w:val="00240956"/>
    <w:rsid w:val="00262D72"/>
    <w:rsid w:val="00294FBB"/>
    <w:rsid w:val="002A7922"/>
    <w:rsid w:val="002C030F"/>
    <w:rsid w:val="002C667A"/>
    <w:rsid w:val="002F381F"/>
    <w:rsid w:val="00325D90"/>
    <w:rsid w:val="00331D75"/>
    <w:rsid w:val="00332BFB"/>
    <w:rsid w:val="00355362"/>
    <w:rsid w:val="00363E44"/>
    <w:rsid w:val="00387114"/>
    <w:rsid w:val="00395E86"/>
    <w:rsid w:val="00397983"/>
    <w:rsid w:val="003A2FD8"/>
    <w:rsid w:val="003B40E6"/>
    <w:rsid w:val="003B6F25"/>
    <w:rsid w:val="003F6E14"/>
    <w:rsid w:val="00402929"/>
    <w:rsid w:val="00405336"/>
    <w:rsid w:val="00415098"/>
    <w:rsid w:val="00433ADE"/>
    <w:rsid w:val="004571D5"/>
    <w:rsid w:val="00461D81"/>
    <w:rsid w:val="0046356B"/>
    <w:rsid w:val="00477182"/>
    <w:rsid w:val="004779CB"/>
    <w:rsid w:val="004A159F"/>
    <w:rsid w:val="004B2F21"/>
    <w:rsid w:val="004E42D8"/>
    <w:rsid w:val="004E7BA2"/>
    <w:rsid w:val="004F7EDF"/>
    <w:rsid w:val="005001AC"/>
    <w:rsid w:val="00527D71"/>
    <w:rsid w:val="00534276"/>
    <w:rsid w:val="005346ED"/>
    <w:rsid w:val="0053536E"/>
    <w:rsid w:val="005607DD"/>
    <w:rsid w:val="00594BD1"/>
    <w:rsid w:val="005A558C"/>
    <w:rsid w:val="005C4CC4"/>
    <w:rsid w:val="005D088E"/>
    <w:rsid w:val="005E28F8"/>
    <w:rsid w:val="005E6513"/>
    <w:rsid w:val="00602A6E"/>
    <w:rsid w:val="006069C6"/>
    <w:rsid w:val="00611A19"/>
    <w:rsid w:val="006140DF"/>
    <w:rsid w:val="0062614A"/>
    <w:rsid w:val="00651114"/>
    <w:rsid w:val="0065772A"/>
    <w:rsid w:val="00670299"/>
    <w:rsid w:val="00691985"/>
    <w:rsid w:val="006A1B64"/>
    <w:rsid w:val="006D169A"/>
    <w:rsid w:val="006D441D"/>
    <w:rsid w:val="006E3E68"/>
    <w:rsid w:val="007108F5"/>
    <w:rsid w:val="00713E5B"/>
    <w:rsid w:val="007402FC"/>
    <w:rsid w:val="007411A1"/>
    <w:rsid w:val="00763345"/>
    <w:rsid w:val="007843C9"/>
    <w:rsid w:val="00785517"/>
    <w:rsid w:val="00797F24"/>
    <w:rsid w:val="007B5946"/>
    <w:rsid w:val="007C317D"/>
    <w:rsid w:val="007F38D1"/>
    <w:rsid w:val="007F5297"/>
    <w:rsid w:val="00807D35"/>
    <w:rsid w:val="00820484"/>
    <w:rsid w:val="00823C34"/>
    <w:rsid w:val="00824DF3"/>
    <w:rsid w:val="00840BB2"/>
    <w:rsid w:val="00845EDD"/>
    <w:rsid w:val="00885C9B"/>
    <w:rsid w:val="008A519A"/>
    <w:rsid w:val="008B214F"/>
    <w:rsid w:val="008C069B"/>
    <w:rsid w:val="008D5D2A"/>
    <w:rsid w:val="008D69E5"/>
    <w:rsid w:val="008F6A7F"/>
    <w:rsid w:val="00914B63"/>
    <w:rsid w:val="009258B8"/>
    <w:rsid w:val="009354F3"/>
    <w:rsid w:val="00943C3C"/>
    <w:rsid w:val="009447DC"/>
    <w:rsid w:val="009519CF"/>
    <w:rsid w:val="00961BA5"/>
    <w:rsid w:val="00963971"/>
    <w:rsid w:val="009743A9"/>
    <w:rsid w:val="009A5287"/>
    <w:rsid w:val="009A670E"/>
    <w:rsid w:val="009B2AC5"/>
    <w:rsid w:val="009B7984"/>
    <w:rsid w:val="009F4BED"/>
    <w:rsid w:val="009F7D93"/>
    <w:rsid w:val="00A2658F"/>
    <w:rsid w:val="00A3403B"/>
    <w:rsid w:val="00A51A12"/>
    <w:rsid w:val="00A627D4"/>
    <w:rsid w:val="00A72B81"/>
    <w:rsid w:val="00A74DA2"/>
    <w:rsid w:val="00AA63F1"/>
    <w:rsid w:val="00AB1446"/>
    <w:rsid w:val="00AC15B4"/>
    <w:rsid w:val="00AC15E9"/>
    <w:rsid w:val="00AD499C"/>
    <w:rsid w:val="00AE5A70"/>
    <w:rsid w:val="00B003EE"/>
    <w:rsid w:val="00B15008"/>
    <w:rsid w:val="00B16F99"/>
    <w:rsid w:val="00B174EC"/>
    <w:rsid w:val="00B33E47"/>
    <w:rsid w:val="00B36869"/>
    <w:rsid w:val="00B42F9C"/>
    <w:rsid w:val="00B43B31"/>
    <w:rsid w:val="00B47CFA"/>
    <w:rsid w:val="00B57F00"/>
    <w:rsid w:val="00B77B2A"/>
    <w:rsid w:val="00B82C22"/>
    <w:rsid w:val="00B8723B"/>
    <w:rsid w:val="00B93DBA"/>
    <w:rsid w:val="00B9440A"/>
    <w:rsid w:val="00BB2D2A"/>
    <w:rsid w:val="00BD58CF"/>
    <w:rsid w:val="00C046DC"/>
    <w:rsid w:val="00C04CC1"/>
    <w:rsid w:val="00C47714"/>
    <w:rsid w:val="00C50C6D"/>
    <w:rsid w:val="00C600D9"/>
    <w:rsid w:val="00C761B3"/>
    <w:rsid w:val="00CA4FFF"/>
    <w:rsid w:val="00CC1384"/>
    <w:rsid w:val="00CC6AA3"/>
    <w:rsid w:val="00CD3720"/>
    <w:rsid w:val="00CF16C9"/>
    <w:rsid w:val="00CF1848"/>
    <w:rsid w:val="00CF5C2F"/>
    <w:rsid w:val="00D04BCF"/>
    <w:rsid w:val="00D04DBD"/>
    <w:rsid w:val="00D143D9"/>
    <w:rsid w:val="00D269AB"/>
    <w:rsid w:val="00D346C2"/>
    <w:rsid w:val="00D70BA5"/>
    <w:rsid w:val="00DA22DA"/>
    <w:rsid w:val="00DA59EA"/>
    <w:rsid w:val="00DC623A"/>
    <w:rsid w:val="00DD421A"/>
    <w:rsid w:val="00E24C9A"/>
    <w:rsid w:val="00E257C8"/>
    <w:rsid w:val="00E37047"/>
    <w:rsid w:val="00E60D0F"/>
    <w:rsid w:val="00E73B69"/>
    <w:rsid w:val="00E9773B"/>
    <w:rsid w:val="00EA596B"/>
    <w:rsid w:val="00EC13A3"/>
    <w:rsid w:val="00EC7C85"/>
    <w:rsid w:val="00F04CD9"/>
    <w:rsid w:val="00F125EE"/>
    <w:rsid w:val="00F12E98"/>
    <w:rsid w:val="00F22029"/>
    <w:rsid w:val="00F25DEF"/>
    <w:rsid w:val="00F33D98"/>
    <w:rsid w:val="00F514EC"/>
    <w:rsid w:val="00F60CD4"/>
    <w:rsid w:val="00F630EA"/>
    <w:rsid w:val="00F66B2F"/>
    <w:rsid w:val="00F7007E"/>
    <w:rsid w:val="00F70200"/>
    <w:rsid w:val="00F73193"/>
    <w:rsid w:val="00F74F95"/>
    <w:rsid w:val="00F80705"/>
    <w:rsid w:val="00FA1481"/>
    <w:rsid w:val="00FF04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7D1EA8"/>
  <w15:docId w15:val="{44D555E4-DB32-4E4E-914C-3E579D6D7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basedOn w:val="DefaultParagraphFont"/>
    <w:link w:val="Heading1"/>
    <w:semiHidden/>
    <w:rsid w:val="00FF04E3"/>
    <w:rPr>
      <w:b/>
      <w:bCs/>
      <w:kern w:val="32"/>
      <w:sz w:val="24"/>
      <w:szCs w:val="24"/>
    </w:rPr>
  </w:style>
  <w:style w:type="character" w:customStyle="1" w:styleId="Heading2Char">
    <w:name w:val="Heading 2 Char"/>
    <w:basedOn w:val="DefaultParagraphFont"/>
    <w:link w:val="Heading2"/>
    <w:semiHidden/>
    <w:rsid w:val="00FF04E3"/>
    <w:rPr>
      <w:rFonts w:ascii="Cambria" w:hAnsi="Cambria"/>
      <w:b/>
      <w:bCs/>
      <w:i/>
      <w:iCs/>
      <w:sz w:val="28"/>
      <w:szCs w:val="28"/>
    </w:rPr>
  </w:style>
  <w:style w:type="character" w:customStyle="1" w:styleId="Heading5Char">
    <w:name w:val="Heading 5 Char"/>
    <w:basedOn w:val="DefaultParagraphFont"/>
    <w:link w:val="Heading5"/>
    <w:semiHidden/>
    <w:rsid w:val="00FF04E3"/>
    <w:rPr>
      <w:rFonts w:ascii="Calibri" w:hAnsi="Calibri"/>
      <w:b/>
      <w:bCs/>
      <w:i/>
      <w:iCs/>
      <w:sz w:val="26"/>
      <w:szCs w:val="26"/>
    </w:rPr>
  </w:style>
  <w:style w:type="character" w:customStyle="1" w:styleId="Heading6Char">
    <w:name w:val="Heading 6 Char"/>
    <w:basedOn w:val="DefaultParagraphFont"/>
    <w:link w:val="Heading6"/>
    <w:semiHidden/>
    <w:rsid w:val="00FF04E3"/>
    <w:rPr>
      <w:rFonts w:ascii="Calibri" w:hAnsi="Calibri"/>
      <w:b/>
      <w:bCs/>
      <w:sz w:val="22"/>
      <w:szCs w:val="22"/>
    </w:rPr>
  </w:style>
  <w:style w:type="character" w:customStyle="1" w:styleId="Heading7Char">
    <w:name w:val="Heading 7 Char"/>
    <w:basedOn w:val="DefaultParagraphFont"/>
    <w:link w:val="Heading7"/>
    <w:semiHidden/>
    <w:rsid w:val="00FF04E3"/>
    <w:rPr>
      <w:rFonts w:ascii="Calibri" w:hAnsi="Calibri"/>
      <w:sz w:val="24"/>
      <w:szCs w:val="24"/>
    </w:rPr>
  </w:style>
  <w:style w:type="character" w:customStyle="1" w:styleId="Heading8Char">
    <w:name w:val="Heading 8 Char"/>
    <w:basedOn w:val="DefaultParagraphFont"/>
    <w:link w:val="Heading8"/>
    <w:semiHidden/>
    <w:rsid w:val="00FF04E3"/>
    <w:rPr>
      <w:rFonts w:ascii="Calibri" w:hAnsi="Calibri"/>
      <w:i/>
      <w:iCs/>
      <w:sz w:val="24"/>
      <w:szCs w:val="24"/>
    </w:rPr>
  </w:style>
  <w:style w:type="character" w:customStyle="1" w:styleId="Heading9Char">
    <w:name w:val="Heading 9 Char"/>
    <w:basedOn w:val="DefaultParagraphFont"/>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link w:val="SMTextChar"/>
    <w:qFormat/>
    <w:rsid w:val="00B9440A"/>
    <w:pPr>
      <w:ind w:firstLine="480"/>
    </w:pPr>
  </w:style>
  <w:style w:type="paragraph" w:customStyle="1" w:styleId="SMcaption">
    <w:name w:val="SM caption"/>
    <w:basedOn w:val="SMText"/>
    <w:link w:val="SMcaptionChar"/>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basedOn w:val="DefaultParagraphFont"/>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basedOn w:val="DefaultParagraphFont"/>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basedOn w:val="DefaultParagraphFont"/>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basedOn w:val="DefaultParagraphFont"/>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basedOn w:val="BodyText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basedOn w:val="DefaultParagraphFont"/>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basedOn w:val="BodyTextIndent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basedOn w:val="DefaultParagraphFont"/>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basedOn w:val="DefaultParagraphFont"/>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basedOn w:val="DefaultParagraphFont"/>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basedOn w:val="CommentText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basedOn w:val="DefaultParagraphFont"/>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basedOn w:val="DefaultParagraphFont"/>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basedOn w:val="DefaultParagraphFont"/>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basedOn w:val="DefaultParagraphFont"/>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uiPriority w:val="99"/>
    <w:rsid w:val="00405336"/>
    <w:pPr>
      <w:tabs>
        <w:tab w:val="center" w:pos="4680"/>
        <w:tab w:val="right" w:pos="9360"/>
      </w:tabs>
    </w:pPr>
  </w:style>
  <w:style w:type="character" w:customStyle="1" w:styleId="HeaderChar">
    <w:name w:val="Header Char"/>
    <w:basedOn w:val="DefaultParagraphFont"/>
    <w:link w:val="Header"/>
    <w:uiPriority w:val="99"/>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basedOn w:val="DefaultParagraphFont"/>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basedOn w:val="DefaultParagraphFont"/>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basedOn w:val="DefaultParagraphFont"/>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basedOn w:val="DefaultParagraphFont"/>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uiPriority w:val="99"/>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basedOn w:val="DefaultParagraphFont"/>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basedOn w:val="DefaultParagraphFont"/>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basedOn w:val="DefaultParagraphFont"/>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basedOn w:val="DefaultParagraphFont"/>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basedOn w:val="DefaultParagraphFont"/>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basedOn w:val="DefaultParagraphFont"/>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basedOn w:val="DefaultParagraphFont"/>
    <w:semiHidden/>
    <w:rsid w:val="007402FC"/>
    <w:rPr>
      <w:color w:val="0000FF"/>
      <w:u w:val="single"/>
    </w:rPr>
  </w:style>
  <w:style w:type="character" w:styleId="Emphasis">
    <w:name w:val="Emphasis"/>
    <w:basedOn w:val="DefaultParagraphFont"/>
    <w:uiPriority w:val="20"/>
    <w:qFormat/>
    <w:rsid w:val="00B42F9C"/>
    <w:rPr>
      <w:i/>
      <w:iCs/>
    </w:rPr>
  </w:style>
  <w:style w:type="character" w:styleId="CommentReference">
    <w:name w:val="annotation reference"/>
    <w:basedOn w:val="DefaultParagraphFont"/>
    <w:semiHidden/>
    <w:rsid w:val="009258B8"/>
    <w:rPr>
      <w:sz w:val="16"/>
      <w:szCs w:val="16"/>
    </w:rPr>
  </w:style>
  <w:style w:type="character" w:styleId="FollowedHyperlink">
    <w:name w:val="FollowedHyperlink"/>
    <w:basedOn w:val="DefaultParagraphFont"/>
    <w:semiHidden/>
    <w:unhideWhenUsed/>
    <w:rsid w:val="00611A19"/>
    <w:rPr>
      <w:color w:val="800080" w:themeColor="followedHyperlink"/>
      <w:u w:val="single"/>
    </w:rPr>
  </w:style>
  <w:style w:type="paragraph" w:customStyle="1" w:styleId="EndNoteBibliographyTitle">
    <w:name w:val="EndNote Bibliography Title"/>
    <w:basedOn w:val="Normal"/>
    <w:link w:val="EndNoteBibliographyTitleChar"/>
    <w:rsid w:val="008F6A7F"/>
    <w:pPr>
      <w:jc w:val="center"/>
    </w:pPr>
  </w:style>
  <w:style w:type="character" w:customStyle="1" w:styleId="SMTextChar">
    <w:name w:val="SM Text Char"/>
    <w:basedOn w:val="DefaultParagraphFont"/>
    <w:link w:val="SMText"/>
    <w:rsid w:val="008F6A7F"/>
    <w:rPr>
      <w:sz w:val="24"/>
    </w:rPr>
  </w:style>
  <w:style w:type="character" w:customStyle="1" w:styleId="SMcaptionChar">
    <w:name w:val="SM caption Char"/>
    <w:basedOn w:val="SMTextChar"/>
    <w:link w:val="SMcaption"/>
    <w:rsid w:val="008F6A7F"/>
    <w:rPr>
      <w:sz w:val="24"/>
    </w:rPr>
  </w:style>
  <w:style w:type="character" w:customStyle="1" w:styleId="EndNoteBibliographyTitleChar">
    <w:name w:val="EndNote Bibliography Title Char"/>
    <w:basedOn w:val="SMcaptionChar"/>
    <w:link w:val="EndNoteBibliographyTitle"/>
    <w:rsid w:val="008F6A7F"/>
    <w:rPr>
      <w:sz w:val="24"/>
    </w:rPr>
  </w:style>
  <w:style w:type="paragraph" w:customStyle="1" w:styleId="EndNoteBibliography">
    <w:name w:val="EndNote Bibliography"/>
    <w:basedOn w:val="Normal"/>
    <w:link w:val="EndNoteBibliographyChar"/>
    <w:rsid w:val="008F6A7F"/>
  </w:style>
  <w:style w:type="character" w:customStyle="1" w:styleId="EndNoteBibliographyChar">
    <w:name w:val="EndNote Bibliography Char"/>
    <w:basedOn w:val="SMcaptionChar"/>
    <w:link w:val="EndNoteBibliography"/>
    <w:rsid w:val="008F6A7F"/>
    <w:rPr>
      <w:sz w:val="24"/>
    </w:rPr>
  </w:style>
  <w:style w:type="paragraph" w:styleId="Revision">
    <w:name w:val="Revision"/>
    <w:hidden/>
    <w:uiPriority w:val="99"/>
    <w:semiHidden/>
    <w:rsid w:val="003B6F25"/>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3178651">
      <w:bodyDiv w:val="1"/>
      <w:marLeft w:val="0"/>
      <w:marRight w:val="0"/>
      <w:marTop w:val="0"/>
      <w:marBottom w:val="0"/>
      <w:divBdr>
        <w:top w:val="none" w:sz="0" w:space="0" w:color="auto"/>
        <w:left w:val="none" w:sz="0" w:space="0" w:color="auto"/>
        <w:bottom w:val="none" w:sz="0" w:space="0" w:color="auto"/>
        <w:right w:val="none" w:sz="0" w:space="0" w:color="auto"/>
      </w:divBdr>
    </w:div>
    <w:div w:id="1469545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2319E-85AC-4CAA-9A26-2E9811C5A6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1204</Words>
  <Characters>6869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8057</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Suppressed entry</cp:lastModifiedBy>
  <cp:revision>2</cp:revision>
  <cp:lastPrinted>2022-11-30T01:41:00Z</cp:lastPrinted>
  <dcterms:created xsi:type="dcterms:W3CDTF">2023-01-23T23:42:00Z</dcterms:created>
  <dcterms:modified xsi:type="dcterms:W3CDTF">2023-01-23T23:42:00Z</dcterms:modified>
</cp:coreProperties>
</file>