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077C2" w14:textId="6FADA403" w:rsidR="00634AFA" w:rsidRDefault="00634AFA" w:rsidP="00634AFA">
      <w:pPr>
        <w:pStyle w:val="Heading1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Supplementary data</w:t>
      </w:r>
    </w:p>
    <w:tbl>
      <w:tblPr>
        <w:tblStyle w:val="TableGrid"/>
        <w:tblW w:w="9134" w:type="dxa"/>
        <w:tblLook w:val="04A0" w:firstRow="1" w:lastRow="0" w:firstColumn="1" w:lastColumn="0" w:noHBand="0" w:noVBand="1"/>
      </w:tblPr>
      <w:tblGrid>
        <w:gridCol w:w="4046"/>
        <w:gridCol w:w="1619"/>
        <w:gridCol w:w="1334"/>
        <w:gridCol w:w="2135"/>
      </w:tblGrid>
      <w:tr w:rsidR="00C208D3" w:rsidRPr="00DC7520" w14:paraId="7F4ED9B5" w14:textId="77777777" w:rsidTr="00F5442C">
        <w:tc>
          <w:tcPr>
            <w:tcW w:w="4046" w:type="dxa"/>
          </w:tcPr>
          <w:p w14:paraId="7F6B9C7A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 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Structural model</w:t>
            </w:r>
          </w:p>
        </w:tc>
        <w:tc>
          <w:tcPr>
            <w:tcW w:w="1619" w:type="dxa"/>
          </w:tcPr>
          <w:p w14:paraId="5E5EFF76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Estimate</w:t>
            </w:r>
          </w:p>
        </w:tc>
        <w:tc>
          <w:tcPr>
            <w:tcW w:w="1334" w:type="dxa"/>
          </w:tcPr>
          <w:p w14:paraId="7D7B378B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CV%</w:t>
            </w:r>
          </w:p>
        </w:tc>
        <w:tc>
          <w:tcPr>
            <w:tcW w:w="2135" w:type="dxa"/>
          </w:tcPr>
          <w:p w14:paraId="7B0EBBF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Shrinkage%</w:t>
            </w:r>
          </w:p>
        </w:tc>
      </w:tr>
      <w:tr w:rsidR="00C208D3" w:rsidRPr="00DC7520" w14:paraId="3B715000" w14:textId="77777777" w:rsidTr="00F5442C">
        <w:trPr>
          <w:trHeight w:val="498"/>
        </w:trPr>
        <w:tc>
          <w:tcPr>
            <w:tcW w:w="4046" w:type="dxa"/>
          </w:tcPr>
          <w:p w14:paraId="0F02FE40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Cl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 w:eastAsia="nl-NL"/>
              </w:rPr>
              <w:t>15.3kg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 (L/h)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  <w:t>a</w:t>
            </w:r>
          </w:p>
          <w:p w14:paraId="00E09CB8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V1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 w:eastAsia="nl-NL"/>
              </w:rPr>
              <w:t>15.3kg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 (L)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  <w:t>b</w:t>
            </w:r>
          </w:p>
          <w:p w14:paraId="43E8EC8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V2 expressed as factor (times V1)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  <w:t>b</w:t>
            </w:r>
          </w:p>
          <w:p w14:paraId="59C7AF6B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Q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 w:eastAsia="nl-NL"/>
              </w:rPr>
              <w:t>15.3kg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(L/h)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  <w:t>c</w:t>
            </w:r>
          </w:p>
          <w:p w14:paraId="5CA18B23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 w:eastAsia="nl-NL"/>
              </w:rPr>
            </w:pPr>
          </w:p>
          <w:p w14:paraId="3C63B3C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L1 in: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  <w:lang w:val="en-US" w:eastAsia="nl-NL"/>
                </w:rPr>
                <m:t>Cl=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  <w:lang w:val="en-US" w:eastAsia="nl-NL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CL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15.3kg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  <w:lang w:val="en-US" w:eastAsia="nl-NL"/>
                </w:rPr>
                <m:t>x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  <w:lang w:val="en-US" w:eastAsia="nl-NL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  <w:lang w:val="en-US" w:eastAsia="nl-NL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BW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15.3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L1x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  <w:lang w:val="en-US" w:eastAsia="nl-NL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BW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M</m:t>
                      </m:r>
                    </m:sup>
                  </m:sSup>
                </m:sup>
              </m:sSup>
            </m:oMath>
          </w:p>
          <w:p w14:paraId="57F5A380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</w:p>
          <w:p w14:paraId="058E5226" w14:textId="77777777" w:rsidR="00C208D3" w:rsidRPr="00DC7520" w:rsidRDefault="00C208D3" w:rsidP="00F5442C">
            <w:pPr>
              <w:pStyle w:val="NoSpacing"/>
              <w:rPr>
                <w:rFonts w:ascii="Times New Roman" w:eastAsiaTheme="minorEastAsia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M in: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  <w:lang w:val="en-US" w:eastAsia="nl-NL"/>
                </w:rPr>
                <m:t>Cl=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  <w:lang w:val="en-US" w:eastAsia="nl-NL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CL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15.3kg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  <w:lang w:val="en-US" w:eastAsia="nl-NL"/>
                </w:rPr>
                <m:t>x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  <w:lang w:val="en-US" w:eastAsia="nl-NL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  <w:lang w:val="en-US" w:eastAsia="nl-NL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BW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15.3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L1x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  <w:lang w:val="en-US" w:eastAsia="nl-NL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BW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M</m:t>
                      </m:r>
                    </m:sup>
                  </m:sSup>
                </m:sup>
              </m:sSup>
            </m:oMath>
          </w:p>
          <w:p w14:paraId="3FF23DD1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</w:p>
          <w:p w14:paraId="4B3A55B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L2 in: V1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  <w:lang w:val="en-US" w:eastAsia="nl-NL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  <w:lang w:val="en-US" w:eastAsia="nl-NL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V1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15.3kg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  <w:lang w:val="en-US" w:eastAsia="nl-NL"/>
                </w:rPr>
                <m:t>x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  <w:lang w:val="en-US" w:eastAsia="nl-NL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  <w:lang w:val="en-US" w:eastAsia="nl-NL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BW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  <w:lang w:val="en-US" w:eastAsia="nl-NL"/>
                        </w:rPr>
                        <m:t>15.3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  <w:lang w:val="en-US" w:eastAsia="nl-NL"/>
                    </w:rPr>
                    <m:t>L2</m:t>
                  </m:r>
                </m:sup>
              </m:sSup>
            </m:oMath>
          </w:p>
          <w:p w14:paraId="17F81332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</w:p>
          <w:p w14:paraId="23052F58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Cl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 w:eastAsia="nl-NL"/>
              </w:rPr>
              <w:t>day2-4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 expressed as reduction factor of day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 w:eastAsia="nl-NL"/>
              </w:rPr>
              <w:t>1</w:t>
            </w:r>
          </w:p>
        </w:tc>
        <w:tc>
          <w:tcPr>
            <w:tcW w:w="1619" w:type="dxa"/>
          </w:tcPr>
          <w:p w14:paraId="18F61611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3.59</w:t>
            </w:r>
          </w:p>
          <w:p w14:paraId="33B94E83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11.2</w:t>
            </w:r>
          </w:p>
          <w:p w14:paraId="6705C43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6.62</w:t>
            </w:r>
          </w:p>
          <w:p w14:paraId="63465164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0.147</w:t>
            </w:r>
          </w:p>
          <w:p w14:paraId="1BAD657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661B1F0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1.29</w:t>
            </w:r>
          </w:p>
          <w:p w14:paraId="39837A8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0401A050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-0.143</w:t>
            </w:r>
          </w:p>
          <w:p w14:paraId="4D6FC0CE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53446AF6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02C84E31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0.892</w:t>
            </w:r>
          </w:p>
          <w:p w14:paraId="596C53B7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2BD469E0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-0.0633</w:t>
            </w:r>
          </w:p>
        </w:tc>
        <w:tc>
          <w:tcPr>
            <w:tcW w:w="1334" w:type="dxa"/>
          </w:tcPr>
          <w:p w14:paraId="0EEE916B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44</w:t>
            </w:r>
          </w:p>
          <w:p w14:paraId="714D5D95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4</w:t>
            </w:r>
          </w:p>
          <w:p w14:paraId="400C014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242</w:t>
            </w:r>
          </w:p>
          <w:p w14:paraId="279B07F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16</w:t>
            </w:r>
          </w:p>
          <w:p w14:paraId="018E8261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532C7451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59</w:t>
            </w:r>
          </w:p>
          <w:p w14:paraId="6B77204A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541EAC85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2</w:t>
            </w:r>
          </w:p>
          <w:p w14:paraId="37CD4B0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59C4F84E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7476A638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18</w:t>
            </w:r>
          </w:p>
          <w:p w14:paraId="06D3A30A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0022714E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eastAsia="nl-NL"/>
              </w:rPr>
              <w:t>2.6</w:t>
            </w:r>
          </w:p>
        </w:tc>
        <w:tc>
          <w:tcPr>
            <w:tcW w:w="2135" w:type="dxa"/>
          </w:tcPr>
          <w:p w14:paraId="4461796E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  <w:p w14:paraId="6A7C3E5C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eastAsia="nl-NL"/>
              </w:rPr>
            </w:pPr>
          </w:p>
        </w:tc>
      </w:tr>
      <w:tr w:rsidR="00C208D3" w:rsidRPr="00BD2265" w14:paraId="0A9810A4" w14:textId="77777777" w:rsidTr="00F5442C">
        <w:trPr>
          <w:trHeight w:val="1501"/>
        </w:trPr>
        <w:tc>
          <w:tcPr>
            <w:tcW w:w="4046" w:type="dxa"/>
          </w:tcPr>
          <w:p w14:paraId="0516DE27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Random variability</w:t>
            </w:r>
          </w:p>
          <w:p w14:paraId="595542F3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Inter-individual variability on Cl (%)</w:t>
            </w:r>
          </w:p>
          <w:p w14:paraId="36F65AB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Inter-individual variability on V1 (%)</w:t>
            </w:r>
          </w:p>
          <w:p w14:paraId="2403E52B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Inter-individual variability on Q (%)</w:t>
            </w:r>
          </w:p>
          <w:p w14:paraId="447B7AA9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Corr. IIV ClxV1</w:t>
            </w:r>
          </w:p>
          <w:p w14:paraId="501D8FA4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IOV CL (%)</w:t>
            </w:r>
          </w:p>
          <w:p w14:paraId="191C7626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Proportional residual error (%)</w:t>
            </w:r>
          </w:p>
        </w:tc>
        <w:tc>
          <w:tcPr>
            <w:tcW w:w="1619" w:type="dxa"/>
          </w:tcPr>
          <w:p w14:paraId="73ED5509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</w:p>
          <w:p w14:paraId="72E4342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22%</w:t>
            </w:r>
          </w:p>
          <w:p w14:paraId="37B29091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14.1%</w:t>
            </w:r>
          </w:p>
          <w:p w14:paraId="5860EC02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16.8%</w:t>
            </w:r>
          </w:p>
          <w:p w14:paraId="194AE0B2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1.1%</w:t>
            </w:r>
          </w:p>
          <w:p w14:paraId="689AC994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11.5%</w:t>
            </w:r>
          </w:p>
          <w:p w14:paraId="15342675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28.4%</w:t>
            </w:r>
          </w:p>
        </w:tc>
        <w:tc>
          <w:tcPr>
            <w:tcW w:w="1334" w:type="dxa"/>
          </w:tcPr>
          <w:p w14:paraId="0CB41B5E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</w:p>
          <w:p w14:paraId="748A95D9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0.10%</w:t>
            </w:r>
          </w:p>
          <w:p w14:paraId="03A3A896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0.20%</w:t>
            </w:r>
          </w:p>
          <w:p w14:paraId="3887349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0.60%</w:t>
            </w:r>
          </w:p>
          <w:p w14:paraId="35FA7F18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-</w:t>
            </w:r>
          </w:p>
          <w:p w14:paraId="65EA928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0%</w:t>
            </w:r>
          </w:p>
          <w:p w14:paraId="730565CB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0.2%</w:t>
            </w: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 </w:t>
            </w:r>
          </w:p>
        </w:tc>
        <w:tc>
          <w:tcPr>
            <w:tcW w:w="2135" w:type="dxa"/>
          </w:tcPr>
          <w:p w14:paraId="311F0187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</w:p>
          <w:p w14:paraId="0D8A575C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24</w:t>
            </w:r>
          </w:p>
          <w:p w14:paraId="0F462A8F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43</w:t>
            </w:r>
          </w:p>
          <w:p w14:paraId="11DB6407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86</w:t>
            </w:r>
          </w:p>
          <w:p w14:paraId="28991D3D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-</w:t>
            </w:r>
          </w:p>
          <w:p w14:paraId="15036596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 xml:space="preserve">61/65/74/98/60% </w:t>
            </w:r>
          </w:p>
          <w:p w14:paraId="3E5CD65A" w14:textId="77777777" w:rsidR="00C208D3" w:rsidRPr="00DC7520" w:rsidRDefault="00C208D3" w:rsidP="00F5442C">
            <w:pPr>
              <w:pStyle w:val="NoSpacing"/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</w:pPr>
            <w:r w:rsidRPr="00DC7520">
              <w:rPr>
                <w:rFonts w:ascii="Times New Roman" w:hAnsi="Times New Roman" w:cs="Times New Roman"/>
                <w:sz w:val="18"/>
                <w:szCs w:val="18"/>
                <w:lang w:val="en-US" w:eastAsia="nl-NL"/>
              </w:rPr>
              <w:t>-</w:t>
            </w:r>
          </w:p>
        </w:tc>
      </w:tr>
    </w:tbl>
    <w:p w14:paraId="09F99573" w14:textId="77777777" w:rsidR="00C208D3" w:rsidRDefault="00C208D3" w:rsidP="00634AFA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4B5BF0F" w14:textId="3B3E3CE3" w:rsidR="00634AFA" w:rsidRPr="004D22ED" w:rsidRDefault="00634AFA" w:rsidP="00634AFA">
      <w:pPr>
        <w:spacing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4D22ED">
        <w:rPr>
          <w:rFonts w:ascii="Times New Roman" w:hAnsi="Times New Roman" w:cs="Times New Roman"/>
          <w:sz w:val="16"/>
          <w:szCs w:val="16"/>
          <w:lang w:val="en-US"/>
        </w:rPr>
        <w:t>Table S4: Final Population pharmacokinetic parameter estimates</w:t>
      </w:r>
      <w:r w:rsidRPr="004D22ED">
        <w:rPr>
          <w:rFonts w:ascii="Times New Roman" w:hAnsi="Times New Roman" w:cs="Times New Roman"/>
          <w:sz w:val="16"/>
          <w:szCs w:val="16"/>
          <w:lang w:val="en-US" w:eastAsia="nl-NL"/>
        </w:rPr>
        <w:t xml:space="preserve"> of the model used to describe all data. 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>Cl</w:t>
      </w:r>
      <w:r w:rsidRPr="004D22ED">
        <w:rPr>
          <w:rFonts w:ascii="Times New Roman" w:hAnsi="Times New Roman" w:cs="Times New Roman"/>
          <w:sz w:val="16"/>
          <w:szCs w:val="16"/>
          <w:vertAlign w:val="subscript"/>
          <w:lang w:val="en-US"/>
        </w:rPr>
        <w:t xml:space="preserve">15.3kg 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>= clearance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 xml:space="preserve"> for a typical individual of 15.3 kg;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V1</w:t>
      </w:r>
      <w:r w:rsidRPr="004D22ED">
        <w:rPr>
          <w:rFonts w:ascii="Times New Roman" w:hAnsi="Times New Roman" w:cs="Times New Roman"/>
          <w:sz w:val="16"/>
          <w:szCs w:val="16"/>
          <w:vertAlign w:val="subscript"/>
          <w:lang w:val="en-US"/>
        </w:rPr>
        <w:t>15.3kg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= volume of distribution of the central compartment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 xml:space="preserve"> for a typical individual of 15.3kg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>; V2</w:t>
      </w:r>
      <w:r w:rsidRPr="004D22ED">
        <w:rPr>
          <w:rFonts w:ascii="Times New Roman" w:hAnsi="Times New Roman" w:cs="Times New Roman"/>
          <w:sz w:val="16"/>
          <w:szCs w:val="16"/>
          <w:vertAlign w:val="subscript"/>
          <w:lang w:val="en-US"/>
        </w:rPr>
        <w:t>15.3kg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= volume of distribution of the peripheral compartment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 xml:space="preserve"> for a typical individual of 15.3 kg;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Q</w:t>
      </w:r>
      <w:r w:rsidRPr="004D22ED">
        <w:rPr>
          <w:rFonts w:ascii="Times New Roman" w:hAnsi="Times New Roman" w:cs="Times New Roman"/>
          <w:sz w:val="16"/>
          <w:szCs w:val="16"/>
          <w:vertAlign w:val="subscript"/>
          <w:lang w:val="en-US"/>
        </w:rPr>
        <w:t>15.3kg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= inter-compartmental clearance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 xml:space="preserve"> for a typical individual of 15.3 kg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>; 15.3 kg was the mean body weight in the dataset. In the allometric function, L1 represents the intercept and M is the exponent, which allows the scaling exponent to change with body weight. L2 represents the single scaling exponent. BW = body weight (kg); CV = coefficient of variation (%);</w:t>
      </w:r>
      <w:r w:rsidRPr="004D22ED">
        <w:rPr>
          <w:rFonts w:ascii="Times New Roman" w:hAnsi="Times New Roman" w:cs="Times New Roman"/>
          <w:sz w:val="16"/>
          <w:szCs w:val="16"/>
          <w:lang w:val="en-US" w:eastAsia="nl-NL"/>
        </w:rPr>
        <w:t xml:space="preserve"> inter-individual variability was calculated as the square root of the exponential variance -1, IOV = inter-occasion variability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>.</w:t>
      </w:r>
      <w:r w:rsidR="00C045E0"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Observed vs individual predicted concentrations of je model are shown in figure S1.</w:t>
      </w:r>
    </w:p>
    <w:p w14:paraId="5B6F74A5" w14:textId="77777777" w:rsidR="00634AFA" w:rsidRPr="004D22ED" w:rsidRDefault="00634AFA" w:rsidP="00634AFA">
      <w:pPr>
        <w:spacing w:line="480" w:lineRule="auto"/>
        <w:outlineLvl w:val="0"/>
        <w:rPr>
          <w:rFonts w:ascii="Times New Roman" w:hAnsi="Times New Roman" w:cs="Times New Roman"/>
          <w:sz w:val="16"/>
          <w:szCs w:val="16"/>
          <w:lang w:val="en-US"/>
        </w:rPr>
      </w:pP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a. 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 xml:space="preserve">Clearance was described, 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according to the following equation: </w:t>
      </w:r>
      <m:oMath>
        <m:r>
          <w:rPr>
            <w:rFonts w:ascii="Cambria Math" w:hAnsi="Cambria Math" w:cs="Times New Roman"/>
            <w:sz w:val="16"/>
            <w:szCs w:val="16"/>
            <w:lang w:val="en-US" w:eastAsia="nl-NL"/>
          </w:rPr>
          <m:t>Cl=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  <w:lang w:val="en-US" w:eastAsia="nl-NL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CL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15.3kg</m:t>
            </m:r>
          </m:sub>
        </m:sSub>
        <m:r>
          <w:rPr>
            <w:rFonts w:ascii="Cambria Math" w:hAnsi="Cambria Math" w:cs="Times New Roman"/>
            <w:sz w:val="16"/>
            <w:szCs w:val="16"/>
            <w:lang w:val="en-US" w:eastAsia="nl-NL"/>
          </w:rPr>
          <m:t>x</m:t>
        </m:r>
        <m:sSup>
          <m:sSupPr>
            <m:ctrlPr>
              <w:rPr>
                <w:rFonts w:ascii="Cambria Math" w:hAnsi="Cambria Math" w:cs="Times New Roman"/>
                <w:i/>
                <w:sz w:val="16"/>
                <w:szCs w:val="16"/>
                <w:lang w:val="en-US" w:eastAsia="nl-NL"/>
              </w:rPr>
            </m:ctrlPr>
          </m:sSupPr>
          <m:e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  <w:lang w:val="en-US" w:eastAsia="nl-NL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BW</m:t>
                </m:r>
              </m:num>
              <m:den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15.3</m:t>
                </m:r>
              </m:den>
            </m:f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)</m:t>
            </m:r>
          </m:e>
          <m:sup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L1x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  <w:lang w:val="en-US" w:eastAsia="nl-NL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BW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M</m:t>
                </m:r>
              </m:sup>
            </m:sSup>
          </m:sup>
        </m:sSup>
      </m:oMath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</w:p>
    <w:p w14:paraId="5DDAC1BF" w14:textId="77777777" w:rsidR="00634AFA" w:rsidRPr="004D22ED" w:rsidRDefault="00634AFA" w:rsidP="00634AFA">
      <w:pPr>
        <w:spacing w:line="480" w:lineRule="auto"/>
        <w:outlineLvl w:val="0"/>
        <w:rPr>
          <w:rFonts w:ascii="Times New Roman" w:hAnsi="Times New Roman" w:cs="Times New Roman"/>
          <w:sz w:val="16"/>
          <w:szCs w:val="16"/>
          <w:lang w:val="en-US"/>
        </w:rPr>
      </w:pP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b. V1 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>was described as the volume of distribution of the first compartment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 xml:space="preserve">, according to the following equations: </w:t>
      </w:r>
      <m:oMath>
        <m:r>
          <w:rPr>
            <w:rFonts w:ascii="Cambria Math" w:hAnsi="Cambria Math" w:cs="Times New Roman"/>
            <w:sz w:val="16"/>
            <w:szCs w:val="16"/>
            <w:lang w:val="en-US" w:eastAsia="nl-NL"/>
          </w:rPr>
          <m:t>V1=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  <w:lang w:val="en-US" w:eastAsia="nl-NL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V1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15.3kg</m:t>
            </m:r>
          </m:sub>
        </m:sSub>
        <m:r>
          <w:rPr>
            <w:rFonts w:ascii="Cambria Math" w:hAnsi="Cambria Math" w:cs="Times New Roman"/>
            <w:sz w:val="16"/>
            <w:szCs w:val="16"/>
            <w:lang w:val="en-US" w:eastAsia="nl-NL"/>
          </w:rPr>
          <m:t>x</m:t>
        </m:r>
        <m:sSup>
          <m:sSupPr>
            <m:ctrlPr>
              <w:rPr>
                <w:rFonts w:ascii="Cambria Math" w:hAnsi="Cambria Math" w:cs="Times New Roman"/>
                <w:i/>
                <w:sz w:val="16"/>
                <w:szCs w:val="16"/>
                <w:lang w:val="en-US" w:eastAsia="nl-NL"/>
              </w:rPr>
            </m:ctrlPr>
          </m:sSupPr>
          <m:e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  <w:lang w:val="en-US" w:eastAsia="nl-NL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BW</m:t>
                </m:r>
              </m:num>
              <m:den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15.3</m:t>
                </m:r>
              </m:den>
            </m:f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)</m:t>
            </m:r>
          </m:e>
          <m:sup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L2</m:t>
            </m:r>
          </m:sup>
        </m:sSup>
      </m:oMath>
    </w:p>
    <w:p w14:paraId="1B84BD7A" w14:textId="591E6FF3" w:rsidR="00634AFA" w:rsidRPr="004D22ED" w:rsidRDefault="00634AFA" w:rsidP="00C208D3">
      <w:pPr>
        <w:spacing w:line="480" w:lineRule="auto"/>
        <w:outlineLvl w:val="0"/>
        <w:rPr>
          <w:rFonts w:ascii="Times New Roman" w:hAnsi="Times New Roman" w:cs="Times New Roman"/>
          <w:sz w:val="16"/>
          <w:szCs w:val="16"/>
          <w:lang w:val="en-US"/>
        </w:rPr>
      </w:pPr>
      <w:r w:rsidRPr="004D22ED">
        <w:rPr>
          <w:rFonts w:ascii="Times New Roman" w:hAnsi="Times New Roman" w:cs="Times New Roman"/>
          <w:sz w:val="16"/>
          <w:szCs w:val="16"/>
          <w:lang w:val="en-US"/>
        </w:rPr>
        <w:t>c.</w:t>
      </w:r>
      <w:r w:rsidRPr="004D22ED">
        <w:rPr>
          <w:rFonts w:ascii="Times New Roman" w:hAnsi="Times New Roman" w:cs="Times New Roman"/>
          <w:color w:val="000000"/>
          <w:sz w:val="16"/>
          <w:szCs w:val="16"/>
          <w:lang w:val="en-US" w:eastAsia="nl-NL"/>
        </w:rPr>
        <w:t xml:space="preserve"> Q was described as the inter-compartmental clearance</w:t>
      </w:r>
      <w:r w:rsidRPr="004D22ED">
        <w:rPr>
          <w:rFonts w:ascii="Times New Roman" w:hAnsi="Times New Roman" w:cs="Times New Roman"/>
          <w:sz w:val="16"/>
          <w:szCs w:val="16"/>
          <w:lang w:val="en-US"/>
        </w:rPr>
        <w:t>, according to the following equations: Q</w:t>
      </w:r>
      <m:oMath>
        <m:r>
          <w:rPr>
            <w:rFonts w:ascii="Cambria Math" w:hAnsi="Cambria Math" w:cs="Times New Roman"/>
            <w:sz w:val="16"/>
            <w:szCs w:val="16"/>
            <w:lang w:val="en-US" w:eastAsia="nl-NL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  <w:lang w:val="en-US" w:eastAsia="nl-NL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Q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15.3kg</m:t>
            </m:r>
          </m:sub>
        </m:sSub>
        <m:r>
          <w:rPr>
            <w:rFonts w:ascii="Cambria Math" w:hAnsi="Cambria Math" w:cs="Times New Roman"/>
            <w:sz w:val="16"/>
            <w:szCs w:val="16"/>
            <w:lang w:val="en-US" w:eastAsia="nl-NL"/>
          </w:rPr>
          <m:t>x</m:t>
        </m:r>
        <m:sSup>
          <m:sSupPr>
            <m:ctrlPr>
              <w:rPr>
                <w:rFonts w:ascii="Cambria Math" w:hAnsi="Cambria Math" w:cs="Times New Roman"/>
                <w:i/>
                <w:sz w:val="16"/>
                <w:szCs w:val="16"/>
                <w:lang w:val="en-US" w:eastAsia="nl-NL"/>
              </w:rPr>
            </m:ctrlPr>
          </m:sSupPr>
          <m:e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  <w:lang w:val="en-US" w:eastAsia="nl-NL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BW</m:t>
                </m:r>
              </m:num>
              <m:den>
                <m:r>
                  <w:rPr>
                    <w:rFonts w:ascii="Cambria Math" w:hAnsi="Cambria Math" w:cs="Times New Roman"/>
                    <w:sz w:val="16"/>
                    <w:szCs w:val="16"/>
                    <w:lang w:val="en-US" w:eastAsia="nl-NL"/>
                  </w:rPr>
                  <m:t>15.3</m:t>
                </m:r>
              </m:den>
            </m:f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)</m:t>
            </m:r>
          </m:e>
          <m:sup>
            <m:r>
              <w:rPr>
                <w:rFonts w:ascii="Cambria Math" w:hAnsi="Cambria Math" w:cs="Times New Roman"/>
                <w:sz w:val="16"/>
                <w:szCs w:val="16"/>
                <w:lang w:val="en-US" w:eastAsia="nl-NL"/>
              </w:rPr>
              <m:t>1</m:t>
            </m:r>
          </m:sup>
        </m:sSup>
      </m:oMath>
    </w:p>
    <w:p w14:paraId="4E65B50E" w14:textId="141171A5" w:rsidR="00634AFA" w:rsidRDefault="00634AFA" w:rsidP="00634AFA">
      <w:pPr>
        <w:spacing w:line="240" w:lineRule="auto"/>
        <w:outlineLvl w:val="0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</w:p>
    <w:p w14:paraId="7C4172C5" w14:textId="2201225F" w:rsidR="00B57166" w:rsidRPr="00DC7520" w:rsidRDefault="004D22ED" w:rsidP="00634AFA">
      <w:pPr>
        <w:spacing w:line="240" w:lineRule="auto"/>
        <w:outlineLvl w:val="0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noProof/>
          <w:lang w:eastAsia="nl-NL"/>
        </w:rPr>
        <w:lastRenderedPageBreak/>
        <w:drawing>
          <wp:inline distT="0" distB="0" distL="0" distR="0" wp14:anchorId="20904B43" wp14:editId="2AB3CE86">
            <wp:extent cx="5760720" cy="3524885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A0BEF" w14:textId="74CFE3E1" w:rsidR="00634AFA" w:rsidRDefault="00C208D3" w:rsidP="00634AFA">
      <w:pPr>
        <w:rPr>
          <w:rFonts w:ascii="Times New Roman" w:hAnsi="Times New Roman" w:cs="Times New Roman"/>
          <w:bCs/>
          <w:sz w:val="16"/>
          <w:szCs w:val="16"/>
          <w:lang w:val="en-US"/>
        </w:rPr>
      </w:pPr>
      <w:r w:rsidRPr="004D22ED">
        <w:rPr>
          <w:rFonts w:ascii="Times New Roman" w:hAnsi="Times New Roman" w:cs="Times New Roman"/>
          <w:bCs/>
          <w:sz w:val="16"/>
          <w:szCs w:val="16"/>
          <w:lang w:val="en-US"/>
        </w:rPr>
        <w:t>Figure S1: Goodness of Fit plots obtained from the current pediatric dataset and the previously published PK model</w:t>
      </w:r>
      <w:r w:rsidR="004B629F" w:rsidRPr="004D22ED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r w:rsidR="004D22ED">
        <w:rPr>
          <w:rFonts w:ascii="Times New Roman" w:hAnsi="Times New Roman" w:cs="Times New Roman"/>
          <w:bCs/>
          <w:sz w:val="16"/>
          <w:szCs w:val="16"/>
          <w:lang w:val="en-US"/>
        </w:rPr>
        <w:t>(1): population predictions (a), individual predictions</w:t>
      </w:r>
      <w:r w:rsidRPr="004D22ED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against observed</w:t>
      </w:r>
      <w:r w:rsidR="004D22ED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busulfan plasma concentrations (b), </w:t>
      </w:r>
      <w:r w:rsidRPr="004D22ED">
        <w:rPr>
          <w:rFonts w:ascii="Times New Roman" w:hAnsi="Times New Roman" w:cs="Times New Roman"/>
          <w:bCs/>
          <w:sz w:val="16"/>
          <w:szCs w:val="16"/>
          <w:lang w:val="en-US"/>
        </w:rPr>
        <w:t>the conditional weighted residuals against individual predictions</w:t>
      </w:r>
      <w:r w:rsidR="004D22ED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(c),</w:t>
      </w:r>
      <w:r w:rsidRPr="004D22ED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and against time after busulfan infusion onset </w:t>
      </w:r>
      <w:r w:rsidR="004D22ED">
        <w:rPr>
          <w:rFonts w:ascii="Times New Roman" w:hAnsi="Times New Roman" w:cs="Times New Roman"/>
          <w:bCs/>
          <w:sz w:val="16"/>
          <w:szCs w:val="16"/>
          <w:lang w:val="en-US"/>
        </w:rPr>
        <w:t>(d)</w:t>
      </w:r>
      <w:r w:rsidRPr="004D22ED">
        <w:rPr>
          <w:rFonts w:ascii="Times New Roman" w:hAnsi="Times New Roman" w:cs="Times New Roman"/>
          <w:bCs/>
          <w:sz w:val="16"/>
          <w:szCs w:val="16"/>
          <w:lang w:val="en-US"/>
        </w:rPr>
        <w:t>.</w:t>
      </w:r>
    </w:p>
    <w:p w14:paraId="5B05BF05" w14:textId="77777777" w:rsidR="004D22ED" w:rsidRPr="00575128" w:rsidRDefault="004D22ED" w:rsidP="004D22ED">
      <w:pPr>
        <w:pStyle w:val="Heading1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75128">
        <w:rPr>
          <w:rFonts w:ascii="Times New Roman" w:hAnsi="Times New Roman" w:cs="Times New Roman"/>
          <w:sz w:val="20"/>
          <w:szCs w:val="20"/>
          <w:lang w:val="en-US"/>
        </w:rPr>
        <w:t>References</w:t>
      </w:r>
    </w:p>
    <w:p w14:paraId="21ED4533" w14:textId="79E59BA7" w:rsidR="004D22ED" w:rsidRPr="004D22ED" w:rsidRDefault="004D22ED" w:rsidP="004D22ED">
      <w:pPr>
        <w:pStyle w:val="ListParagraph"/>
        <w:numPr>
          <w:ilvl w:val="0"/>
          <w:numId w:val="10"/>
        </w:numPr>
        <w:rPr>
          <w:sz w:val="16"/>
          <w:szCs w:val="16"/>
          <w:lang w:val="en-US"/>
        </w:rPr>
      </w:pPr>
      <w:r w:rsidRPr="004D22ED">
        <w:rPr>
          <w:rFonts w:ascii="Times New Roman" w:hAnsi="Times New Roman" w:cs="Times New Roman"/>
          <w:noProof/>
          <w:sz w:val="20"/>
          <w:szCs w:val="24"/>
        </w:rPr>
        <w:t xml:space="preserve">Bognàr T, Bartelink IH, Egberts TCG, Rademaker CMA, Versluys AB, Slatter MA, et al. </w:t>
      </w:r>
      <w:r w:rsidRPr="004D22ED">
        <w:rPr>
          <w:rFonts w:ascii="Times New Roman" w:hAnsi="Times New Roman" w:cs="Times New Roman"/>
          <w:noProof/>
          <w:sz w:val="20"/>
          <w:szCs w:val="24"/>
          <w:lang w:val="en-US"/>
        </w:rPr>
        <w:t xml:space="preserve">Association Between the Magnitude of Intravenous Busulfan Exposure and Development of Hepatic Veno-Occlusive Disease in Children and Young Adults Undergoing Myeloablative Allogeneic Hematopoietic Cell Transplantation. </w:t>
      </w:r>
      <w:r w:rsidRPr="004D22ED">
        <w:rPr>
          <w:rFonts w:ascii="Times New Roman" w:hAnsi="Times New Roman" w:cs="Times New Roman"/>
          <w:noProof/>
          <w:sz w:val="20"/>
          <w:szCs w:val="24"/>
        </w:rPr>
        <w:t>Transplant Cell Ther. 2022;28(4):196-202.</w:t>
      </w:r>
    </w:p>
    <w:p w14:paraId="590C44E6" w14:textId="77777777" w:rsidR="00355246" w:rsidRPr="00507D98" w:rsidRDefault="00355246" w:rsidP="00355246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355246" w:rsidRPr="00507D98" w:rsidSect="00634AFA">
      <w:footerReference w:type="default" r:id="rId9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EB4A1" w14:textId="77777777" w:rsidR="00BD3873" w:rsidRDefault="00BD3873" w:rsidP="00FA3FE5">
      <w:pPr>
        <w:spacing w:after="0" w:line="240" w:lineRule="auto"/>
      </w:pPr>
      <w:r>
        <w:separator/>
      </w:r>
    </w:p>
  </w:endnote>
  <w:endnote w:type="continuationSeparator" w:id="0">
    <w:p w14:paraId="1EA59483" w14:textId="77777777" w:rsidR="00BD3873" w:rsidRDefault="00BD3873" w:rsidP="00FA3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33645713"/>
      <w:docPartObj>
        <w:docPartGallery w:val="Page Numbers (Bottom of Page)"/>
        <w:docPartUnique/>
      </w:docPartObj>
    </w:sdtPr>
    <w:sdtEndPr/>
    <w:sdtContent>
      <w:p w14:paraId="632220B1" w14:textId="691E4349" w:rsidR="00745775" w:rsidRDefault="0074577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09A">
          <w:rPr>
            <w:noProof/>
          </w:rPr>
          <w:t>18</w:t>
        </w:r>
        <w:r>
          <w:fldChar w:fldCharType="end"/>
        </w:r>
      </w:p>
    </w:sdtContent>
  </w:sdt>
  <w:p w14:paraId="045EFEF5" w14:textId="77777777" w:rsidR="00745775" w:rsidRDefault="007457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C04C31" w14:textId="77777777" w:rsidR="00BD3873" w:rsidRDefault="00BD3873" w:rsidP="00FA3FE5">
      <w:pPr>
        <w:spacing w:after="0" w:line="240" w:lineRule="auto"/>
      </w:pPr>
      <w:r>
        <w:separator/>
      </w:r>
    </w:p>
  </w:footnote>
  <w:footnote w:type="continuationSeparator" w:id="0">
    <w:p w14:paraId="6203D0CC" w14:textId="77777777" w:rsidR="00BD3873" w:rsidRDefault="00BD3873" w:rsidP="00FA3F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E38E2"/>
    <w:multiLevelType w:val="hybridMultilevel"/>
    <w:tmpl w:val="02AE50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60CE"/>
    <w:multiLevelType w:val="hybridMultilevel"/>
    <w:tmpl w:val="266C7F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B5107"/>
    <w:multiLevelType w:val="hybridMultilevel"/>
    <w:tmpl w:val="5F140A9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A34F72"/>
    <w:multiLevelType w:val="hybridMultilevel"/>
    <w:tmpl w:val="0DC8F7C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5D10"/>
    <w:multiLevelType w:val="hybridMultilevel"/>
    <w:tmpl w:val="CBB467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E87D5B"/>
    <w:multiLevelType w:val="hybridMultilevel"/>
    <w:tmpl w:val="C21AE2E8"/>
    <w:lvl w:ilvl="0" w:tplc="114A89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0934D6"/>
    <w:multiLevelType w:val="hybridMultilevel"/>
    <w:tmpl w:val="751E7B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DB585C"/>
    <w:multiLevelType w:val="hybridMultilevel"/>
    <w:tmpl w:val="0C661F82"/>
    <w:lvl w:ilvl="0" w:tplc="04130001">
      <w:start w:val="1"/>
      <w:numFmt w:val="bullet"/>
      <w:lvlText w:val=""/>
      <w:lvlJc w:val="left"/>
      <w:pPr>
        <w:ind w:left="1057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8" w15:restartNumberingAfterBreak="0">
    <w:nsid w:val="6E2265D4"/>
    <w:multiLevelType w:val="hybridMultilevel"/>
    <w:tmpl w:val="7040CEA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876086"/>
    <w:multiLevelType w:val="hybridMultilevel"/>
    <w:tmpl w:val="86A62710"/>
    <w:lvl w:ilvl="0" w:tplc="0413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6"/>
  </w:num>
  <w:num w:numId="5">
    <w:abstractNumId w:val="4"/>
  </w:num>
  <w:num w:numId="6">
    <w:abstractNumId w:val="2"/>
  </w:num>
  <w:num w:numId="7">
    <w:abstractNumId w:val="8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0CF"/>
    <w:rsid w:val="0000112F"/>
    <w:rsid w:val="000052C6"/>
    <w:rsid w:val="00006D43"/>
    <w:rsid w:val="00016742"/>
    <w:rsid w:val="00016E60"/>
    <w:rsid w:val="00020B93"/>
    <w:rsid w:val="00023406"/>
    <w:rsid w:val="0002362F"/>
    <w:rsid w:val="00023C79"/>
    <w:rsid w:val="000251BB"/>
    <w:rsid w:val="000329B4"/>
    <w:rsid w:val="000368A4"/>
    <w:rsid w:val="0004341A"/>
    <w:rsid w:val="000443A2"/>
    <w:rsid w:val="0004478D"/>
    <w:rsid w:val="00045409"/>
    <w:rsid w:val="000468DE"/>
    <w:rsid w:val="00051835"/>
    <w:rsid w:val="00052882"/>
    <w:rsid w:val="00052B2B"/>
    <w:rsid w:val="00055923"/>
    <w:rsid w:val="00081038"/>
    <w:rsid w:val="00082932"/>
    <w:rsid w:val="00092B3C"/>
    <w:rsid w:val="000940DF"/>
    <w:rsid w:val="000959AA"/>
    <w:rsid w:val="000A0915"/>
    <w:rsid w:val="000A27BB"/>
    <w:rsid w:val="000A35FA"/>
    <w:rsid w:val="000B017F"/>
    <w:rsid w:val="000C0652"/>
    <w:rsid w:val="000C2A0C"/>
    <w:rsid w:val="000C555A"/>
    <w:rsid w:val="000C7F39"/>
    <w:rsid w:val="000D2BB6"/>
    <w:rsid w:val="000D3225"/>
    <w:rsid w:val="000D5E5F"/>
    <w:rsid w:val="000E075F"/>
    <w:rsid w:val="000E1C57"/>
    <w:rsid w:val="000E2E51"/>
    <w:rsid w:val="000E4F61"/>
    <w:rsid w:val="000E6E1C"/>
    <w:rsid w:val="000F4950"/>
    <w:rsid w:val="000F5BDF"/>
    <w:rsid w:val="000F7E40"/>
    <w:rsid w:val="0010196E"/>
    <w:rsid w:val="00111956"/>
    <w:rsid w:val="00114AF2"/>
    <w:rsid w:val="00116CF4"/>
    <w:rsid w:val="00120BCD"/>
    <w:rsid w:val="001266AF"/>
    <w:rsid w:val="00126E0A"/>
    <w:rsid w:val="00131F93"/>
    <w:rsid w:val="00142BDD"/>
    <w:rsid w:val="001535F2"/>
    <w:rsid w:val="00157183"/>
    <w:rsid w:val="00160CFC"/>
    <w:rsid w:val="001610E5"/>
    <w:rsid w:val="00161AAA"/>
    <w:rsid w:val="00164A79"/>
    <w:rsid w:val="00167385"/>
    <w:rsid w:val="0017065D"/>
    <w:rsid w:val="0017347A"/>
    <w:rsid w:val="00175230"/>
    <w:rsid w:val="001762A6"/>
    <w:rsid w:val="00181287"/>
    <w:rsid w:val="00196153"/>
    <w:rsid w:val="00197FE4"/>
    <w:rsid w:val="001A4B8A"/>
    <w:rsid w:val="001B3FFE"/>
    <w:rsid w:val="001B75DD"/>
    <w:rsid w:val="001B7D8E"/>
    <w:rsid w:val="001C1445"/>
    <w:rsid w:val="001C31C3"/>
    <w:rsid w:val="001C3AB5"/>
    <w:rsid w:val="001C6307"/>
    <w:rsid w:val="001C6B09"/>
    <w:rsid w:val="001D2F28"/>
    <w:rsid w:val="001D4324"/>
    <w:rsid w:val="001E055F"/>
    <w:rsid w:val="001E0A18"/>
    <w:rsid w:val="001E370A"/>
    <w:rsid w:val="001F1B9F"/>
    <w:rsid w:val="001F2BD5"/>
    <w:rsid w:val="001F45D3"/>
    <w:rsid w:val="001F5A58"/>
    <w:rsid w:val="001F754D"/>
    <w:rsid w:val="002034F6"/>
    <w:rsid w:val="0020618E"/>
    <w:rsid w:val="00213A09"/>
    <w:rsid w:val="00222ED7"/>
    <w:rsid w:val="00223AAD"/>
    <w:rsid w:val="00224672"/>
    <w:rsid w:val="002249F5"/>
    <w:rsid w:val="0022518E"/>
    <w:rsid w:val="00230596"/>
    <w:rsid w:val="00230C02"/>
    <w:rsid w:val="002333EF"/>
    <w:rsid w:val="00240840"/>
    <w:rsid w:val="00242F79"/>
    <w:rsid w:val="0024409D"/>
    <w:rsid w:val="0024636F"/>
    <w:rsid w:val="00253FF8"/>
    <w:rsid w:val="002608AD"/>
    <w:rsid w:val="002646A6"/>
    <w:rsid w:val="00264BE2"/>
    <w:rsid w:val="00265E5C"/>
    <w:rsid w:val="00266F6A"/>
    <w:rsid w:val="00280BB6"/>
    <w:rsid w:val="00285A46"/>
    <w:rsid w:val="00286CB9"/>
    <w:rsid w:val="002874DB"/>
    <w:rsid w:val="00294F57"/>
    <w:rsid w:val="002965FF"/>
    <w:rsid w:val="002A298A"/>
    <w:rsid w:val="002A60D1"/>
    <w:rsid w:val="002B21CB"/>
    <w:rsid w:val="002B4830"/>
    <w:rsid w:val="002B6777"/>
    <w:rsid w:val="002D0B1D"/>
    <w:rsid w:val="002D7664"/>
    <w:rsid w:val="002E024F"/>
    <w:rsid w:val="002E0FA0"/>
    <w:rsid w:val="002E15BB"/>
    <w:rsid w:val="002E3FF3"/>
    <w:rsid w:val="002E5BA8"/>
    <w:rsid w:val="002E7974"/>
    <w:rsid w:val="002F28C8"/>
    <w:rsid w:val="002F4286"/>
    <w:rsid w:val="00300473"/>
    <w:rsid w:val="00304C48"/>
    <w:rsid w:val="00305BB6"/>
    <w:rsid w:val="0030673A"/>
    <w:rsid w:val="00306828"/>
    <w:rsid w:val="00306C32"/>
    <w:rsid w:val="00306CB1"/>
    <w:rsid w:val="0031170C"/>
    <w:rsid w:val="0031737D"/>
    <w:rsid w:val="0031790A"/>
    <w:rsid w:val="003202B2"/>
    <w:rsid w:val="003220F7"/>
    <w:rsid w:val="00322F75"/>
    <w:rsid w:val="003250C6"/>
    <w:rsid w:val="00335554"/>
    <w:rsid w:val="0033726A"/>
    <w:rsid w:val="003401BC"/>
    <w:rsid w:val="003503A7"/>
    <w:rsid w:val="00350605"/>
    <w:rsid w:val="00355246"/>
    <w:rsid w:val="00355DE8"/>
    <w:rsid w:val="00356FDA"/>
    <w:rsid w:val="00364AAE"/>
    <w:rsid w:val="003672E5"/>
    <w:rsid w:val="00367A4B"/>
    <w:rsid w:val="00367A56"/>
    <w:rsid w:val="00371A81"/>
    <w:rsid w:val="0037364A"/>
    <w:rsid w:val="0037397E"/>
    <w:rsid w:val="00376F6B"/>
    <w:rsid w:val="00381F31"/>
    <w:rsid w:val="00383046"/>
    <w:rsid w:val="003853ED"/>
    <w:rsid w:val="003872DD"/>
    <w:rsid w:val="003879DC"/>
    <w:rsid w:val="003910D2"/>
    <w:rsid w:val="0039770C"/>
    <w:rsid w:val="003A1EF8"/>
    <w:rsid w:val="003B2378"/>
    <w:rsid w:val="003B2D0A"/>
    <w:rsid w:val="003C69F4"/>
    <w:rsid w:val="003D4288"/>
    <w:rsid w:val="003E2B02"/>
    <w:rsid w:val="003E2F8F"/>
    <w:rsid w:val="003E6DB6"/>
    <w:rsid w:val="003F1917"/>
    <w:rsid w:val="003F219C"/>
    <w:rsid w:val="003F2CDA"/>
    <w:rsid w:val="0040137A"/>
    <w:rsid w:val="004033A8"/>
    <w:rsid w:val="004069C6"/>
    <w:rsid w:val="00406AB7"/>
    <w:rsid w:val="00410563"/>
    <w:rsid w:val="0041217E"/>
    <w:rsid w:val="00413D32"/>
    <w:rsid w:val="004140F2"/>
    <w:rsid w:val="004172DC"/>
    <w:rsid w:val="004216F7"/>
    <w:rsid w:val="00422FCB"/>
    <w:rsid w:val="00424165"/>
    <w:rsid w:val="00424628"/>
    <w:rsid w:val="00426879"/>
    <w:rsid w:val="0043092C"/>
    <w:rsid w:val="004348E7"/>
    <w:rsid w:val="00441E4D"/>
    <w:rsid w:val="00442173"/>
    <w:rsid w:val="00444561"/>
    <w:rsid w:val="0044719A"/>
    <w:rsid w:val="004476D5"/>
    <w:rsid w:val="0045141D"/>
    <w:rsid w:val="0045535D"/>
    <w:rsid w:val="004569A2"/>
    <w:rsid w:val="00465BBD"/>
    <w:rsid w:val="00466D35"/>
    <w:rsid w:val="00467046"/>
    <w:rsid w:val="00474ADE"/>
    <w:rsid w:val="00475F72"/>
    <w:rsid w:val="004854BF"/>
    <w:rsid w:val="0049214D"/>
    <w:rsid w:val="00492FA1"/>
    <w:rsid w:val="004A7C02"/>
    <w:rsid w:val="004B629F"/>
    <w:rsid w:val="004C07FB"/>
    <w:rsid w:val="004C0AC9"/>
    <w:rsid w:val="004C1F69"/>
    <w:rsid w:val="004C403E"/>
    <w:rsid w:val="004C4CB9"/>
    <w:rsid w:val="004D160B"/>
    <w:rsid w:val="004D22ED"/>
    <w:rsid w:val="004D3818"/>
    <w:rsid w:val="004D52FD"/>
    <w:rsid w:val="004E1C61"/>
    <w:rsid w:val="004E289F"/>
    <w:rsid w:val="00500ED4"/>
    <w:rsid w:val="005035A9"/>
    <w:rsid w:val="00507541"/>
    <w:rsid w:val="00507D24"/>
    <w:rsid w:val="00507D98"/>
    <w:rsid w:val="00514676"/>
    <w:rsid w:val="00516475"/>
    <w:rsid w:val="00536697"/>
    <w:rsid w:val="00542A3B"/>
    <w:rsid w:val="00542B14"/>
    <w:rsid w:val="00543271"/>
    <w:rsid w:val="00544505"/>
    <w:rsid w:val="00546F58"/>
    <w:rsid w:val="00551755"/>
    <w:rsid w:val="005649A4"/>
    <w:rsid w:val="00566A2A"/>
    <w:rsid w:val="00570D68"/>
    <w:rsid w:val="0057137F"/>
    <w:rsid w:val="005748FD"/>
    <w:rsid w:val="00575128"/>
    <w:rsid w:val="005764A3"/>
    <w:rsid w:val="00580DA3"/>
    <w:rsid w:val="00586509"/>
    <w:rsid w:val="005973D0"/>
    <w:rsid w:val="005A0B9F"/>
    <w:rsid w:val="005A258D"/>
    <w:rsid w:val="005A38AC"/>
    <w:rsid w:val="005A472A"/>
    <w:rsid w:val="005B10CB"/>
    <w:rsid w:val="005B36DB"/>
    <w:rsid w:val="005C0990"/>
    <w:rsid w:val="005C118A"/>
    <w:rsid w:val="005C5119"/>
    <w:rsid w:val="005D0F12"/>
    <w:rsid w:val="005D32C9"/>
    <w:rsid w:val="005D6125"/>
    <w:rsid w:val="005D6464"/>
    <w:rsid w:val="005D6918"/>
    <w:rsid w:val="005E093B"/>
    <w:rsid w:val="005E6DA3"/>
    <w:rsid w:val="005E7481"/>
    <w:rsid w:val="005F135C"/>
    <w:rsid w:val="005F1E3A"/>
    <w:rsid w:val="005F603F"/>
    <w:rsid w:val="005F6423"/>
    <w:rsid w:val="005F7C51"/>
    <w:rsid w:val="006062A7"/>
    <w:rsid w:val="00612499"/>
    <w:rsid w:val="006140F5"/>
    <w:rsid w:val="00614ABE"/>
    <w:rsid w:val="0062604E"/>
    <w:rsid w:val="0063109A"/>
    <w:rsid w:val="006325BD"/>
    <w:rsid w:val="006336CB"/>
    <w:rsid w:val="00633E9C"/>
    <w:rsid w:val="00634AFA"/>
    <w:rsid w:val="00635FFA"/>
    <w:rsid w:val="00641247"/>
    <w:rsid w:val="00642F11"/>
    <w:rsid w:val="006469ED"/>
    <w:rsid w:val="0065051A"/>
    <w:rsid w:val="006507B4"/>
    <w:rsid w:val="00651D1A"/>
    <w:rsid w:val="00653AA7"/>
    <w:rsid w:val="0065491C"/>
    <w:rsid w:val="00655CF2"/>
    <w:rsid w:val="00656E84"/>
    <w:rsid w:val="0066408E"/>
    <w:rsid w:val="006676B1"/>
    <w:rsid w:val="00670CB4"/>
    <w:rsid w:val="00675F0D"/>
    <w:rsid w:val="0067738E"/>
    <w:rsid w:val="006777B7"/>
    <w:rsid w:val="006805AB"/>
    <w:rsid w:val="006819C6"/>
    <w:rsid w:val="00682A70"/>
    <w:rsid w:val="0069137D"/>
    <w:rsid w:val="006969AF"/>
    <w:rsid w:val="006A34D3"/>
    <w:rsid w:val="006B00A8"/>
    <w:rsid w:val="006B0F05"/>
    <w:rsid w:val="006B3B83"/>
    <w:rsid w:val="006B6E0A"/>
    <w:rsid w:val="006C1FDC"/>
    <w:rsid w:val="006C2468"/>
    <w:rsid w:val="006C4511"/>
    <w:rsid w:val="006C55C0"/>
    <w:rsid w:val="006D5792"/>
    <w:rsid w:val="006D65E5"/>
    <w:rsid w:val="006E096D"/>
    <w:rsid w:val="006E64F0"/>
    <w:rsid w:val="006E7F17"/>
    <w:rsid w:val="006F138F"/>
    <w:rsid w:val="006F142D"/>
    <w:rsid w:val="006F4BDD"/>
    <w:rsid w:val="006F6456"/>
    <w:rsid w:val="006F7EDB"/>
    <w:rsid w:val="007015A9"/>
    <w:rsid w:val="007036FD"/>
    <w:rsid w:val="0070454F"/>
    <w:rsid w:val="00705E25"/>
    <w:rsid w:val="0071587F"/>
    <w:rsid w:val="00715D58"/>
    <w:rsid w:val="00727CC9"/>
    <w:rsid w:val="00727EDE"/>
    <w:rsid w:val="00735974"/>
    <w:rsid w:val="00735EF8"/>
    <w:rsid w:val="00736FA4"/>
    <w:rsid w:val="00744366"/>
    <w:rsid w:val="00745775"/>
    <w:rsid w:val="00747715"/>
    <w:rsid w:val="00750592"/>
    <w:rsid w:val="0075418F"/>
    <w:rsid w:val="00754618"/>
    <w:rsid w:val="007606C6"/>
    <w:rsid w:val="007630F6"/>
    <w:rsid w:val="0076610D"/>
    <w:rsid w:val="00767131"/>
    <w:rsid w:val="0077040D"/>
    <w:rsid w:val="00771B2E"/>
    <w:rsid w:val="007752B9"/>
    <w:rsid w:val="0077783A"/>
    <w:rsid w:val="00781905"/>
    <w:rsid w:val="007847B9"/>
    <w:rsid w:val="007867FD"/>
    <w:rsid w:val="00786D6E"/>
    <w:rsid w:val="00787B2D"/>
    <w:rsid w:val="00787BAF"/>
    <w:rsid w:val="0079092E"/>
    <w:rsid w:val="0079702D"/>
    <w:rsid w:val="007A1382"/>
    <w:rsid w:val="007A259C"/>
    <w:rsid w:val="007B0A00"/>
    <w:rsid w:val="007B1347"/>
    <w:rsid w:val="007B27A2"/>
    <w:rsid w:val="007B4731"/>
    <w:rsid w:val="007B4C81"/>
    <w:rsid w:val="007B5AC6"/>
    <w:rsid w:val="007B6E3B"/>
    <w:rsid w:val="007C2F37"/>
    <w:rsid w:val="007C48E3"/>
    <w:rsid w:val="007C5468"/>
    <w:rsid w:val="007D0A68"/>
    <w:rsid w:val="007D0C89"/>
    <w:rsid w:val="007D15BE"/>
    <w:rsid w:val="007D46C1"/>
    <w:rsid w:val="007D4B85"/>
    <w:rsid w:val="007D77FE"/>
    <w:rsid w:val="007E460A"/>
    <w:rsid w:val="007F22A6"/>
    <w:rsid w:val="007F50F6"/>
    <w:rsid w:val="00807174"/>
    <w:rsid w:val="008155BE"/>
    <w:rsid w:val="008243EE"/>
    <w:rsid w:val="008338AB"/>
    <w:rsid w:val="00835E9D"/>
    <w:rsid w:val="00840D99"/>
    <w:rsid w:val="00841456"/>
    <w:rsid w:val="0084637B"/>
    <w:rsid w:val="00850BC1"/>
    <w:rsid w:val="0085213E"/>
    <w:rsid w:val="008615F8"/>
    <w:rsid w:val="00884F22"/>
    <w:rsid w:val="008865BE"/>
    <w:rsid w:val="00891B94"/>
    <w:rsid w:val="008A14DA"/>
    <w:rsid w:val="008A26EA"/>
    <w:rsid w:val="008A2C3E"/>
    <w:rsid w:val="008A2EFA"/>
    <w:rsid w:val="008A51B6"/>
    <w:rsid w:val="008B0150"/>
    <w:rsid w:val="008B22EC"/>
    <w:rsid w:val="008C27D1"/>
    <w:rsid w:val="008C36FC"/>
    <w:rsid w:val="008C3C91"/>
    <w:rsid w:val="008C5E96"/>
    <w:rsid w:val="008C7534"/>
    <w:rsid w:val="008D06C0"/>
    <w:rsid w:val="008D3E4D"/>
    <w:rsid w:val="008D50DF"/>
    <w:rsid w:val="008D5F69"/>
    <w:rsid w:val="008D6406"/>
    <w:rsid w:val="008D742C"/>
    <w:rsid w:val="008E74D9"/>
    <w:rsid w:val="008E7D91"/>
    <w:rsid w:val="008F3556"/>
    <w:rsid w:val="008F6137"/>
    <w:rsid w:val="008F6661"/>
    <w:rsid w:val="0090447A"/>
    <w:rsid w:val="009050F3"/>
    <w:rsid w:val="00906C59"/>
    <w:rsid w:val="009132F9"/>
    <w:rsid w:val="0092477C"/>
    <w:rsid w:val="00924EE0"/>
    <w:rsid w:val="0093060F"/>
    <w:rsid w:val="00931D1F"/>
    <w:rsid w:val="00934A6C"/>
    <w:rsid w:val="00935EF1"/>
    <w:rsid w:val="00941227"/>
    <w:rsid w:val="009449C0"/>
    <w:rsid w:val="00945938"/>
    <w:rsid w:val="00945A6C"/>
    <w:rsid w:val="00947655"/>
    <w:rsid w:val="00947855"/>
    <w:rsid w:val="0095254D"/>
    <w:rsid w:val="00952A96"/>
    <w:rsid w:val="009571D6"/>
    <w:rsid w:val="009632AA"/>
    <w:rsid w:val="00965392"/>
    <w:rsid w:val="0096603B"/>
    <w:rsid w:val="00973211"/>
    <w:rsid w:val="00981926"/>
    <w:rsid w:val="0098753F"/>
    <w:rsid w:val="0099103E"/>
    <w:rsid w:val="00991FB7"/>
    <w:rsid w:val="00997920"/>
    <w:rsid w:val="009A2FBC"/>
    <w:rsid w:val="009A33CC"/>
    <w:rsid w:val="009B0BE4"/>
    <w:rsid w:val="009B0FB3"/>
    <w:rsid w:val="009B3DE4"/>
    <w:rsid w:val="009B497F"/>
    <w:rsid w:val="009B4FE9"/>
    <w:rsid w:val="009B6800"/>
    <w:rsid w:val="009C3894"/>
    <w:rsid w:val="009D1C04"/>
    <w:rsid w:val="009D5E5A"/>
    <w:rsid w:val="009D6BE9"/>
    <w:rsid w:val="009E5D29"/>
    <w:rsid w:val="009E6324"/>
    <w:rsid w:val="009E6672"/>
    <w:rsid w:val="009E6B2F"/>
    <w:rsid w:val="009E6E58"/>
    <w:rsid w:val="009E7CEB"/>
    <w:rsid w:val="009E7E91"/>
    <w:rsid w:val="009F4BA2"/>
    <w:rsid w:val="009F537B"/>
    <w:rsid w:val="009F78A2"/>
    <w:rsid w:val="009F79A3"/>
    <w:rsid w:val="00A01F9E"/>
    <w:rsid w:val="00A0244E"/>
    <w:rsid w:val="00A0521E"/>
    <w:rsid w:val="00A101DE"/>
    <w:rsid w:val="00A1462F"/>
    <w:rsid w:val="00A24FA4"/>
    <w:rsid w:val="00A26A31"/>
    <w:rsid w:val="00A27772"/>
    <w:rsid w:val="00A32E12"/>
    <w:rsid w:val="00A43438"/>
    <w:rsid w:val="00A4402E"/>
    <w:rsid w:val="00A4415D"/>
    <w:rsid w:val="00A4419F"/>
    <w:rsid w:val="00A5286E"/>
    <w:rsid w:val="00A52AF1"/>
    <w:rsid w:val="00A52CB6"/>
    <w:rsid w:val="00A6585F"/>
    <w:rsid w:val="00A7077D"/>
    <w:rsid w:val="00A70B5F"/>
    <w:rsid w:val="00A70FFB"/>
    <w:rsid w:val="00A73170"/>
    <w:rsid w:val="00A73377"/>
    <w:rsid w:val="00A76DB5"/>
    <w:rsid w:val="00A77432"/>
    <w:rsid w:val="00A83DE3"/>
    <w:rsid w:val="00A841C3"/>
    <w:rsid w:val="00A85485"/>
    <w:rsid w:val="00A87E10"/>
    <w:rsid w:val="00A90F6F"/>
    <w:rsid w:val="00A92BF1"/>
    <w:rsid w:val="00A933E9"/>
    <w:rsid w:val="00A97018"/>
    <w:rsid w:val="00AA02D9"/>
    <w:rsid w:val="00AA531F"/>
    <w:rsid w:val="00AA735F"/>
    <w:rsid w:val="00AB26C0"/>
    <w:rsid w:val="00AB320C"/>
    <w:rsid w:val="00AB370A"/>
    <w:rsid w:val="00AC1ED6"/>
    <w:rsid w:val="00AC44DE"/>
    <w:rsid w:val="00AC6EBD"/>
    <w:rsid w:val="00AC7CA9"/>
    <w:rsid w:val="00AE0B2F"/>
    <w:rsid w:val="00AE3067"/>
    <w:rsid w:val="00AE48F2"/>
    <w:rsid w:val="00AE7855"/>
    <w:rsid w:val="00AF1EBC"/>
    <w:rsid w:val="00AF3FD0"/>
    <w:rsid w:val="00AF6B31"/>
    <w:rsid w:val="00B012EC"/>
    <w:rsid w:val="00B02C4C"/>
    <w:rsid w:val="00B0797D"/>
    <w:rsid w:val="00B10227"/>
    <w:rsid w:val="00B1120B"/>
    <w:rsid w:val="00B17E76"/>
    <w:rsid w:val="00B21218"/>
    <w:rsid w:val="00B226E2"/>
    <w:rsid w:val="00B2338B"/>
    <w:rsid w:val="00B24844"/>
    <w:rsid w:val="00B27DAE"/>
    <w:rsid w:val="00B30A4C"/>
    <w:rsid w:val="00B31355"/>
    <w:rsid w:val="00B31597"/>
    <w:rsid w:val="00B33DD8"/>
    <w:rsid w:val="00B3548F"/>
    <w:rsid w:val="00B36569"/>
    <w:rsid w:val="00B427D8"/>
    <w:rsid w:val="00B44C2B"/>
    <w:rsid w:val="00B54B90"/>
    <w:rsid w:val="00B56D63"/>
    <w:rsid w:val="00B57166"/>
    <w:rsid w:val="00B651B7"/>
    <w:rsid w:val="00B65808"/>
    <w:rsid w:val="00B73B31"/>
    <w:rsid w:val="00B83117"/>
    <w:rsid w:val="00B83C50"/>
    <w:rsid w:val="00B906EE"/>
    <w:rsid w:val="00B913FA"/>
    <w:rsid w:val="00B95810"/>
    <w:rsid w:val="00BA3CAD"/>
    <w:rsid w:val="00BA6449"/>
    <w:rsid w:val="00BA7888"/>
    <w:rsid w:val="00BB02BA"/>
    <w:rsid w:val="00BB30C9"/>
    <w:rsid w:val="00BB3CEA"/>
    <w:rsid w:val="00BB7D0C"/>
    <w:rsid w:val="00BC6656"/>
    <w:rsid w:val="00BD036D"/>
    <w:rsid w:val="00BD0C85"/>
    <w:rsid w:val="00BD3873"/>
    <w:rsid w:val="00BD539C"/>
    <w:rsid w:val="00BD6246"/>
    <w:rsid w:val="00BE00C3"/>
    <w:rsid w:val="00BE0AC2"/>
    <w:rsid w:val="00BE1937"/>
    <w:rsid w:val="00BE20E2"/>
    <w:rsid w:val="00BE37CB"/>
    <w:rsid w:val="00BE6ABC"/>
    <w:rsid w:val="00BE6DE9"/>
    <w:rsid w:val="00BF3571"/>
    <w:rsid w:val="00C02BD6"/>
    <w:rsid w:val="00C030DD"/>
    <w:rsid w:val="00C04061"/>
    <w:rsid w:val="00C045E0"/>
    <w:rsid w:val="00C128D6"/>
    <w:rsid w:val="00C13D70"/>
    <w:rsid w:val="00C157C7"/>
    <w:rsid w:val="00C15F28"/>
    <w:rsid w:val="00C208D3"/>
    <w:rsid w:val="00C212D9"/>
    <w:rsid w:val="00C21CEB"/>
    <w:rsid w:val="00C22D47"/>
    <w:rsid w:val="00C235C5"/>
    <w:rsid w:val="00C242F0"/>
    <w:rsid w:val="00C25368"/>
    <w:rsid w:val="00C263FE"/>
    <w:rsid w:val="00C30F26"/>
    <w:rsid w:val="00C35711"/>
    <w:rsid w:val="00C363BE"/>
    <w:rsid w:val="00C3782A"/>
    <w:rsid w:val="00C44658"/>
    <w:rsid w:val="00C52A67"/>
    <w:rsid w:val="00C61B30"/>
    <w:rsid w:val="00C70036"/>
    <w:rsid w:val="00C74CAB"/>
    <w:rsid w:val="00C8266A"/>
    <w:rsid w:val="00C85B8B"/>
    <w:rsid w:val="00C86FB1"/>
    <w:rsid w:val="00C96931"/>
    <w:rsid w:val="00C96D32"/>
    <w:rsid w:val="00CA681C"/>
    <w:rsid w:val="00CB3AC0"/>
    <w:rsid w:val="00CB41B0"/>
    <w:rsid w:val="00CB68EE"/>
    <w:rsid w:val="00CC0480"/>
    <w:rsid w:val="00CC16A3"/>
    <w:rsid w:val="00CC2D72"/>
    <w:rsid w:val="00CC6E01"/>
    <w:rsid w:val="00CD4176"/>
    <w:rsid w:val="00CD4683"/>
    <w:rsid w:val="00CD61CF"/>
    <w:rsid w:val="00CE01A4"/>
    <w:rsid w:val="00CE32E1"/>
    <w:rsid w:val="00CE50FF"/>
    <w:rsid w:val="00CE6681"/>
    <w:rsid w:val="00CF018E"/>
    <w:rsid w:val="00CF1174"/>
    <w:rsid w:val="00CF39AF"/>
    <w:rsid w:val="00CF3C68"/>
    <w:rsid w:val="00D053FB"/>
    <w:rsid w:val="00D07A33"/>
    <w:rsid w:val="00D1200F"/>
    <w:rsid w:val="00D1364B"/>
    <w:rsid w:val="00D1488E"/>
    <w:rsid w:val="00D215D4"/>
    <w:rsid w:val="00D3306A"/>
    <w:rsid w:val="00D3485E"/>
    <w:rsid w:val="00D37FE0"/>
    <w:rsid w:val="00D64C4A"/>
    <w:rsid w:val="00D66525"/>
    <w:rsid w:val="00D70CC7"/>
    <w:rsid w:val="00D743DA"/>
    <w:rsid w:val="00D77E3F"/>
    <w:rsid w:val="00D83E60"/>
    <w:rsid w:val="00D8486A"/>
    <w:rsid w:val="00D873B2"/>
    <w:rsid w:val="00D95BBC"/>
    <w:rsid w:val="00D97266"/>
    <w:rsid w:val="00DA06BD"/>
    <w:rsid w:val="00DA2B7B"/>
    <w:rsid w:val="00DA30EF"/>
    <w:rsid w:val="00DA634C"/>
    <w:rsid w:val="00DB0036"/>
    <w:rsid w:val="00DB0ABC"/>
    <w:rsid w:val="00DB0D1D"/>
    <w:rsid w:val="00DB3123"/>
    <w:rsid w:val="00DB47BB"/>
    <w:rsid w:val="00DC2EBA"/>
    <w:rsid w:val="00DC4DEB"/>
    <w:rsid w:val="00DD6269"/>
    <w:rsid w:val="00DE28B2"/>
    <w:rsid w:val="00DE38D0"/>
    <w:rsid w:val="00DE3A75"/>
    <w:rsid w:val="00DE3A81"/>
    <w:rsid w:val="00DE4BA6"/>
    <w:rsid w:val="00DF017B"/>
    <w:rsid w:val="00DF2BD6"/>
    <w:rsid w:val="00DF50CF"/>
    <w:rsid w:val="00DF611F"/>
    <w:rsid w:val="00E02FD1"/>
    <w:rsid w:val="00E064B5"/>
    <w:rsid w:val="00E06B4D"/>
    <w:rsid w:val="00E10324"/>
    <w:rsid w:val="00E1261C"/>
    <w:rsid w:val="00E14474"/>
    <w:rsid w:val="00E21358"/>
    <w:rsid w:val="00E22FC9"/>
    <w:rsid w:val="00E254B2"/>
    <w:rsid w:val="00E26FBE"/>
    <w:rsid w:val="00E36279"/>
    <w:rsid w:val="00E406F0"/>
    <w:rsid w:val="00E42B21"/>
    <w:rsid w:val="00E442BA"/>
    <w:rsid w:val="00E472C7"/>
    <w:rsid w:val="00E47A29"/>
    <w:rsid w:val="00E56AD8"/>
    <w:rsid w:val="00E6252D"/>
    <w:rsid w:val="00E76ABA"/>
    <w:rsid w:val="00E8473E"/>
    <w:rsid w:val="00E9114E"/>
    <w:rsid w:val="00E924A4"/>
    <w:rsid w:val="00E9372F"/>
    <w:rsid w:val="00EA55ED"/>
    <w:rsid w:val="00EA7BAD"/>
    <w:rsid w:val="00EA7D09"/>
    <w:rsid w:val="00EB0155"/>
    <w:rsid w:val="00EB24FA"/>
    <w:rsid w:val="00EC26C0"/>
    <w:rsid w:val="00EC41B2"/>
    <w:rsid w:val="00EC5E73"/>
    <w:rsid w:val="00ED5841"/>
    <w:rsid w:val="00ED6505"/>
    <w:rsid w:val="00ED6B9C"/>
    <w:rsid w:val="00EE1C29"/>
    <w:rsid w:val="00EE4021"/>
    <w:rsid w:val="00EE4ADF"/>
    <w:rsid w:val="00EE7D43"/>
    <w:rsid w:val="00EF34A8"/>
    <w:rsid w:val="00EF560E"/>
    <w:rsid w:val="00EF6546"/>
    <w:rsid w:val="00EF78C4"/>
    <w:rsid w:val="00EF7FAE"/>
    <w:rsid w:val="00F010E8"/>
    <w:rsid w:val="00F11BAE"/>
    <w:rsid w:val="00F22411"/>
    <w:rsid w:val="00F25762"/>
    <w:rsid w:val="00F26031"/>
    <w:rsid w:val="00F26CED"/>
    <w:rsid w:val="00F30996"/>
    <w:rsid w:val="00F3231B"/>
    <w:rsid w:val="00F3615D"/>
    <w:rsid w:val="00F445F0"/>
    <w:rsid w:val="00F44CF4"/>
    <w:rsid w:val="00F52E05"/>
    <w:rsid w:val="00F542EE"/>
    <w:rsid w:val="00F5442C"/>
    <w:rsid w:val="00F60299"/>
    <w:rsid w:val="00F60D95"/>
    <w:rsid w:val="00F62931"/>
    <w:rsid w:val="00F63650"/>
    <w:rsid w:val="00F66D76"/>
    <w:rsid w:val="00F671BF"/>
    <w:rsid w:val="00F67F54"/>
    <w:rsid w:val="00F71335"/>
    <w:rsid w:val="00F73899"/>
    <w:rsid w:val="00F81F38"/>
    <w:rsid w:val="00F852A5"/>
    <w:rsid w:val="00F87AF0"/>
    <w:rsid w:val="00F9144D"/>
    <w:rsid w:val="00FA1273"/>
    <w:rsid w:val="00FA1747"/>
    <w:rsid w:val="00FA193E"/>
    <w:rsid w:val="00FA2746"/>
    <w:rsid w:val="00FA3FE5"/>
    <w:rsid w:val="00FB2CEA"/>
    <w:rsid w:val="00FB370D"/>
    <w:rsid w:val="00FB5E34"/>
    <w:rsid w:val="00FC00AF"/>
    <w:rsid w:val="00FC4066"/>
    <w:rsid w:val="00FD2545"/>
    <w:rsid w:val="00FD441D"/>
    <w:rsid w:val="00FD62C0"/>
    <w:rsid w:val="00FE10B1"/>
    <w:rsid w:val="00FE3D6D"/>
    <w:rsid w:val="00FE3E2A"/>
    <w:rsid w:val="00FE607D"/>
    <w:rsid w:val="00FE65A2"/>
    <w:rsid w:val="00FF04BB"/>
    <w:rsid w:val="00FF118F"/>
    <w:rsid w:val="00FF33B4"/>
    <w:rsid w:val="00FF54E2"/>
    <w:rsid w:val="00FF6D76"/>
    <w:rsid w:val="00FF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8EE13B"/>
  <w15:chartTrackingRefBased/>
  <w15:docId w15:val="{B6484583-578C-498F-8C15-0B7E6DAF7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1C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1C2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1C29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06CB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8D6406"/>
    <w:pPr>
      <w:spacing w:after="0" w:line="240" w:lineRule="auto"/>
    </w:pPr>
  </w:style>
  <w:style w:type="table" w:customStyle="1" w:styleId="TableNormal1">
    <w:name w:val="Table Normal1"/>
    <w:rsid w:val="00EE1C2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nl-N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E1C2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E1C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E1C2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355246"/>
  </w:style>
  <w:style w:type="character" w:styleId="CommentReference">
    <w:name w:val="annotation reference"/>
    <w:basedOn w:val="DefaultParagraphFont"/>
    <w:uiPriority w:val="99"/>
    <w:semiHidden/>
    <w:unhideWhenUsed/>
    <w:rsid w:val="007E46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E46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46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6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60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4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60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07D98"/>
    <w:pPr>
      <w:ind w:left="720"/>
      <w:contextualSpacing/>
    </w:pPr>
  </w:style>
  <w:style w:type="paragraph" w:styleId="Revision">
    <w:name w:val="Revision"/>
    <w:hidden/>
    <w:uiPriority w:val="99"/>
    <w:semiHidden/>
    <w:rsid w:val="007015A9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306CB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F73899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E093B"/>
    <w:rPr>
      <w:i/>
      <w:iCs/>
    </w:rPr>
  </w:style>
  <w:style w:type="paragraph" w:customStyle="1" w:styleId="MDPI16affiliation">
    <w:name w:val="MDPI_1.6_affiliation"/>
    <w:qFormat/>
    <w:rsid w:val="00DE28B2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table" w:styleId="TableGrid">
    <w:name w:val="Table Grid"/>
    <w:basedOn w:val="TableNormal"/>
    <w:uiPriority w:val="59"/>
    <w:rsid w:val="00634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3F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FE5"/>
  </w:style>
  <w:style w:type="paragraph" w:styleId="Footer">
    <w:name w:val="footer"/>
    <w:basedOn w:val="Normal"/>
    <w:link w:val="FooterChar"/>
    <w:uiPriority w:val="99"/>
    <w:unhideWhenUsed/>
    <w:rsid w:val="00FA3F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3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9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5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7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1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2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86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7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9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24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4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3D1CC-4983-409B-AA5B-877B428F8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Bognar-2, T. (Tim)</dc:creator>
  <cp:keywords/>
  <dc:description/>
  <cp:lastModifiedBy>Trupti Sudge</cp:lastModifiedBy>
  <cp:revision>2</cp:revision>
  <cp:lastPrinted>2023-01-13T13:35:00Z</cp:lastPrinted>
  <dcterms:created xsi:type="dcterms:W3CDTF">2023-01-30T12:07:00Z</dcterms:created>
  <dcterms:modified xsi:type="dcterms:W3CDTF">2023-01-30T12:07:00Z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5ba294a7-137b-396e-aad5-ff269e8d38ed</vt:lpwstr>
  </property>
  <property fmtid="{D5CDD505-2E9C-101B-9397-08002B2CF9AE}" pid="24" name="Mendeley Citation Style_1">
    <vt:lpwstr>http://www.zotero.org/styles/vancouver</vt:lpwstr>
  </property>
</Properties>
</file>