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C979FB" w14:textId="77777777" w:rsidR="00526663" w:rsidRDefault="00526663"/>
    <w:p w14:paraId="3C5DE9FC" w14:textId="5524BDE2" w:rsidR="00526663" w:rsidRPr="00C415BA" w:rsidRDefault="00526663" w:rsidP="00526663">
      <w:pPr>
        <w:snapToGrid w:val="0"/>
        <w:spacing w:after="0" w:line="480" w:lineRule="auto"/>
        <w:jc w:val="both"/>
        <w:rPr>
          <w:rFonts w:ascii="Times New Roman" w:hAnsi="Times New Roman" w:cs="Times New Roman"/>
          <w:b/>
          <w:bCs/>
          <w:sz w:val="32"/>
          <w:szCs w:val="32"/>
        </w:rPr>
      </w:pPr>
      <w:bookmarkStart w:id="0" w:name="_Hlk63503224"/>
      <w:r w:rsidRPr="00C415BA">
        <w:rPr>
          <w:rFonts w:ascii="Times New Roman" w:hAnsi="Times New Roman" w:cs="Times New Roman"/>
          <w:b/>
          <w:bCs/>
          <w:sz w:val="32"/>
          <w:szCs w:val="32"/>
        </w:rPr>
        <w:t xml:space="preserve">Effects of low occlusal loading on the neuromuscular </w:t>
      </w:r>
      <w:proofErr w:type="spellStart"/>
      <w:r w:rsidRPr="00C415BA">
        <w:rPr>
          <w:rFonts w:ascii="Times New Roman" w:hAnsi="Times New Roman" w:cs="Times New Roman"/>
          <w:b/>
          <w:bCs/>
          <w:sz w:val="32"/>
          <w:szCs w:val="32"/>
        </w:rPr>
        <w:t>behavioral</w:t>
      </w:r>
      <w:proofErr w:type="spellEnd"/>
      <w:r w:rsidRPr="00C415BA">
        <w:rPr>
          <w:rFonts w:ascii="Times New Roman" w:hAnsi="Times New Roman" w:cs="Times New Roman"/>
          <w:b/>
          <w:bCs/>
          <w:sz w:val="32"/>
          <w:szCs w:val="32"/>
        </w:rPr>
        <w:t xml:space="preserve"> development of cortically-elicited jaw movements in growing rats</w:t>
      </w:r>
    </w:p>
    <w:bookmarkEnd w:id="0"/>
    <w:p w14:paraId="79E638F1" w14:textId="77777777" w:rsidR="00526663" w:rsidRPr="00C415BA" w:rsidRDefault="00526663" w:rsidP="00526663">
      <w:pPr>
        <w:pStyle w:val="AuthorList"/>
        <w:snapToGrid w:val="0"/>
        <w:spacing w:before="0" w:after="0" w:line="480" w:lineRule="auto"/>
        <w:jc w:val="both"/>
      </w:pPr>
    </w:p>
    <w:p w14:paraId="102371EF" w14:textId="77777777" w:rsidR="00526663" w:rsidRPr="00C415BA" w:rsidRDefault="00526663" w:rsidP="00526663">
      <w:pPr>
        <w:pStyle w:val="AuthorList"/>
        <w:tabs>
          <w:tab w:val="left" w:pos="7088"/>
        </w:tabs>
        <w:snapToGrid w:val="0"/>
        <w:spacing w:before="0" w:after="0" w:line="480" w:lineRule="auto"/>
        <w:jc w:val="both"/>
        <w:rPr>
          <w:b w:val="0"/>
          <w:bCs/>
        </w:rPr>
      </w:pPr>
      <w:r w:rsidRPr="00C415BA">
        <w:rPr>
          <w:b w:val="0"/>
          <w:bCs/>
        </w:rPr>
        <w:t xml:space="preserve">Phyo </w:t>
      </w:r>
      <w:proofErr w:type="spellStart"/>
      <w:r w:rsidRPr="00C415BA">
        <w:rPr>
          <w:b w:val="0"/>
          <w:bCs/>
        </w:rPr>
        <w:t>Thura</w:t>
      </w:r>
      <w:proofErr w:type="spellEnd"/>
      <w:r w:rsidRPr="00C415BA">
        <w:rPr>
          <w:b w:val="0"/>
          <w:bCs/>
        </w:rPr>
        <w:t xml:space="preserve"> </w:t>
      </w:r>
      <w:proofErr w:type="spellStart"/>
      <w:r w:rsidRPr="00C415BA">
        <w:rPr>
          <w:b w:val="0"/>
          <w:bCs/>
        </w:rPr>
        <w:t>Aung</w:t>
      </w:r>
      <w:r w:rsidRPr="00C415BA">
        <w:rPr>
          <w:b w:val="0"/>
          <w:bCs/>
          <w:vertAlign w:val="superscript"/>
        </w:rPr>
        <w:t>a</w:t>
      </w:r>
      <w:proofErr w:type="spellEnd"/>
      <w:r w:rsidRPr="00C415BA">
        <w:rPr>
          <w:b w:val="0"/>
          <w:bCs/>
        </w:rPr>
        <w:t xml:space="preserve">, </w:t>
      </w:r>
      <w:proofErr w:type="spellStart"/>
      <w:r w:rsidRPr="00C415BA">
        <w:rPr>
          <w:b w:val="0"/>
          <w:bCs/>
        </w:rPr>
        <w:t>Chiho</w:t>
      </w:r>
      <w:proofErr w:type="spellEnd"/>
      <w:r w:rsidRPr="00C415BA">
        <w:rPr>
          <w:b w:val="0"/>
          <w:bCs/>
        </w:rPr>
        <w:t xml:space="preserve"> Kato</w:t>
      </w:r>
      <w:r w:rsidRPr="00C415BA">
        <w:rPr>
          <w:b w:val="0"/>
          <w:bCs/>
          <w:vertAlign w:val="superscript"/>
        </w:rPr>
        <w:t>a</w:t>
      </w:r>
      <w:r w:rsidRPr="00C415BA">
        <w:rPr>
          <w:b w:val="0"/>
          <w:bCs/>
        </w:rPr>
        <w:t xml:space="preserve">*, Akiyo </w:t>
      </w:r>
      <w:proofErr w:type="spellStart"/>
      <w:r w:rsidRPr="00C415BA">
        <w:rPr>
          <w:b w:val="0"/>
          <w:bCs/>
        </w:rPr>
        <w:t>Fujita</w:t>
      </w:r>
      <w:r w:rsidRPr="00C415BA">
        <w:rPr>
          <w:b w:val="0"/>
          <w:bCs/>
          <w:vertAlign w:val="superscript"/>
        </w:rPr>
        <w:t>a</w:t>
      </w:r>
      <w:proofErr w:type="spellEnd"/>
      <w:r w:rsidRPr="00C415BA">
        <w:rPr>
          <w:b w:val="0"/>
          <w:bCs/>
        </w:rPr>
        <w:t xml:space="preserve">, </w:t>
      </w:r>
      <w:proofErr w:type="spellStart"/>
      <w:r w:rsidRPr="00C415BA">
        <w:rPr>
          <w:b w:val="0"/>
          <w:bCs/>
        </w:rPr>
        <w:t>Yasunori</w:t>
      </w:r>
      <w:proofErr w:type="spellEnd"/>
      <w:r w:rsidRPr="00C415BA">
        <w:rPr>
          <w:b w:val="0"/>
          <w:bCs/>
        </w:rPr>
        <w:t xml:space="preserve"> </w:t>
      </w:r>
      <w:proofErr w:type="spellStart"/>
      <w:r w:rsidRPr="00C415BA">
        <w:rPr>
          <w:b w:val="0"/>
          <w:bCs/>
        </w:rPr>
        <w:t>Abe</w:t>
      </w:r>
      <w:r w:rsidRPr="00C415BA">
        <w:rPr>
          <w:b w:val="0"/>
          <w:bCs/>
          <w:vertAlign w:val="superscript"/>
        </w:rPr>
        <w:t>a</w:t>
      </w:r>
      <w:proofErr w:type="spellEnd"/>
      <w:r w:rsidRPr="00C415BA">
        <w:rPr>
          <w:b w:val="0"/>
          <w:bCs/>
        </w:rPr>
        <w:t xml:space="preserve">, Takuya </w:t>
      </w:r>
      <w:proofErr w:type="spellStart"/>
      <w:r w:rsidRPr="00C415BA">
        <w:rPr>
          <w:b w:val="0"/>
          <w:bCs/>
        </w:rPr>
        <w:t>Ogawa</w:t>
      </w:r>
      <w:r w:rsidRPr="00C415BA">
        <w:rPr>
          <w:b w:val="0"/>
          <w:bCs/>
          <w:vertAlign w:val="superscript"/>
        </w:rPr>
        <w:t>a</w:t>
      </w:r>
      <w:proofErr w:type="spellEnd"/>
      <w:r w:rsidRPr="00C415BA">
        <w:rPr>
          <w:b w:val="0"/>
          <w:bCs/>
        </w:rPr>
        <w:t xml:space="preserve">, </w:t>
      </w:r>
    </w:p>
    <w:p w14:paraId="3AD6A562" w14:textId="77777777" w:rsidR="00526663" w:rsidRPr="00C415BA" w:rsidRDefault="00526663" w:rsidP="00526663">
      <w:pPr>
        <w:pStyle w:val="AuthorList"/>
        <w:tabs>
          <w:tab w:val="left" w:pos="7088"/>
        </w:tabs>
        <w:snapToGrid w:val="0"/>
        <w:spacing w:before="0" w:after="0" w:line="480" w:lineRule="auto"/>
        <w:jc w:val="both"/>
        <w:rPr>
          <w:b w:val="0"/>
          <w:bCs/>
          <w:vertAlign w:val="superscript"/>
        </w:rPr>
      </w:pPr>
      <w:r w:rsidRPr="00C415BA">
        <w:rPr>
          <w:b w:val="0"/>
          <w:bCs/>
        </w:rPr>
        <w:t xml:space="preserve">Hideyuki </w:t>
      </w:r>
      <w:proofErr w:type="spellStart"/>
      <w:r w:rsidRPr="00C415BA">
        <w:rPr>
          <w:b w:val="0"/>
          <w:bCs/>
        </w:rPr>
        <w:t>Ishidori</w:t>
      </w:r>
      <w:r w:rsidRPr="00C415BA">
        <w:rPr>
          <w:b w:val="0"/>
          <w:bCs/>
          <w:vertAlign w:val="superscript"/>
        </w:rPr>
        <w:t>a</w:t>
      </w:r>
      <w:proofErr w:type="spellEnd"/>
      <w:r w:rsidRPr="00C415BA">
        <w:rPr>
          <w:b w:val="0"/>
          <w:bCs/>
        </w:rPr>
        <w:t xml:space="preserve">, </w:t>
      </w:r>
      <w:proofErr w:type="spellStart"/>
      <w:r w:rsidRPr="00C415BA">
        <w:rPr>
          <w:b w:val="0"/>
          <w:bCs/>
        </w:rPr>
        <w:t>Hidemasa</w:t>
      </w:r>
      <w:proofErr w:type="spellEnd"/>
      <w:r w:rsidRPr="00C415BA">
        <w:rPr>
          <w:b w:val="0"/>
          <w:bCs/>
        </w:rPr>
        <w:t xml:space="preserve"> </w:t>
      </w:r>
      <w:proofErr w:type="spellStart"/>
      <w:r w:rsidRPr="00C415BA">
        <w:rPr>
          <w:b w:val="0"/>
          <w:bCs/>
        </w:rPr>
        <w:t>Okihara</w:t>
      </w:r>
      <w:r w:rsidRPr="00C415BA">
        <w:rPr>
          <w:b w:val="0"/>
          <w:bCs/>
          <w:vertAlign w:val="superscript"/>
        </w:rPr>
        <w:t>a</w:t>
      </w:r>
      <w:proofErr w:type="spellEnd"/>
      <w:r w:rsidRPr="00C415BA">
        <w:rPr>
          <w:b w:val="0"/>
          <w:bCs/>
        </w:rPr>
        <w:t xml:space="preserve">, Satoshi </w:t>
      </w:r>
      <w:proofErr w:type="spellStart"/>
      <w:r w:rsidRPr="00C415BA">
        <w:rPr>
          <w:b w:val="0"/>
          <w:bCs/>
        </w:rPr>
        <w:t>Kokai</w:t>
      </w:r>
      <w:r w:rsidRPr="00C415BA">
        <w:rPr>
          <w:b w:val="0"/>
          <w:bCs/>
          <w:vertAlign w:val="superscript"/>
        </w:rPr>
        <w:t>a</w:t>
      </w:r>
      <w:proofErr w:type="spellEnd"/>
      <w:r w:rsidRPr="00C415BA">
        <w:rPr>
          <w:b w:val="0"/>
          <w:bCs/>
        </w:rPr>
        <w:t xml:space="preserve">, Takashi </w:t>
      </w:r>
      <w:proofErr w:type="spellStart"/>
      <w:r w:rsidRPr="00C415BA">
        <w:rPr>
          <w:b w:val="0"/>
          <w:bCs/>
        </w:rPr>
        <w:t>Ono</w:t>
      </w:r>
      <w:r w:rsidRPr="00C415BA">
        <w:rPr>
          <w:b w:val="0"/>
          <w:bCs/>
          <w:vertAlign w:val="superscript"/>
        </w:rPr>
        <w:t>a</w:t>
      </w:r>
      <w:proofErr w:type="spellEnd"/>
    </w:p>
    <w:p w14:paraId="579365FC" w14:textId="77777777" w:rsidR="00526663" w:rsidRPr="00C415BA" w:rsidRDefault="00526663" w:rsidP="00526663">
      <w:pPr>
        <w:snapToGrid w:val="0"/>
        <w:spacing w:after="0" w:line="480" w:lineRule="auto"/>
        <w:jc w:val="both"/>
        <w:rPr>
          <w:rFonts w:ascii="Times New Roman" w:hAnsi="Times New Roman" w:cs="Times New Roman"/>
          <w:sz w:val="24"/>
          <w:szCs w:val="24"/>
          <w:vertAlign w:val="superscript"/>
        </w:rPr>
      </w:pPr>
      <w:bookmarkStart w:id="1" w:name="_Hlk17465825"/>
    </w:p>
    <w:p w14:paraId="4CBC5607" w14:textId="77777777" w:rsidR="00526663" w:rsidRPr="00C415BA" w:rsidRDefault="00526663" w:rsidP="00526663">
      <w:pPr>
        <w:snapToGrid w:val="0"/>
        <w:spacing w:after="0" w:line="480" w:lineRule="auto"/>
        <w:jc w:val="both"/>
        <w:rPr>
          <w:rFonts w:ascii="Times New Roman" w:hAnsi="Times New Roman" w:cs="Times New Roman"/>
          <w:sz w:val="24"/>
          <w:szCs w:val="24"/>
        </w:rPr>
      </w:pPr>
      <w:proofErr w:type="spellStart"/>
      <w:r w:rsidRPr="00C415BA">
        <w:rPr>
          <w:rFonts w:ascii="Times New Roman" w:hAnsi="Times New Roman" w:cs="Times New Roman"/>
          <w:sz w:val="24"/>
          <w:szCs w:val="24"/>
          <w:vertAlign w:val="superscript"/>
        </w:rPr>
        <w:t>a</w:t>
      </w:r>
      <w:r w:rsidRPr="00C415BA">
        <w:rPr>
          <w:rFonts w:ascii="Times New Roman" w:hAnsi="Times New Roman" w:cs="Times New Roman"/>
          <w:sz w:val="24"/>
          <w:szCs w:val="24"/>
        </w:rPr>
        <w:t>Department</w:t>
      </w:r>
      <w:proofErr w:type="spellEnd"/>
      <w:r w:rsidRPr="00C415BA">
        <w:rPr>
          <w:rFonts w:ascii="Times New Roman" w:hAnsi="Times New Roman" w:cs="Times New Roman"/>
          <w:sz w:val="24"/>
          <w:szCs w:val="24"/>
        </w:rPr>
        <w:t xml:space="preserve"> of Orthodontic Science, Graduate School of Medical and Dental Sciences, Tokyo Medical and Dental University (TMDU), Tokyo, Japan</w:t>
      </w:r>
      <w:bookmarkEnd w:id="1"/>
    </w:p>
    <w:p w14:paraId="703D3071" w14:textId="77777777" w:rsidR="00526663" w:rsidRPr="00C415BA" w:rsidRDefault="00526663" w:rsidP="00526663">
      <w:pPr>
        <w:snapToGrid w:val="0"/>
        <w:spacing w:after="0" w:line="480" w:lineRule="auto"/>
        <w:jc w:val="both"/>
        <w:rPr>
          <w:rFonts w:ascii="Times New Roman" w:hAnsi="Times New Roman" w:cs="Times New Roman"/>
          <w:b/>
          <w:sz w:val="24"/>
          <w:szCs w:val="24"/>
        </w:rPr>
      </w:pPr>
    </w:p>
    <w:p w14:paraId="76786073" w14:textId="77777777" w:rsidR="00526663" w:rsidRPr="00C415BA" w:rsidRDefault="00526663" w:rsidP="00526663">
      <w:pPr>
        <w:snapToGrid w:val="0"/>
        <w:spacing w:after="0" w:line="480" w:lineRule="auto"/>
        <w:jc w:val="both"/>
        <w:rPr>
          <w:rFonts w:ascii="Times New Roman" w:hAnsi="Times New Roman" w:cs="Times New Roman"/>
          <w:b/>
          <w:sz w:val="24"/>
          <w:szCs w:val="24"/>
        </w:rPr>
      </w:pPr>
      <w:r w:rsidRPr="00C415BA">
        <w:rPr>
          <w:rFonts w:ascii="Times New Roman" w:hAnsi="Times New Roman" w:cs="Times New Roman"/>
          <w:b/>
          <w:sz w:val="24"/>
          <w:szCs w:val="24"/>
        </w:rPr>
        <w:t>*Correspond</w:t>
      </w:r>
      <w:r>
        <w:rPr>
          <w:rFonts w:ascii="Times New Roman" w:hAnsi="Times New Roman" w:cs="Times New Roman"/>
          <w:b/>
          <w:sz w:val="24"/>
          <w:szCs w:val="24"/>
        </w:rPr>
        <w:t>ing author</w:t>
      </w:r>
      <w:r w:rsidRPr="00C415BA">
        <w:rPr>
          <w:rFonts w:ascii="Times New Roman" w:hAnsi="Times New Roman" w:cs="Times New Roman"/>
          <w:b/>
          <w:sz w:val="24"/>
          <w:szCs w:val="24"/>
        </w:rPr>
        <w:t xml:space="preserve"> </w:t>
      </w:r>
    </w:p>
    <w:p w14:paraId="0319104B" w14:textId="77777777" w:rsidR="00526663" w:rsidRPr="00C415BA" w:rsidRDefault="00526663" w:rsidP="00526663">
      <w:pPr>
        <w:snapToGrid w:val="0"/>
        <w:spacing w:after="0" w:line="480" w:lineRule="auto"/>
        <w:jc w:val="both"/>
        <w:rPr>
          <w:rFonts w:ascii="Times New Roman" w:hAnsi="Times New Roman" w:cs="Times New Roman"/>
          <w:sz w:val="24"/>
          <w:szCs w:val="24"/>
        </w:rPr>
      </w:pPr>
      <w:proofErr w:type="spellStart"/>
      <w:r w:rsidRPr="00C415BA">
        <w:rPr>
          <w:rFonts w:ascii="Times New Roman" w:hAnsi="Times New Roman" w:cs="Times New Roman"/>
          <w:sz w:val="24"/>
          <w:szCs w:val="24"/>
        </w:rPr>
        <w:t>Chiho</w:t>
      </w:r>
      <w:proofErr w:type="spellEnd"/>
      <w:r w:rsidRPr="00C415BA">
        <w:rPr>
          <w:rFonts w:ascii="Times New Roman" w:hAnsi="Times New Roman" w:cs="Times New Roman"/>
          <w:sz w:val="24"/>
          <w:szCs w:val="24"/>
        </w:rPr>
        <w:t xml:space="preserve"> Kato, D.D.S., Ph.D.</w:t>
      </w:r>
    </w:p>
    <w:p w14:paraId="7392D21A" w14:textId="77777777" w:rsidR="00526663" w:rsidRPr="00C415BA" w:rsidRDefault="00526663" w:rsidP="00526663">
      <w:pPr>
        <w:jc w:val="both"/>
        <w:rPr>
          <w:rFonts w:ascii="Times New Roman" w:hAnsi="Times New Roman" w:cs="Times New Roman"/>
          <w:sz w:val="24"/>
          <w:szCs w:val="24"/>
        </w:rPr>
      </w:pPr>
      <w:r w:rsidRPr="00C415BA">
        <w:rPr>
          <w:rFonts w:ascii="Times New Roman" w:hAnsi="Times New Roman" w:cs="Times New Roman"/>
          <w:sz w:val="24"/>
          <w:szCs w:val="24"/>
        </w:rPr>
        <w:t xml:space="preserve">1-5-45 </w:t>
      </w:r>
      <w:proofErr w:type="spellStart"/>
      <w:r w:rsidRPr="00C415BA">
        <w:rPr>
          <w:rFonts w:ascii="Times New Roman" w:hAnsi="Times New Roman" w:cs="Times New Roman"/>
          <w:sz w:val="24"/>
          <w:szCs w:val="24"/>
        </w:rPr>
        <w:t>Yushima</w:t>
      </w:r>
      <w:proofErr w:type="spellEnd"/>
      <w:r w:rsidRPr="00C415BA">
        <w:rPr>
          <w:rFonts w:ascii="Times New Roman" w:hAnsi="Times New Roman" w:cs="Times New Roman"/>
          <w:sz w:val="24"/>
          <w:szCs w:val="24"/>
        </w:rPr>
        <w:t xml:space="preserve"> Bunkyo-</w:t>
      </w:r>
      <w:proofErr w:type="spellStart"/>
      <w:r w:rsidRPr="00C415BA">
        <w:rPr>
          <w:rFonts w:ascii="Times New Roman" w:hAnsi="Times New Roman" w:cs="Times New Roman"/>
          <w:sz w:val="24"/>
          <w:szCs w:val="24"/>
        </w:rPr>
        <w:t>ku</w:t>
      </w:r>
      <w:proofErr w:type="spellEnd"/>
      <w:r w:rsidRPr="00C415BA">
        <w:rPr>
          <w:rFonts w:ascii="Times New Roman" w:hAnsi="Times New Roman" w:cs="Times New Roman"/>
          <w:sz w:val="24"/>
          <w:szCs w:val="24"/>
        </w:rPr>
        <w:t>, Tokyo 113-8549, Japan</w:t>
      </w:r>
    </w:p>
    <w:p w14:paraId="62932CE0" w14:textId="77777777" w:rsidR="00526663" w:rsidRPr="00C415BA" w:rsidRDefault="00526663" w:rsidP="00526663">
      <w:pPr>
        <w:jc w:val="both"/>
        <w:rPr>
          <w:rFonts w:ascii="Times New Roman" w:hAnsi="Times New Roman" w:cs="Times New Roman"/>
          <w:sz w:val="24"/>
          <w:szCs w:val="24"/>
        </w:rPr>
      </w:pPr>
      <w:r w:rsidRPr="00C415BA">
        <w:rPr>
          <w:rFonts w:ascii="Times New Roman" w:hAnsi="Times New Roman" w:cs="Times New Roman"/>
          <w:sz w:val="24"/>
          <w:szCs w:val="24"/>
        </w:rPr>
        <w:t>TEL/FAX: +03-5803-5530</w:t>
      </w:r>
    </w:p>
    <w:p w14:paraId="432D80D7" w14:textId="77777777" w:rsidR="00526663" w:rsidRPr="00C415BA" w:rsidRDefault="001547CE" w:rsidP="00526663">
      <w:pPr>
        <w:snapToGrid w:val="0"/>
        <w:spacing w:after="0" w:line="480" w:lineRule="auto"/>
        <w:jc w:val="both"/>
        <w:rPr>
          <w:rStyle w:val="Hyperlink"/>
          <w:rFonts w:ascii="Times New Roman" w:hAnsi="Times New Roman" w:cs="Times New Roman"/>
          <w:sz w:val="24"/>
          <w:szCs w:val="24"/>
        </w:rPr>
      </w:pPr>
      <w:hyperlink r:id="rId7" w:history="1">
        <w:r w:rsidR="00526663" w:rsidRPr="00C415BA">
          <w:rPr>
            <w:rStyle w:val="Hyperlink"/>
            <w:rFonts w:ascii="Times New Roman" w:hAnsi="Times New Roman" w:cs="Times New Roman"/>
            <w:sz w:val="24"/>
            <w:szCs w:val="24"/>
          </w:rPr>
          <w:t>katorts@tmd.ac.jp</w:t>
        </w:r>
      </w:hyperlink>
    </w:p>
    <w:p w14:paraId="13C99753" w14:textId="77777777" w:rsidR="00526663" w:rsidRDefault="00526663">
      <w:pPr>
        <w:rPr>
          <w:rFonts w:ascii="Times New Roman" w:hAnsi="Times New Roman" w:cs="Times New Roman"/>
          <w:sz w:val="24"/>
          <w:szCs w:val="24"/>
        </w:rPr>
      </w:pPr>
    </w:p>
    <w:p w14:paraId="3B8A1948" w14:textId="104074B2" w:rsidR="00526663" w:rsidRPr="00526663" w:rsidRDefault="00526663">
      <w:pPr>
        <w:rPr>
          <w:rFonts w:ascii="Times New Roman" w:hAnsi="Times New Roman" w:cs="Times New Roman"/>
          <w:sz w:val="24"/>
          <w:szCs w:val="24"/>
        </w:rPr>
      </w:pPr>
      <w:r w:rsidRPr="00526663">
        <w:rPr>
          <w:rFonts w:ascii="Times New Roman" w:hAnsi="Times New Roman" w:cs="Times New Roman"/>
          <w:sz w:val="24"/>
          <w:szCs w:val="24"/>
        </w:rPr>
        <w:t>This file includes: Supplementary figure 1-3, Supplementary table 1</w:t>
      </w:r>
      <w:r>
        <w:rPr>
          <w:rFonts w:ascii="Times New Roman" w:hAnsi="Times New Roman" w:cs="Times New Roman"/>
          <w:sz w:val="24"/>
          <w:szCs w:val="24"/>
        </w:rPr>
        <w:t>.</w:t>
      </w:r>
    </w:p>
    <w:p w14:paraId="5A278F99" w14:textId="4A9663F0" w:rsidR="003368A8" w:rsidRDefault="00CC21B7">
      <w:r>
        <w:rPr>
          <w:noProof/>
        </w:rPr>
        <w:lastRenderedPageBreak/>
        <w:drawing>
          <wp:inline distT="0" distB="0" distL="0" distR="0" wp14:anchorId="7998B756" wp14:editId="133B4FDF">
            <wp:extent cx="5972810" cy="3819114"/>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83656" cy="3826049"/>
                    </a:xfrm>
                    <a:prstGeom prst="rect">
                      <a:avLst/>
                    </a:prstGeom>
                    <a:noFill/>
                  </pic:spPr>
                </pic:pic>
              </a:graphicData>
            </a:graphic>
          </wp:inline>
        </w:drawing>
      </w:r>
    </w:p>
    <w:p w14:paraId="1B97AE59" w14:textId="77777777" w:rsidR="00B3360D" w:rsidRDefault="00B3360D" w:rsidP="00526663">
      <w:pPr>
        <w:spacing w:after="0" w:line="360" w:lineRule="auto"/>
        <w:jc w:val="both"/>
        <w:rPr>
          <w:rFonts w:ascii="Times New Roman" w:hAnsi="Times New Roman" w:cs="Times New Roman"/>
          <w:b/>
          <w:bCs/>
          <w:sz w:val="24"/>
          <w:szCs w:val="24"/>
        </w:rPr>
      </w:pPr>
      <w:bookmarkStart w:id="2" w:name="_Ref56847221"/>
    </w:p>
    <w:p w14:paraId="6463CCB9" w14:textId="58ADB8CE" w:rsidR="00526663" w:rsidRPr="00C415BA" w:rsidRDefault="00526663" w:rsidP="00526663">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w:t>
      </w:r>
      <w:r w:rsidRPr="00C415BA">
        <w:rPr>
          <w:rFonts w:ascii="Times New Roman" w:hAnsi="Times New Roman" w:cs="Times New Roman"/>
          <w:b/>
          <w:bCs/>
          <w:sz w:val="24"/>
          <w:szCs w:val="24"/>
        </w:rPr>
        <w:t xml:space="preserve">Figure </w:t>
      </w:r>
      <w:r w:rsidRPr="00C415BA">
        <w:rPr>
          <w:rFonts w:ascii="Times New Roman" w:hAnsi="Times New Roman" w:cs="Times New Roman"/>
          <w:b/>
          <w:bCs/>
          <w:sz w:val="24"/>
          <w:szCs w:val="24"/>
        </w:rPr>
        <w:fldChar w:fldCharType="begin"/>
      </w:r>
      <w:r w:rsidRPr="00C415BA">
        <w:rPr>
          <w:rFonts w:ascii="Times New Roman" w:hAnsi="Times New Roman" w:cs="Times New Roman"/>
          <w:b/>
          <w:bCs/>
          <w:sz w:val="24"/>
          <w:szCs w:val="24"/>
        </w:rPr>
        <w:instrText xml:space="preserve"> SEQ Figure \* ARABIC </w:instrText>
      </w:r>
      <w:r w:rsidRPr="00C415BA">
        <w:rPr>
          <w:rFonts w:ascii="Times New Roman" w:hAnsi="Times New Roman" w:cs="Times New Roman"/>
          <w:b/>
          <w:bCs/>
          <w:sz w:val="24"/>
          <w:szCs w:val="24"/>
        </w:rPr>
        <w:fldChar w:fldCharType="separate"/>
      </w:r>
      <w:r w:rsidRPr="00C415BA">
        <w:rPr>
          <w:rFonts w:ascii="Times New Roman" w:hAnsi="Times New Roman" w:cs="Times New Roman"/>
          <w:b/>
          <w:bCs/>
          <w:sz w:val="24"/>
          <w:szCs w:val="24"/>
        </w:rPr>
        <w:t>1</w:t>
      </w:r>
      <w:r w:rsidRPr="00C415BA">
        <w:rPr>
          <w:rFonts w:ascii="Times New Roman" w:hAnsi="Times New Roman" w:cs="Times New Roman"/>
          <w:b/>
          <w:bCs/>
          <w:sz w:val="24"/>
          <w:szCs w:val="24"/>
        </w:rPr>
        <w:fldChar w:fldCharType="end"/>
      </w:r>
      <w:bookmarkEnd w:id="2"/>
      <w:r w:rsidRPr="00C415BA">
        <w:rPr>
          <w:rFonts w:ascii="Times New Roman" w:hAnsi="Times New Roman" w:cs="Times New Roman"/>
          <w:sz w:val="24"/>
          <w:szCs w:val="24"/>
        </w:rPr>
        <w:t xml:space="preserve">. </w:t>
      </w:r>
      <w:r w:rsidRPr="00C415BA">
        <w:rPr>
          <w:rFonts w:ascii="Times New Roman" w:hAnsi="Times New Roman" w:cs="Times New Roman"/>
          <w:b/>
          <w:sz w:val="24"/>
          <w:szCs w:val="24"/>
        </w:rPr>
        <w:t xml:space="preserve">Typical example of rectified electromyographic (EMG) activity and details </w:t>
      </w:r>
      <w:r>
        <w:rPr>
          <w:rFonts w:ascii="Times New Roman" w:hAnsi="Times New Roman" w:cs="Times New Roman"/>
          <w:b/>
          <w:sz w:val="24"/>
          <w:szCs w:val="24"/>
        </w:rPr>
        <w:t>of the</w:t>
      </w:r>
      <w:r w:rsidRPr="00C415BA">
        <w:rPr>
          <w:rFonts w:ascii="Times New Roman" w:hAnsi="Times New Roman" w:cs="Times New Roman"/>
          <w:b/>
          <w:sz w:val="24"/>
          <w:szCs w:val="24"/>
        </w:rPr>
        <w:t xml:space="preserve"> quantification of individual bursts.</w:t>
      </w:r>
      <w:r w:rsidRPr="00C415BA">
        <w:rPr>
          <w:rFonts w:ascii="Times New Roman" w:hAnsi="Times New Roman" w:cs="Times New Roman"/>
          <w:sz w:val="24"/>
          <w:szCs w:val="24"/>
        </w:rPr>
        <w:t xml:space="preserve"> </w:t>
      </w:r>
    </w:p>
    <w:p w14:paraId="63B1BA5C" w14:textId="77777777" w:rsidR="00526663" w:rsidRPr="00C415BA" w:rsidRDefault="00526663" w:rsidP="00526663">
      <w:pPr>
        <w:spacing w:after="0" w:line="360" w:lineRule="auto"/>
        <w:jc w:val="both"/>
        <w:rPr>
          <w:rFonts w:ascii="Times New Roman" w:hAnsi="Times New Roman" w:cs="Times New Roman"/>
          <w:sz w:val="24"/>
          <w:szCs w:val="24"/>
        </w:rPr>
      </w:pPr>
      <w:r w:rsidRPr="00C415BA">
        <w:rPr>
          <w:rFonts w:ascii="Times New Roman" w:hAnsi="Times New Roman" w:cs="Times New Roman"/>
          <w:sz w:val="24"/>
          <w:szCs w:val="24"/>
        </w:rPr>
        <w:t>Rectified EMG recorded from the of anterior digastric muscle (A) and expanded view from the rectified EMG clarifies the method for determining the burst length at different levels of peak activity (B).</w:t>
      </w:r>
    </w:p>
    <w:p w14:paraId="49FAB552" w14:textId="3D714072" w:rsidR="00526663" w:rsidRDefault="00526663">
      <w:pPr>
        <w:rPr>
          <w:rFonts w:ascii="Times New Roman" w:hAnsi="Times New Roman" w:cs="Times New Roman"/>
          <w:sz w:val="24"/>
          <w:szCs w:val="24"/>
        </w:rPr>
      </w:pPr>
    </w:p>
    <w:p w14:paraId="3CC23B8B" w14:textId="77777777" w:rsidR="00526663" w:rsidRDefault="00526663">
      <w:pPr>
        <w:rPr>
          <w:rFonts w:ascii="Times New Roman" w:hAnsi="Times New Roman" w:cs="Times New Roman"/>
          <w:sz w:val="24"/>
          <w:szCs w:val="24"/>
        </w:rPr>
      </w:pPr>
      <w:r>
        <w:rPr>
          <w:rFonts w:ascii="Times New Roman" w:hAnsi="Times New Roman" w:cs="Times New Roman"/>
          <w:sz w:val="24"/>
          <w:szCs w:val="24"/>
        </w:rPr>
        <w:br w:type="page"/>
      </w:r>
    </w:p>
    <w:p w14:paraId="059EF031" w14:textId="49A2F553" w:rsidR="00526663" w:rsidRDefault="00CC21B7">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E58FADE" wp14:editId="48CDC832">
            <wp:extent cx="3948113" cy="35613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4181" cy="3566837"/>
                    </a:xfrm>
                    <a:prstGeom prst="rect">
                      <a:avLst/>
                    </a:prstGeom>
                    <a:noFill/>
                  </pic:spPr>
                </pic:pic>
              </a:graphicData>
            </a:graphic>
          </wp:inline>
        </w:drawing>
      </w:r>
    </w:p>
    <w:p w14:paraId="7EF002F0" w14:textId="77777777" w:rsidR="00B3360D" w:rsidRDefault="00B3360D" w:rsidP="00B3360D">
      <w:pPr>
        <w:snapToGrid w:val="0"/>
        <w:spacing w:after="0" w:line="360" w:lineRule="auto"/>
        <w:jc w:val="both"/>
        <w:rPr>
          <w:rFonts w:ascii="Times New Roman" w:hAnsi="Times New Roman" w:cs="Times New Roman"/>
          <w:b/>
          <w:bCs/>
          <w:sz w:val="24"/>
          <w:szCs w:val="24"/>
        </w:rPr>
      </w:pPr>
      <w:bookmarkStart w:id="3" w:name="_Ref50104038"/>
    </w:p>
    <w:p w14:paraId="29DAB01A" w14:textId="52CF8A0D" w:rsidR="00B3360D" w:rsidRPr="00C415BA" w:rsidRDefault="00B3360D" w:rsidP="00B3360D">
      <w:pPr>
        <w:snapToGrid w:val="0"/>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Supplementary </w:t>
      </w:r>
      <w:r w:rsidRPr="00C415BA">
        <w:rPr>
          <w:rFonts w:ascii="Times New Roman" w:hAnsi="Times New Roman" w:cs="Times New Roman"/>
          <w:b/>
          <w:bCs/>
          <w:sz w:val="24"/>
          <w:szCs w:val="24"/>
        </w:rPr>
        <w:t xml:space="preserve">Figure </w:t>
      </w:r>
      <w:r w:rsidRPr="00C415BA">
        <w:rPr>
          <w:rFonts w:ascii="Times New Roman" w:hAnsi="Times New Roman" w:cs="Times New Roman"/>
          <w:b/>
          <w:bCs/>
          <w:sz w:val="24"/>
          <w:szCs w:val="24"/>
        </w:rPr>
        <w:fldChar w:fldCharType="begin"/>
      </w:r>
      <w:r w:rsidRPr="00C415BA">
        <w:rPr>
          <w:rFonts w:ascii="Times New Roman" w:hAnsi="Times New Roman" w:cs="Times New Roman"/>
          <w:b/>
          <w:bCs/>
          <w:sz w:val="24"/>
          <w:szCs w:val="24"/>
        </w:rPr>
        <w:instrText xml:space="preserve"> SEQ Figure \* ARABIC </w:instrText>
      </w:r>
      <w:r w:rsidRPr="00C415BA">
        <w:rPr>
          <w:rFonts w:ascii="Times New Roman" w:hAnsi="Times New Roman" w:cs="Times New Roman"/>
          <w:b/>
          <w:bCs/>
          <w:sz w:val="24"/>
          <w:szCs w:val="24"/>
        </w:rPr>
        <w:fldChar w:fldCharType="separate"/>
      </w:r>
      <w:r w:rsidRPr="00C415BA">
        <w:rPr>
          <w:rFonts w:ascii="Times New Roman" w:hAnsi="Times New Roman" w:cs="Times New Roman"/>
          <w:b/>
          <w:bCs/>
          <w:noProof/>
          <w:sz w:val="24"/>
          <w:szCs w:val="24"/>
        </w:rPr>
        <w:t>2</w:t>
      </w:r>
      <w:r w:rsidRPr="00C415BA">
        <w:rPr>
          <w:rFonts w:ascii="Times New Roman" w:hAnsi="Times New Roman" w:cs="Times New Roman"/>
          <w:b/>
          <w:bCs/>
          <w:sz w:val="24"/>
          <w:szCs w:val="24"/>
        </w:rPr>
        <w:fldChar w:fldCharType="end"/>
      </w:r>
      <w:bookmarkEnd w:id="3"/>
      <w:r w:rsidRPr="00C415BA">
        <w:rPr>
          <w:rFonts w:ascii="Times New Roman" w:hAnsi="Times New Roman" w:cs="Times New Roman"/>
          <w:sz w:val="24"/>
          <w:szCs w:val="24"/>
        </w:rPr>
        <w:t>.</w:t>
      </w:r>
      <w:r w:rsidRPr="00C415BA">
        <w:rPr>
          <w:rFonts w:ascii="Times New Roman" w:hAnsi="Times New Roman" w:cs="Times New Roman"/>
          <w:b/>
          <w:sz w:val="24"/>
          <w:szCs w:val="24"/>
        </w:rPr>
        <w:t xml:space="preserve"> Coronal section of </w:t>
      </w:r>
      <w:proofErr w:type="spellStart"/>
      <w:r w:rsidRPr="00C415BA">
        <w:rPr>
          <w:rFonts w:ascii="Times New Roman" w:hAnsi="Times New Roman" w:cs="Times New Roman"/>
          <w:b/>
          <w:sz w:val="24"/>
          <w:szCs w:val="24"/>
        </w:rPr>
        <w:t>hematoxylin</w:t>
      </w:r>
      <w:proofErr w:type="spellEnd"/>
      <w:r w:rsidRPr="00C415BA">
        <w:rPr>
          <w:rFonts w:ascii="Times New Roman" w:hAnsi="Times New Roman" w:cs="Times New Roman"/>
          <w:b/>
          <w:sz w:val="24"/>
          <w:szCs w:val="24"/>
        </w:rPr>
        <w:t xml:space="preserve">-eosin stain with schematic drawing of the stimulation sites in the anterior part of the left cortical masticatory area (A-CMA). </w:t>
      </w:r>
    </w:p>
    <w:p w14:paraId="45A2AA1D" w14:textId="2E6D2DB9" w:rsidR="00B3360D" w:rsidRPr="00C415BA" w:rsidRDefault="00B3360D" w:rsidP="00B3360D">
      <w:pPr>
        <w:snapToGrid w:val="0"/>
        <w:spacing w:after="0" w:line="360" w:lineRule="auto"/>
        <w:jc w:val="both"/>
        <w:rPr>
          <w:rFonts w:ascii="Times New Roman" w:hAnsi="Times New Roman" w:cs="Times New Roman"/>
          <w:sz w:val="24"/>
          <w:szCs w:val="24"/>
        </w:rPr>
      </w:pPr>
      <w:r w:rsidRPr="00C415BA">
        <w:rPr>
          <w:rFonts w:ascii="Times New Roman" w:hAnsi="Times New Roman" w:cs="Times New Roman"/>
          <w:sz w:val="24"/>
          <w:szCs w:val="24"/>
        </w:rPr>
        <w:t>Relative distances from Bregma in the rostral (</w:t>
      </w:r>
      <w:r w:rsidR="00CC21B7">
        <w:rPr>
          <w:rFonts w:ascii="Times New Roman" w:hAnsi="Times New Roman" w:cs="Times New Roman"/>
          <w:sz w:val="24"/>
          <w:szCs w:val="24"/>
        </w:rPr>
        <w:t>+</w:t>
      </w:r>
      <w:r w:rsidRPr="00C415BA">
        <w:rPr>
          <w:rFonts w:ascii="Times New Roman" w:hAnsi="Times New Roman" w:cs="Times New Roman"/>
          <w:sz w:val="24"/>
          <w:szCs w:val="24"/>
        </w:rPr>
        <w:t xml:space="preserve">3.72 and </w:t>
      </w:r>
      <w:r w:rsidR="00CC21B7">
        <w:rPr>
          <w:rFonts w:ascii="Times New Roman" w:hAnsi="Times New Roman" w:cs="Times New Roman"/>
          <w:sz w:val="24"/>
          <w:szCs w:val="24"/>
        </w:rPr>
        <w:t>+</w:t>
      </w:r>
      <w:r w:rsidRPr="00C415BA">
        <w:rPr>
          <w:rFonts w:ascii="Times New Roman" w:hAnsi="Times New Roman" w:cs="Times New Roman"/>
          <w:sz w:val="24"/>
          <w:szCs w:val="24"/>
        </w:rPr>
        <w:t>3.20 mm anterior to the Bregma) direction are depicted. Template from the brain atlas (</w:t>
      </w:r>
      <w:proofErr w:type="spellStart"/>
      <w:r w:rsidRPr="00C415BA">
        <w:rPr>
          <w:rFonts w:ascii="Times New Roman" w:hAnsi="Times New Roman" w:cs="Times New Roman"/>
          <w:sz w:val="24"/>
          <w:szCs w:val="24"/>
        </w:rPr>
        <w:t>Paxinos</w:t>
      </w:r>
      <w:proofErr w:type="spellEnd"/>
      <w:r w:rsidRPr="00C415BA">
        <w:rPr>
          <w:rFonts w:ascii="Times New Roman" w:hAnsi="Times New Roman" w:cs="Times New Roman"/>
          <w:sz w:val="24"/>
          <w:szCs w:val="24"/>
        </w:rPr>
        <w:t xml:space="preserve"> and Watson, 2007), illustrating the left primary motor cortex (anterior region of CMA) </w:t>
      </w:r>
      <w:r>
        <w:rPr>
          <w:rFonts w:ascii="Times New Roman" w:hAnsi="Times New Roman" w:cs="Times New Roman"/>
          <w:sz w:val="24"/>
          <w:szCs w:val="24"/>
        </w:rPr>
        <w:t xml:space="preserve">and </w:t>
      </w:r>
      <w:r w:rsidRPr="00C415BA">
        <w:rPr>
          <w:rFonts w:ascii="Times New Roman" w:hAnsi="Times New Roman" w:cs="Times New Roman"/>
          <w:sz w:val="24"/>
          <w:szCs w:val="24"/>
        </w:rPr>
        <w:t xml:space="preserve">showing the location of stimulation sites. </w:t>
      </w:r>
      <w:r w:rsidRPr="00C415BA">
        <w:rPr>
          <w:rFonts w:ascii="Times New Roman" w:hAnsi="Times New Roman" w:cs="Times New Roman"/>
          <w:bCs/>
          <w:sz w:val="24"/>
          <w:szCs w:val="24"/>
        </w:rPr>
        <w:t>50 µm in thickness.</w:t>
      </w:r>
      <w:r w:rsidRPr="00C415BA">
        <w:rPr>
          <w:rFonts w:ascii="Times New Roman" w:hAnsi="Times New Roman" w:cs="Times New Roman"/>
          <w:sz w:val="24"/>
          <w:szCs w:val="24"/>
        </w:rPr>
        <w:t xml:space="preserve"> Abbreviation: M1, primary motor cortex. </w:t>
      </w:r>
    </w:p>
    <w:p w14:paraId="04D49737" w14:textId="3DCD4746" w:rsidR="00B3360D" w:rsidRDefault="00B3360D">
      <w:pPr>
        <w:rPr>
          <w:rFonts w:ascii="Times New Roman" w:hAnsi="Times New Roman" w:cs="Times New Roman"/>
          <w:sz w:val="24"/>
          <w:szCs w:val="24"/>
        </w:rPr>
      </w:pPr>
    </w:p>
    <w:p w14:paraId="07342D10" w14:textId="77777777" w:rsidR="00B3360D" w:rsidRDefault="00B3360D">
      <w:pPr>
        <w:rPr>
          <w:rFonts w:ascii="Times New Roman" w:hAnsi="Times New Roman" w:cs="Times New Roman"/>
          <w:sz w:val="24"/>
          <w:szCs w:val="24"/>
        </w:rPr>
      </w:pPr>
      <w:r>
        <w:rPr>
          <w:rFonts w:ascii="Times New Roman" w:hAnsi="Times New Roman" w:cs="Times New Roman"/>
          <w:sz w:val="24"/>
          <w:szCs w:val="24"/>
        </w:rPr>
        <w:br w:type="page"/>
      </w:r>
    </w:p>
    <w:p w14:paraId="4CA3AA68" w14:textId="31593D21" w:rsidR="00B3360D" w:rsidRDefault="00CC21B7">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9ADC7A9" wp14:editId="2810F64E">
            <wp:extent cx="6240780" cy="329977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64817" cy="3312479"/>
                    </a:xfrm>
                    <a:prstGeom prst="rect">
                      <a:avLst/>
                    </a:prstGeom>
                    <a:noFill/>
                  </pic:spPr>
                </pic:pic>
              </a:graphicData>
            </a:graphic>
          </wp:inline>
        </w:drawing>
      </w:r>
    </w:p>
    <w:p w14:paraId="14DCF90F" w14:textId="78312C11" w:rsidR="00B3360D" w:rsidRDefault="00B3360D">
      <w:pPr>
        <w:rPr>
          <w:rFonts w:ascii="Times New Roman" w:hAnsi="Times New Roman" w:cs="Times New Roman"/>
          <w:sz w:val="24"/>
          <w:szCs w:val="24"/>
        </w:rPr>
      </w:pPr>
    </w:p>
    <w:p w14:paraId="7EBED9F7" w14:textId="6D9A63A1" w:rsidR="00B3360D" w:rsidRPr="00C415BA" w:rsidRDefault="00B3360D" w:rsidP="00B3360D">
      <w:pPr>
        <w:spacing w:after="0" w:line="360" w:lineRule="auto"/>
        <w:jc w:val="both"/>
        <w:rPr>
          <w:rFonts w:ascii="Times New Roman" w:hAnsi="Times New Roman" w:cs="Times New Roman"/>
          <w:sz w:val="24"/>
          <w:szCs w:val="24"/>
        </w:rPr>
      </w:pPr>
      <w:bookmarkStart w:id="4" w:name="_Ref54611782"/>
      <w:r>
        <w:rPr>
          <w:rFonts w:ascii="Times New Roman" w:hAnsi="Times New Roman" w:cs="Times New Roman"/>
          <w:b/>
          <w:bCs/>
          <w:sz w:val="24"/>
          <w:szCs w:val="24"/>
        </w:rPr>
        <w:t xml:space="preserve">Supplementary </w:t>
      </w:r>
      <w:r w:rsidRPr="00C415BA">
        <w:rPr>
          <w:rFonts w:ascii="Times New Roman" w:hAnsi="Times New Roman" w:cs="Times New Roman"/>
          <w:b/>
          <w:bCs/>
          <w:sz w:val="24"/>
          <w:szCs w:val="24"/>
        </w:rPr>
        <w:t xml:space="preserve">Figure </w:t>
      </w:r>
      <w:bookmarkEnd w:id="4"/>
      <w:r>
        <w:rPr>
          <w:rFonts w:ascii="Times New Roman" w:hAnsi="Times New Roman" w:cs="Times New Roman"/>
          <w:b/>
          <w:bCs/>
          <w:sz w:val="24"/>
          <w:szCs w:val="24"/>
        </w:rPr>
        <w:t>3</w:t>
      </w:r>
      <w:r w:rsidRPr="00C415BA">
        <w:rPr>
          <w:rFonts w:ascii="Times New Roman" w:hAnsi="Times New Roman" w:cs="Times New Roman"/>
          <w:b/>
          <w:bCs/>
          <w:sz w:val="24"/>
          <w:szCs w:val="24"/>
        </w:rPr>
        <w:t xml:space="preserve">. </w:t>
      </w:r>
      <w:r w:rsidRPr="00C415BA">
        <w:rPr>
          <w:rFonts w:ascii="Times New Roman" w:hAnsi="Times New Roman" w:cs="Times New Roman"/>
          <w:b/>
          <w:sz w:val="24"/>
          <w:szCs w:val="24"/>
        </w:rPr>
        <w:t>Typical example of enlarged raw data including electromyographic activity and jaw movement patterns.</w:t>
      </w:r>
      <w:r w:rsidRPr="00C415BA">
        <w:rPr>
          <w:rFonts w:ascii="Times New Roman" w:hAnsi="Times New Roman" w:cs="Times New Roman"/>
          <w:sz w:val="24"/>
          <w:szCs w:val="24"/>
        </w:rPr>
        <w:t xml:space="preserve"> </w:t>
      </w:r>
    </w:p>
    <w:p w14:paraId="7ABCC54C" w14:textId="77777777" w:rsidR="00B3360D" w:rsidRPr="00C415BA" w:rsidRDefault="00B3360D" w:rsidP="00B3360D">
      <w:pPr>
        <w:spacing w:after="0" w:line="360" w:lineRule="auto"/>
        <w:jc w:val="both"/>
        <w:rPr>
          <w:rFonts w:ascii="Times New Roman" w:hAnsi="Times New Roman" w:cs="Times New Roman"/>
          <w:sz w:val="24"/>
          <w:szCs w:val="24"/>
        </w:rPr>
      </w:pPr>
      <w:r w:rsidRPr="00C415BA">
        <w:rPr>
          <w:rFonts w:ascii="Times New Roman" w:hAnsi="Times New Roman" w:cs="Times New Roman"/>
          <w:sz w:val="24"/>
          <w:szCs w:val="24"/>
        </w:rPr>
        <w:t>Control (A) and experimental (B) groups are shown. Downward arrows indicate the timing of electrical stimulation. Abbreviation: Stim, electrical stimulation; RM, right masseter muscle; RAD, right anterior digastric muscle; VJM, vertical jaw movements; HJM, horizontal jaw movements.</w:t>
      </w:r>
    </w:p>
    <w:p w14:paraId="11747C51" w14:textId="52BBBD15" w:rsidR="00B3360D" w:rsidRDefault="00B3360D">
      <w:pPr>
        <w:rPr>
          <w:rFonts w:ascii="Times New Roman" w:hAnsi="Times New Roman" w:cs="Times New Roman"/>
          <w:sz w:val="24"/>
          <w:szCs w:val="24"/>
        </w:rPr>
      </w:pPr>
    </w:p>
    <w:p w14:paraId="0751B4E9" w14:textId="77777777" w:rsidR="00B3360D" w:rsidRDefault="00B3360D">
      <w:pPr>
        <w:rPr>
          <w:rFonts w:ascii="Times New Roman" w:hAnsi="Times New Roman" w:cs="Times New Roman"/>
          <w:sz w:val="24"/>
          <w:szCs w:val="24"/>
        </w:rPr>
      </w:pPr>
      <w:r>
        <w:rPr>
          <w:rFonts w:ascii="Times New Roman" w:hAnsi="Times New Roman" w:cs="Times New Roman"/>
          <w:sz w:val="24"/>
          <w:szCs w:val="24"/>
        </w:rPr>
        <w:br w:type="page"/>
      </w:r>
      <w:bookmarkStart w:id="5" w:name="_GoBack"/>
      <w:bookmarkEnd w:id="5"/>
    </w:p>
    <w:tbl>
      <w:tblPr>
        <w:tblStyle w:val="TableGrid"/>
        <w:tblW w:w="0" w:type="auto"/>
        <w:tblLook w:val="04A0" w:firstRow="1" w:lastRow="0" w:firstColumn="1" w:lastColumn="0" w:noHBand="0" w:noVBand="1"/>
      </w:tblPr>
      <w:tblGrid>
        <w:gridCol w:w="2812"/>
        <w:gridCol w:w="6204"/>
      </w:tblGrid>
      <w:tr w:rsidR="00B3360D" w:rsidRPr="00C415BA" w14:paraId="000AB0EB" w14:textId="77777777" w:rsidTr="00FB56C8">
        <w:tc>
          <w:tcPr>
            <w:tcW w:w="2812" w:type="dxa"/>
          </w:tcPr>
          <w:p w14:paraId="65242E1F"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lastRenderedPageBreak/>
              <w:t xml:space="preserve">Parameters </w:t>
            </w:r>
          </w:p>
        </w:tc>
        <w:tc>
          <w:tcPr>
            <w:tcW w:w="6204" w:type="dxa"/>
          </w:tcPr>
          <w:p w14:paraId="380A5925"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 xml:space="preserve">Definition </w:t>
            </w:r>
          </w:p>
        </w:tc>
      </w:tr>
      <w:tr w:rsidR="00B3360D" w:rsidRPr="00C415BA" w14:paraId="0500034D" w14:textId="77777777" w:rsidTr="00FB56C8">
        <w:tc>
          <w:tcPr>
            <w:tcW w:w="2812" w:type="dxa"/>
            <w:tcBorders>
              <w:top w:val="single" w:sz="4" w:space="0" w:color="auto"/>
              <w:bottom w:val="nil"/>
            </w:tcBorders>
          </w:tcPr>
          <w:p w14:paraId="3531DDFF"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Onset latency (</w:t>
            </w:r>
            <w:proofErr w:type="spellStart"/>
            <w:r w:rsidRPr="00C415BA">
              <w:rPr>
                <w:rFonts w:ascii="Times New Roman" w:hAnsi="Times New Roman" w:cs="Times New Roman"/>
                <w:sz w:val="24"/>
                <w:szCs w:val="24"/>
              </w:rPr>
              <w:t>ms</w:t>
            </w:r>
            <w:proofErr w:type="spellEnd"/>
            <w:r w:rsidRPr="00C415BA">
              <w:rPr>
                <w:rFonts w:ascii="Times New Roman" w:hAnsi="Times New Roman" w:cs="Times New Roman"/>
                <w:sz w:val="24"/>
                <w:szCs w:val="24"/>
              </w:rPr>
              <w:t>)</w:t>
            </w:r>
          </w:p>
        </w:tc>
        <w:tc>
          <w:tcPr>
            <w:tcW w:w="6204" w:type="dxa"/>
            <w:tcBorders>
              <w:bottom w:val="nil"/>
            </w:tcBorders>
          </w:tcPr>
          <w:p w14:paraId="551E4313"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Interval between the onset of the stimulus and the onset of the first response.</w:t>
            </w:r>
          </w:p>
        </w:tc>
      </w:tr>
      <w:tr w:rsidR="00B3360D" w:rsidRPr="00C415BA" w14:paraId="4AC0EAF3" w14:textId="77777777" w:rsidTr="00FB56C8">
        <w:tc>
          <w:tcPr>
            <w:tcW w:w="2812" w:type="dxa"/>
            <w:tcBorders>
              <w:top w:val="nil"/>
              <w:bottom w:val="nil"/>
            </w:tcBorders>
          </w:tcPr>
          <w:p w14:paraId="6C8B5AD1"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Peak-to-peak amplitude (mV)</w:t>
            </w:r>
          </w:p>
        </w:tc>
        <w:tc>
          <w:tcPr>
            <w:tcW w:w="6204" w:type="dxa"/>
            <w:tcBorders>
              <w:top w:val="nil"/>
              <w:bottom w:val="nil"/>
            </w:tcBorders>
          </w:tcPr>
          <w:p w14:paraId="3927E675"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Amplitude from baseline to the positive peak of the response.</w:t>
            </w:r>
          </w:p>
        </w:tc>
      </w:tr>
      <w:tr w:rsidR="00B3360D" w:rsidRPr="00C415BA" w14:paraId="52C81EB8" w14:textId="77777777" w:rsidTr="00FB56C8">
        <w:tc>
          <w:tcPr>
            <w:tcW w:w="2812" w:type="dxa"/>
            <w:tcBorders>
              <w:top w:val="nil"/>
              <w:bottom w:val="nil"/>
            </w:tcBorders>
          </w:tcPr>
          <w:p w14:paraId="66023AF3"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Duty time (%)</w:t>
            </w:r>
          </w:p>
        </w:tc>
        <w:tc>
          <w:tcPr>
            <w:tcW w:w="6204" w:type="dxa"/>
            <w:tcBorders>
              <w:top w:val="nil"/>
              <w:bottom w:val="nil"/>
            </w:tcBorders>
          </w:tcPr>
          <w:p w14:paraId="7E9C71D6"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Relative time</w:t>
            </w:r>
            <w:r>
              <w:rPr>
                <w:rFonts w:ascii="Times New Roman" w:hAnsi="Times New Roman" w:cs="Times New Roman"/>
                <w:sz w:val="24"/>
                <w:szCs w:val="24"/>
              </w:rPr>
              <w:t>s</w:t>
            </w:r>
            <w:r w:rsidRPr="00C415BA">
              <w:rPr>
                <w:rFonts w:ascii="Times New Roman" w:hAnsi="Times New Roman" w:cs="Times New Roman"/>
                <w:sz w:val="24"/>
                <w:szCs w:val="24"/>
              </w:rPr>
              <w:t xml:space="preserve"> at the 5</w:t>
            </w:r>
            <w:r>
              <w:rPr>
                <w:rFonts w:ascii="Times New Roman" w:hAnsi="Times New Roman" w:cs="Times New Roman"/>
                <w:sz w:val="24"/>
                <w:szCs w:val="24"/>
              </w:rPr>
              <w:t>%</w:t>
            </w:r>
            <w:r w:rsidRPr="00C415BA">
              <w:rPr>
                <w:rFonts w:ascii="Times New Roman" w:hAnsi="Times New Roman" w:cs="Times New Roman"/>
                <w:sz w:val="24"/>
                <w:szCs w:val="24"/>
              </w:rPr>
              <w:t>, 20</w:t>
            </w:r>
            <w:r>
              <w:rPr>
                <w:rFonts w:ascii="Times New Roman" w:hAnsi="Times New Roman" w:cs="Times New Roman"/>
                <w:sz w:val="24"/>
                <w:szCs w:val="24"/>
              </w:rPr>
              <w:t>%</w:t>
            </w:r>
            <w:r w:rsidRPr="00C415BA">
              <w:rPr>
                <w:rFonts w:ascii="Times New Roman" w:hAnsi="Times New Roman" w:cs="Times New Roman"/>
                <w:sz w:val="24"/>
                <w:szCs w:val="24"/>
              </w:rPr>
              <w:t xml:space="preserve">, and 50% activity level </w:t>
            </w:r>
            <w:r>
              <w:rPr>
                <w:rFonts w:ascii="Times New Roman" w:hAnsi="Times New Roman" w:cs="Times New Roman"/>
                <w:sz w:val="24"/>
                <w:szCs w:val="24"/>
              </w:rPr>
              <w:t>are</w:t>
            </w:r>
            <w:r w:rsidRPr="00C415BA">
              <w:rPr>
                <w:rFonts w:ascii="Times New Roman" w:hAnsi="Times New Roman" w:cs="Times New Roman"/>
                <w:sz w:val="24"/>
                <w:szCs w:val="24"/>
              </w:rPr>
              <w:t xml:space="preserve"> the percentage duration of all EMG activity during stimulated contraction.</w:t>
            </w:r>
          </w:p>
        </w:tc>
      </w:tr>
      <w:tr w:rsidR="00B3360D" w:rsidRPr="00C415BA" w14:paraId="1BD3F5B9" w14:textId="77777777" w:rsidTr="00FB56C8">
        <w:tc>
          <w:tcPr>
            <w:tcW w:w="2812" w:type="dxa"/>
            <w:tcBorders>
              <w:top w:val="nil"/>
              <w:bottom w:val="nil"/>
            </w:tcBorders>
          </w:tcPr>
          <w:p w14:paraId="624F5BF9"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Mean burst length (</w:t>
            </w:r>
            <w:proofErr w:type="spellStart"/>
            <w:r w:rsidRPr="00C415BA">
              <w:rPr>
                <w:rFonts w:ascii="Times New Roman" w:hAnsi="Times New Roman" w:cs="Times New Roman"/>
                <w:sz w:val="24"/>
                <w:szCs w:val="24"/>
              </w:rPr>
              <w:t>ms</w:t>
            </w:r>
            <w:proofErr w:type="spellEnd"/>
            <w:r w:rsidRPr="00C415BA">
              <w:rPr>
                <w:rFonts w:ascii="Times New Roman" w:hAnsi="Times New Roman" w:cs="Times New Roman"/>
                <w:sz w:val="24"/>
                <w:szCs w:val="24"/>
              </w:rPr>
              <w:t>)</w:t>
            </w:r>
          </w:p>
        </w:tc>
        <w:tc>
          <w:tcPr>
            <w:tcW w:w="6204" w:type="dxa"/>
            <w:tcBorders>
              <w:top w:val="nil"/>
              <w:bottom w:val="nil"/>
            </w:tcBorders>
          </w:tcPr>
          <w:p w14:paraId="19884536"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Total mean duration of muscle activities exceeding 5</w:t>
            </w:r>
            <w:r>
              <w:rPr>
                <w:rFonts w:ascii="Times New Roman" w:hAnsi="Times New Roman" w:cs="Times New Roman"/>
                <w:sz w:val="24"/>
                <w:szCs w:val="24"/>
              </w:rPr>
              <w:t>%</w:t>
            </w:r>
            <w:r w:rsidRPr="00C415BA">
              <w:rPr>
                <w:rFonts w:ascii="Times New Roman" w:hAnsi="Times New Roman" w:cs="Times New Roman"/>
                <w:sz w:val="24"/>
                <w:szCs w:val="24"/>
              </w:rPr>
              <w:t>, 20</w:t>
            </w:r>
            <w:r>
              <w:rPr>
                <w:rFonts w:ascii="Times New Roman" w:hAnsi="Times New Roman" w:cs="Times New Roman"/>
                <w:sz w:val="24"/>
                <w:szCs w:val="24"/>
              </w:rPr>
              <w:t>%</w:t>
            </w:r>
            <w:r w:rsidRPr="00C415BA">
              <w:rPr>
                <w:rFonts w:ascii="Times New Roman" w:hAnsi="Times New Roman" w:cs="Times New Roman"/>
                <w:sz w:val="24"/>
                <w:szCs w:val="24"/>
              </w:rPr>
              <w:t>, and 50% of peak EMG activity during stimulated contraction.</w:t>
            </w:r>
          </w:p>
        </w:tc>
      </w:tr>
      <w:tr w:rsidR="00B3360D" w:rsidRPr="00C415BA" w14:paraId="54FE6D6A" w14:textId="77777777" w:rsidTr="00FB56C8">
        <w:tc>
          <w:tcPr>
            <w:tcW w:w="2812" w:type="dxa"/>
            <w:tcBorders>
              <w:top w:val="nil"/>
              <w:bottom w:val="nil"/>
            </w:tcBorders>
          </w:tcPr>
          <w:p w14:paraId="2D866A2A"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Median frequency of EMG activity (Hz)</w:t>
            </w:r>
          </w:p>
        </w:tc>
        <w:tc>
          <w:tcPr>
            <w:tcW w:w="6204" w:type="dxa"/>
            <w:tcBorders>
              <w:top w:val="nil"/>
              <w:bottom w:val="nil"/>
            </w:tcBorders>
          </w:tcPr>
          <w:p w14:paraId="18A38A54"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EMG power spectrum divided into two parts with equal amplitude.</w:t>
            </w:r>
          </w:p>
        </w:tc>
      </w:tr>
      <w:tr w:rsidR="00B3360D" w:rsidRPr="00C415BA" w14:paraId="6C87BB69" w14:textId="77777777" w:rsidTr="00FB56C8">
        <w:tc>
          <w:tcPr>
            <w:tcW w:w="2812" w:type="dxa"/>
            <w:tcBorders>
              <w:top w:val="nil"/>
              <w:bottom w:val="single" w:sz="4" w:space="0" w:color="auto"/>
            </w:tcBorders>
          </w:tcPr>
          <w:p w14:paraId="3FB85E7D"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Mean frequency of EMG activity (Hz)</w:t>
            </w:r>
          </w:p>
        </w:tc>
        <w:tc>
          <w:tcPr>
            <w:tcW w:w="6204" w:type="dxa"/>
            <w:tcBorders>
              <w:top w:val="nil"/>
              <w:bottom w:val="single" w:sz="4" w:space="0" w:color="auto"/>
            </w:tcBorders>
          </w:tcPr>
          <w:p w14:paraId="1F0DB93A"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 xml:space="preserve">Average frequency from the sum of the product of the EMG. </w:t>
            </w:r>
            <w:r>
              <w:rPr>
                <w:rFonts w:ascii="Times New Roman" w:hAnsi="Times New Roman" w:cs="Times New Roman"/>
                <w:sz w:val="24"/>
                <w:szCs w:val="24"/>
              </w:rPr>
              <w:t>P</w:t>
            </w:r>
            <w:r w:rsidRPr="00C415BA">
              <w:rPr>
                <w:rFonts w:ascii="Times New Roman" w:hAnsi="Times New Roman" w:cs="Times New Roman"/>
                <w:sz w:val="24"/>
                <w:szCs w:val="24"/>
              </w:rPr>
              <w:t>ower spectrum and the frequency divided by the total sum of the power spectrum.</w:t>
            </w:r>
          </w:p>
        </w:tc>
      </w:tr>
      <w:tr w:rsidR="00B3360D" w:rsidRPr="00C415BA" w14:paraId="286F6E87" w14:textId="77777777" w:rsidTr="00FB56C8">
        <w:tc>
          <w:tcPr>
            <w:tcW w:w="9016" w:type="dxa"/>
            <w:gridSpan w:val="2"/>
            <w:tcBorders>
              <w:top w:val="single" w:sz="4" w:space="0" w:color="auto"/>
              <w:bottom w:val="nil"/>
            </w:tcBorders>
          </w:tcPr>
          <w:p w14:paraId="2E2DA714"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Parameters used in electromyographic activity</w:t>
            </w:r>
            <w:r>
              <w:rPr>
                <w:rFonts w:ascii="Times New Roman" w:hAnsi="Times New Roman" w:cs="Times New Roman"/>
                <w:sz w:val="24"/>
                <w:szCs w:val="24"/>
              </w:rPr>
              <w:t xml:space="preserve"> analysis</w:t>
            </w:r>
          </w:p>
        </w:tc>
      </w:tr>
      <w:tr w:rsidR="00B3360D" w:rsidRPr="00C415BA" w14:paraId="2FF6ADBB" w14:textId="77777777" w:rsidTr="00FB56C8">
        <w:tc>
          <w:tcPr>
            <w:tcW w:w="2812" w:type="dxa"/>
            <w:tcBorders>
              <w:top w:val="single" w:sz="4" w:space="0" w:color="auto"/>
              <w:bottom w:val="nil"/>
            </w:tcBorders>
          </w:tcPr>
          <w:p w14:paraId="55EFF6BA"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Gape size</w:t>
            </w:r>
          </w:p>
        </w:tc>
        <w:tc>
          <w:tcPr>
            <w:tcW w:w="6204" w:type="dxa"/>
            <w:tcBorders>
              <w:top w:val="single" w:sz="4" w:space="0" w:color="auto"/>
              <w:bottom w:val="nil"/>
            </w:tcBorders>
          </w:tcPr>
          <w:p w14:paraId="71D9148F"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Vertical excursion between maximum opening and maximum closing.</w:t>
            </w:r>
          </w:p>
        </w:tc>
      </w:tr>
      <w:tr w:rsidR="00B3360D" w:rsidRPr="00C415BA" w14:paraId="68BBB265" w14:textId="77777777" w:rsidTr="00FB56C8">
        <w:tc>
          <w:tcPr>
            <w:tcW w:w="2812" w:type="dxa"/>
            <w:tcBorders>
              <w:top w:val="nil"/>
              <w:bottom w:val="nil"/>
            </w:tcBorders>
          </w:tcPr>
          <w:p w14:paraId="2573BB79"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Lateral excursion</w:t>
            </w:r>
          </w:p>
        </w:tc>
        <w:tc>
          <w:tcPr>
            <w:tcW w:w="6204" w:type="dxa"/>
            <w:tcBorders>
              <w:top w:val="nil"/>
              <w:bottom w:val="nil"/>
            </w:tcBorders>
          </w:tcPr>
          <w:p w14:paraId="63EBD0F2"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Horizontal distance between minimum jaw-opening position and the most lateral jaw position.</w:t>
            </w:r>
          </w:p>
        </w:tc>
      </w:tr>
      <w:tr w:rsidR="00B3360D" w:rsidRPr="00C415BA" w14:paraId="1024D4F2" w14:textId="77777777" w:rsidTr="00FB56C8">
        <w:tc>
          <w:tcPr>
            <w:tcW w:w="2812" w:type="dxa"/>
            <w:tcBorders>
              <w:top w:val="nil"/>
              <w:bottom w:val="nil"/>
            </w:tcBorders>
          </w:tcPr>
          <w:p w14:paraId="03B7CEC5"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 xml:space="preserve">Changes in pattern of jaw movements </w:t>
            </w:r>
          </w:p>
        </w:tc>
        <w:tc>
          <w:tcPr>
            <w:tcW w:w="6204" w:type="dxa"/>
            <w:tcBorders>
              <w:top w:val="nil"/>
              <w:bottom w:val="nil"/>
            </w:tcBorders>
          </w:tcPr>
          <w:p w14:paraId="3D841BA1"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 xml:space="preserve">The 13 points traced with an interval of 10 </w:t>
            </w:r>
            <w:proofErr w:type="spellStart"/>
            <w:r w:rsidRPr="00C415BA">
              <w:rPr>
                <w:rFonts w:ascii="Times New Roman" w:hAnsi="Times New Roman" w:cs="Times New Roman"/>
                <w:sz w:val="24"/>
                <w:szCs w:val="24"/>
              </w:rPr>
              <w:t>ms</w:t>
            </w:r>
            <w:proofErr w:type="spellEnd"/>
            <w:r w:rsidRPr="00C415BA">
              <w:rPr>
                <w:rFonts w:ascii="Times New Roman" w:hAnsi="Times New Roman" w:cs="Times New Roman"/>
                <w:sz w:val="24"/>
                <w:szCs w:val="24"/>
              </w:rPr>
              <w:t xml:space="preserve"> along the path of one cycle of vertical jaw movement.</w:t>
            </w:r>
          </w:p>
        </w:tc>
      </w:tr>
      <w:tr w:rsidR="00B3360D" w:rsidRPr="00C415BA" w14:paraId="439F59AB" w14:textId="77777777" w:rsidTr="00FB56C8">
        <w:tc>
          <w:tcPr>
            <w:tcW w:w="2812" w:type="dxa"/>
            <w:tcBorders>
              <w:top w:val="nil"/>
              <w:bottom w:val="nil"/>
            </w:tcBorders>
          </w:tcPr>
          <w:p w14:paraId="7009F924"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lastRenderedPageBreak/>
              <w:t>Rhythm of jaw movements</w:t>
            </w:r>
          </w:p>
        </w:tc>
        <w:tc>
          <w:tcPr>
            <w:tcW w:w="6204" w:type="dxa"/>
            <w:tcBorders>
              <w:top w:val="nil"/>
              <w:bottom w:val="nil"/>
            </w:tcBorders>
          </w:tcPr>
          <w:p w14:paraId="49A7C0E1"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Total cycle duration of the jaw movement during stimulation in each time point per second.</w:t>
            </w:r>
          </w:p>
        </w:tc>
      </w:tr>
      <w:tr w:rsidR="00B3360D" w:rsidRPr="00C415BA" w14:paraId="31334964" w14:textId="77777777" w:rsidTr="00FB56C8">
        <w:tc>
          <w:tcPr>
            <w:tcW w:w="2812" w:type="dxa"/>
            <w:tcBorders>
              <w:top w:val="nil"/>
              <w:bottom w:val="nil"/>
            </w:tcBorders>
          </w:tcPr>
          <w:p w14:paraId="533FDE78"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Jaw-opening duration</w:t>
            </w:r>
          </w:p>
        </w:tc>
        <w:tc>
          <w:tcPr>
            <w:tcW w:w="6204" w:type="dxa"/>
            <w:tcBorders>
              <w:top w:val="nil"/>
              <w:bottom w:val="nil"/>
            </w:tcBorders>
          </w:tcPr>
          <w:p w14:paraId="54468A45" w14:textId="77777777" w:rsidR="00B3360D" w:rsidRPr="00C415BA"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Time between maximum closing and the subsequent maximum opening.</w:t>
            </w:r>
          </w:p>
        </w:tc>
      </w:tr>
      <w:tr w:rsidR="00B3360D" w:rsidRPr="008E3C86" w14:paraId="774F5061" w14:textId="77777777" w:rsidTr="00FB56C8">
        <w:tc>
          <w:tcPr>
            <w:tcW w:w="2812" w:type="dxa"/>
            <w:tcBorders>
              <w:top w:val="nil"/>
              <w:bottom w:val="single" w:sz="4" w:space="0" w:color="auto"/>
            </w:tcBorders>
          </w:tcPr>
          <w:p w14:paraId="17935061" w14:textId="77777777" w:rsidR="00B3360D" w:rsidRPr="00C415BA" w:rsidRDefault="00B3360D" w:rsidP="00B3360D">
            <w:pPr>
              <w:pStyle w:val="ListParagraph"/>
              <w:numPr>
                <w:ilvl w:val="0"/>
                <w:numId w:val="1"/>
              </w:numPr>
              <w:snapToGrid w:val="0"/>
              <w:spacing w:line="480" w:lineRule="auto"/>
              <w:ind w:left="0" w:firstLine="0"/>
              <w:jc w:val="both"/>
              <w:rPr>
                <w:rFonts w:ascii="Times New Roman" w:hAnsi="Times New Roman" w:cs="Times New Roman"/>
                <w:sz w:val="24"/>
                <w:szCs w:val="24"/>
              </w:rPr>
            </w:pPr>
            <w:r w:rsidRPr="00C415BA">
              <w:rPr>
                <w:rFonts w:ascii="Times New Roman" w:hAnsi="Times New Roman" w:cs="Times New Roman"/>
                <w:sz w:val="24"/>
                <w:szCs w:val="24"/>
              </w:rPr>
              <w:t>Jaw-closing duration</w:t>
            </w:r>
          </w:p>
        </w:tc>
        <w:tc>
          <w:tcPr>
            <w:tcW w:w="6204" w:type="dxa"/>
            <w:tcBorders>
              <w:top w:val="nil"/>
              <w:bottom w:val="single" w:sz="4" w:space="0" w:color="auto"/>
            </w:tcBorders>
          </w:tcPr>
          <w:p w14:paraId="097F64EB" w14:textId="77777777" w:rsidR="00B3360D" w:rsidRPr="008E3C86" w:rsidRDefault="00B3360D" w:rsidP="00FB56C8">
            <w:pPr>
              <w:snapToGrid w:val="0"/>
              <w:spacing w:line="480" w:lineRule="auto"/>
              <w:jc w:val="both"/>
              <w:rPr>
                <w:rFonts w:ascii="Times New Roman" w:hAnsi="Times New Roman" w:cs="Times New Roman"/>
                <w:sz w:val="24"/>
                <w:szCs w:val="24"/>
              </w:rPr>
            </w:pPr>
            <w:r w:rsidRPr="00C415BA">
              <w:rPr>
                <w:rFonts w:ascii="Times New Roman" w:hAnsi="Times New Roman" w:cs="Times New Roman"/>
                <w:sz w:val="24"/>
                <w:szCs w:val="24"/>
              </w:rPr>
              <w:t>Time between maximum opening and the subsequent maximum closing.</w:t>
            </w:r>
          </w:p>
        </w:tc>
      </w:tr>
    </w:tbl>
    <w:p w14:paraId="5E17D10D" w14:textId="28AB0412" w:rsidR="00B3360D" w:rsidRDefault="00B3360D">
      <w:pPr>
        <w:rPr>
          <w:rFonts w:ascii="Times New Roman" w:hAnsi="Times New Roman" w:cs="Times New Roman"/>
          <w:sz w:val="24"/>
          <w:szCs w:val="24"/>
        </w:rPr>
      </w:pPr>
    </w:p>
    <w:p w14:paraId="65E6B2E8" w14:textId="4C8BE10F" w:rsidR="00B3360D" w:rsidRPr="00C415BA" w:rsidRDefault="00B3360D" w:rsidP="00B3360D">
      <w:pPr>
        <w:snapToGrid w:val="0"/>
        <w:spacing w:after="0" w:line="480" w:lineRule="auto"/>
        <w:jc w:val="both"/>
        <w:rPr>
          <w:rFonts w:ascii="Times New Roman" w:hAnsi="Times New Roman" w:cs="Times New Roman"/>
          <w:b/>
          <w:bCs/>
          <w:sz w:val="24"/>
          <w:szCs w:val="24"/>
        </w:rPr>
      </w:pPr>
      <w:bookmarkStart w:id="6" w:name="_Ref50105451"/>
      <w:r>
        <w:rPr>
          <w:rFonts w:ascii="Times New Roman" w:hAnsi="Times New Roman" w:cs="Times New Roman"/>
          <w:b/>
          <w:bCs/>
          <w:sz w:val="24"/>
          <w:szCs w:val="24"/>
        </w:rPr>
        <w:t xml:space="preserve">Supplementary </w:t>
      </w:r>
      <w:r w:rsidRPr="00C415BA">
        <w:rPr>
          <w:rFonts w:ascii="Times New Roman" w:hAnsi="Times New Roman" w:cs="Times New Roman"/>
          <w:b/>
          <w:bCs/>
          <w:sz w:val="24"/>
          <w:szCs w:val="24"/>
        </w:rPr>
        <w:t xml:space="preserve">Table </w:t>
      </w:r>
      <w:r w:rsidRPr="00C415BA">
        <w:rPr>
          <w:rFonts w:ascii="Times New Roman" w:hAnsi="Times New Roman" w:cs="Times New Roman"/>
          <w:b/>
          <w:bCs/>
          <w:sz w:val="24"/>
          <w:szCs w:val="24"/>
        </w:rPr>
        <w:fldChar w:fldCharType="begin"/>
      </w:r>
      <w:r w:rsidRPr="00C415BA">
        <w:rPr>
          <w:rFonts w:ascii="Times New Roman" w:hAnsi="Times New Roman" w:cs="Times New Roman"/>
          <w:b/>
          <w:bCs/>
          <w:sz w:val="24"/>
          <w:szCs w:val="24"/>
        </w:rPr>
        <w:instrText xml:space="preserve"> SEQ Table \* ARABIC </w:instrText>
      </w:r>
      <w:r w:rsidRPr="00C415BA">
        <w:rPr>
          <w:rFonts w:ascii="Times New Roman" w:hAnsi="Times New Roman" w:cs="Times New Roman"/>
          <w:b/>
          <w:bCs/>
          <w:sz w:val="24"/>
          <w:szCs w:val="24"/>
        </w:rPr>
        <w:fldChar w:fldCharType="separate"/>
      </w:r>
      <w:r w:rsidRPr="00C415BA">
        <w:rPr>
          <w:rFonts w:ascii="Times New Roman" w:hAnsi="Times New Roman" w:cs="Times New Roman"/>
          <w:b/>
          <w:bCs/>
          <w:noProof/>
          <w:sz w:val="24"/>
          <w:szCs w:val="24"/>
        </w:rPr>
        <w:t>1</w:t>
      </w:r>
      <w:r w:rsidRPr="00C415BA">
        <w:rPr>
          <w:rFonts w:ascii="Times New Roman" w:hAnsi="Times New Roman" w:cs="Times New Roman"/>
          <w:b/>
          <w:bCs/>
          <w:sz w:val="24"/>
          <w:szCs w:val="24"/>
        </w:rPr>
        <w:fldChar w:fldCharType="end"/>
      </w:r>
      <w:bookmarkEnd w:id="6"/>
      <w:r w:rsidRPr="00C415BA">
        <w:rPr>
          <w:rFonts w:ascii="Times New Roman" w:hAnsi="Times New Roman" w:cs="Times New Roman"/>
        </w:rPr>
        <w:t xml:space="preserve">. </w:t>
      </w:r>
      <w:r w:rsidRPr="00C415BA">
        <w:rPr>
          <w:rFonts w:ascii="Times New Roman" w:hAnsi="Times New Roman" w:cs="Times New Roman"/>
          <w:b/>
          <w:bCs/>
          <w:sz w:val="24"/>
          <w:szCs w:val="24"/>
        </w:rPr>
        <w:t xml:space="preserve">Parameters used to </w:t>
      </w:r>
      <w:proofErr w:type="spellStart"/>
      <w:r w:rsidRPr="00C415BA">
        <w:rPr>
          <w:rFonts w:ascii="Times New Roman" w:hAnsi="Times New Roman" w:cs="Times New Roman"/>
          <w:b/>
          <w:bCs/>
          <w:sz w:val="24"/>
          <w:szCs w:val="24"/>
        </w:rPr>
        <w:t>analyze</w:t>
      </w:r>
      <w:proofErr w:type="spellEnd"/>
      <w:r w:rsidRPr="00C415BA">
        <w:rPr>
          <w:rFonts w:ascii="Times New Roman" w:hAnsi="Times New Roman" w:cs="Times New Roman"/>
          <w:b/>
          <w:bCs/>
          <w:sz w:val="24"/>
          <w:szCs w:val="24"/>
        </w:rPr>
        <w:t xml:space="preserve"> jaw movement and electromyography activity</w:t>
      </w:r>
    </w:p>
    <w:p w14:paraId="43C7DFEF" w14:textId="77777777" w:rsidR="00B3360D" w:rsidRPr="00526663" w:rsidRDefault="00B3360D">
      <w:pPr>
        <w:rPr>
          <w:rFonts w:ascii="Times New Roman" w:hAnsi="Times New Roman" w:cs="Times New Roman"/>
          <w:sz w:val="24"/>
          <w:szCs w:val="24"/>
        </w:rPr>
      </w:pPr>
    </w:p>
    <w:sectPr w:rsidR="00B3360D" w:rsidRPr="005266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0837E" w14:textId="77777777" w:rsidR="001547CE" w:rsidRDefault="001547CE" w:rsidP="001610EB">
      <w:pPr>
        <w:spacing w:after="0" w:line="240" w:lineRule="auto"/>
      </w:pPr>
      <w:r>
        <w:separator/>
      </w:r>
    </w:p>
  </w:endnote>
  <w:endnote w:type="continuationSeparator" w:id="0">
    <w:p w14:paraId="0DE526E8" w14:textId="77777777" w:rsidR="001547CE" w:rsidRDefault="001547CE" w:rsidP="00161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1BFC5A" w14:textId="77777777" w:rsidR="001547CE" w:rsidRDefault="001547CE" w:rsidP="001610EB">
      <w:pPr>
        <w:spacing w:after="0" w:line="240" w:lineRule="auto"/>
      </w:pPr>
      <w:r>
        <w:separator/>
      </w:r>
    </w:p>
  </w:footnote>
  <w:footnote w:type="continuationSeparator" w:id="0">
    <w:p w14:paraId="22FFAD92" w14:textId="77777777" w:rsidR="001547CE" w:rsidRDefault="001547CE" w:rsidP="001610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6F319B"/>
    <w:multiLevelType w:val="hybridMultilevel"/>
    <w:tmpl w:val="8DF43C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8A8"/>
    <w:rsid w:val="001547CE"/>
    <w:rsid w:val="001610EB"/>
    <w:rsid w:val="003368A8"/>
    <w:rsid w:val="003937B9"/>
    <w:rsid w:val="004463E9"/>
    <w:rsid w:val="00526663"/>
    <w:rsid w:val="00B3360D"/>
    <w:rsid w:val="00CC21B7"/>
  </w:rsids>
  <m:mathPr>
    <m:mathFont m:val="Cambria Math"/>
    <m:brkBin m:val="before"/>
    <m:brkBinSub m:val="--"/>
    <m:smallFrac m:val="0"/>
    <m:dispDef/>
    <m:lMargin m:val="0"/>
    <m:rMargin m:val="0"/>
    <m:defJc m:val="centerGroup"/>
    <m:wrapIndent m:val="1440"/>
    <m:intLim m:val="subSup"/>
    <m:naryLim m:val="undOvr"/>
  </m:mathPr>
  <w:themeFontLang w:val="en-GB"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3BB5E"/>
  <w15:chartTrackingRefBased/>
  <w15:docId w15:val="{5B29A4ED-72B0-4A27-9DD5-0CF7B650C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10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10EB"/>
  </w:style>
  <w:style w:type="paragraph" w:styleId="Footer">
    <w:name w:val="footer"/>
    <w:basedOn w:val="Normal"/>
    <w:link w:val="FooterChar"/>
    <w:uiPriority w:val="99"/>
    <w:unhideWhenUsed/>
    <w:rsid w:val="001610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10EB"/>
  </w:style>
  <w:style w:type="paragraph" w:styleId="BalloonText">
    <w:name w:val="Balloon Text"/>
    <w:basedOn w:val="Normal"/>
    <w:link w:val="BalloonTextChar"/>
    <w:uiPriority w:val="99"/>
    <w:semiHidden/>
    <w:unhideWhenUsed/>
    <w:rsid w:val="001610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0EB"/>
    <w:rPr>
      <w:rFonts w:ascii="Segoe UI" w:hAnsi="Segoe UI" w:cs="Segoe UI"/>
      <w:sz w:val="18"/>
      <w:szCs w:val="18"/>
    </w:rPr>
  </w:style>
  <w:style w:type="paragraph" w:customStyle="1" w:styleId="AuthorList">
    <w:name w:val="Author List"/>
    <w:aliases w:val="Keywords,Abstract"/>
    <w:basedOn w:val="Subtitle"/>
    <w:next w:val="Normal"/>
    <w:uiPriority w:val="1"/>
    <w:rsid w:val="00526663"/>
    <w:pPr>
      <w:numPr>
        <w:ilvl w:val="0"/>
      </w:numPr>
      <w:spacing w:before="240" w:after="240" w:line="240" w:lineRule="auto"/>
    </w:pPr>
    <w:rPr>
      <w:rFonts w:ascii="Times New Roman" w:eastAsiaTheme="majorEastAsia" w:hAnsi="Times New Roman" w:cs="Times New Roman"/>
      <w:b/>
      <w:color w:val="auto"/>
      <w:spacing w:val="0"/>
      <w:sz w:val="24"/>
      <w:szCs w:val="24"/>
      <w:lang w:val="en-US"/>
    </w:rPr>
  </w:style>
  <w:style w:type="character" w:styleId="Hyperlink">
    <w:name w:val="Hyperlink"/>
    <w:basedOn w:val="DefaultParagraphFont"/>
    <w:uiPriority w:val="99"/>
    <w:unhideWhenUsed/>
    <w:rsid w:val="00526663"/>
    <w:rPr>
      <w:color w:val="0563C1" w:themeColor="hyperlink"/>
      <w:u w:val="single"/>
    </w:rPr>
  </w:style>
  <w:style w:type="paragraph" w:styleId="Subtitle">
    <w:name w:val="Subtitle"/>
    <w:basedOn w:val="Normal"/>
    <w:next w:val="Normal"/>
    <w:link w:val="SubtitleChar"/>
    <w:uiPriority w:val="11"/>
    <w:qFormat/>
    <w:rsid w:val="0052666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26663"/>
    <w:rPr>
      <w:rFonts w:eastAsiaTheme="minorEastAsia"/>
      <w:color w:val="5A5A5A" w:themeColor="text1" w:themeTint="A5"/>
      <w:spacing w:val="15"/>
    </w:rPr>
  </w:style>
  <w:style w:type="paragraph" w:styleId="ListParagraph">
    <w:name w:val="List Paragraph"/>
    <w:basedOn w:val="Normal"/>
    <w:uiPriority w:val="34"/>
    <w:qFormat/>
    <w:rsid w:val="00B3360D"/>
    <w:pPr>
      <w:ind w:left="720"/>
      <w:contextualSpacing/>
    </w:pPr>
    <w:rPr>
      <w:rFonts w:eastAsiaTheme="minorEastAsia"/>
      <w:lang w:val="en-US" w:eastAsia="ja-JP"/>
    </w:rPr>
  </w:style>
  <w:style w:type="table" w:styleId="TableGrid">
    <w:name w:val="Table Grid"/>
    <w:basedOn w:val="TableNormal"/>
    <w:uiPriority w:val="39"/>
    <w:rsid w:val="00B3360D"/>
    <w:pPr>
      <w:spacing w:after="0" w:line="240" w:lineRule="auto"/>
    </w:pPr>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katorts@tmd.ac.j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537</Words>
  <Characters>3063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phyo</cp:lastModifiedBy>
  <cp:revision>3</cp:revision>
  <dcterms:created xsi:type="dcterms:W3CDTF">2021-02-15T07:51:00Z</dcterms:created>
  <dcterms:modified xsi:type="dcterms:W3CDTF">2021-02-15T08:32:00Z</dcterms:modified>
</cp:coreProperties>
</file>